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jc w:val="center"/>
        <w:ind w:right="-21"/>
        <w:spacing w:after="0"/>
        <w:rPr>
          <w:sz w:val="20"/>
          <w:szCs w:val="20"/>
          <w:color w:val="auto"/>
        </w:rPr>
      </w:pPr>
      <w:r>
        <w:rPr>
          <w:rFonts w:ascii="Arial" w:cs="Arial" w:eastAsia="Arial" w:hAnsi="Arial"/>
          <w:sz w:val="16"/>
          <w:szCs w:val="16"/>
          <w:color w:val="auto"/>
        </w:rPr>
        <w:t>SCHEDULE 14A</w:t>
      </w:r>
    </w:p>
    <w:p>
      <w:pPr>
        <w:spacing w:after="0" w:line="208" w:lineRule="exact"/>
        <w:rPr>
          <w:sz w:val="24"/>
          <w:szCs w:val="24"/>
          <w:color w:val="auto"/>
        </w:rPr>
      </w:pPr>
    </w:p>
    <w:p>
      <w:pPr>
        <w:jc w:val="center"/>
        <w:ind w:right="-21"/>
        <w:spacing w:after="0"/>
        <w:rPr>
          <w:sz w:val="20"/>
          <w:szCs w:val="20"/>
          <w:color w:val="auto"/>
        </w:rPr>
      </w:pPr>
      <w:r>
        <w:rPr>
          <w:rFonts w:ascii="Arial" w:cs="Arial" w:eastAsia="Arial" w:hAnsi="Arial"/>
          <w:sz w:val="16"/>
          <w:szCs w:val="16"/>
          <w:color w:val="auto"/>
        </w:rPr>
        <w:t>(Rule 14a-101)</w:t>
      </w:r>
    </w:p>
    <w:p>
      <w:pPr>
        <w:spacing w:after="0" w:line="208" w:lineRule="exact"/>
        <w:rPr>
          <w:sz w:val="24"/>
          <w:szCs w:val="24"/>
          <w:color w:val="auto"/>
        </w:rPr>
      </w:pPr>
    </w:p>
    <w:p>
      <w:pPr>
        <w:jc w:val="center"/>
        <w:ind w:right="-21"/>
        <w:spacing w:after="0"/>
        <w:rPr>
          <w:sz w:val="20"/>
          <w:szCs w:val="20"/>
          <w:color w:val="auto"/>
        </w:rPr>
      </w:pPr>
      <w:r>
        <w:rPr>
          <w:rFonts w:ascii="Arial" w:cs="Arial" w:eastAsia="Arial" w:hAnsi="Arial"/>
          <w:sz w:val="15"/>
          <w:szCs w:val="15"/>
          <w:color w:val="auto"/>
        </w:rPr>
        <w:t>INFORMATION REQUIRED IN PROXY STATEMENT</w:t>
      </w:r>
    </w:p>
    <w:p>
      <w:pPr>
        <w:spacing w:after="0" w:line="220" w:lineRule="exact"/>
        <w:rPr>
          <w:sz w:val="24"/>
          <w:szCs w:val="24"/>
          <w:color w:val="auto"/>
        </w:rPr>
      </w:pPr>
    </w:p>
    <w:p>
      <w:pPr>
        <w:jc w:val="center"/>
        <w:ind w:right="-21"/>
        <w:spacing w:after="0"/>
        <w:rPr>
          <w:sz w:val="20"/>
          <w:szCs w:val="20"/>
          <w:color w:val="auto"/>
        </w:rPr>
      </w:pPr>
      <w:r>
        <w:rPr>
          <w:rFonts w:ascii="Arial" w:cs="Arial" w:eastAsia="Arial" w:hAnsi="Arial"/>
          <w:sz w:val="16"/>
          <w:szCs w:val="16"/>
          <w:color w:val="auto"/>
        </w:rPr>
        <w:t>SCHEDULE 14A INFORMATION</w:t>
      </w:r>
    </w:p>
    <w:p>
      <w:pPr>
        <w:spacing w:after="0" w:line="208" w:lineRule="exact"/>
        <w:rPr>
          <w:sz w:val="24"/>
          <w:szCs w:val="24"/>
          <w:color w:val="auto"/>
        </w:rPr>
      </w:pPr>
    </w:p>
    <w:p>
      <w:pPr>
        <w:jc w:val="center"/>
        <w:ind w:right="-21"/>
        <w:spacing w:after="0"/>
        <w:rPr>
          <w:sz w:val="20"/>
          <w:szCs w:val="20"/>
          <w:color w:val="auto"/>
        </w:rPr>
      </w:pPr>
      <w:r>
        <w:rPr>
          <w:rFonts w:ascii="Arial" w:cs="Arial" w:eastAsia="Arial" w:hAnsi="Arial"/>
          <w:sz w:val="16"/>
          <w:szCs w:val="16"/>
          <w:color w:val="auto"/>
        </w:rPr>
        <w:t>Proxy Statement Pursuant to Section 14(a) of the</w:t>
      </w:r>
    </w:p>
    <w:p>
      <w:pPr>
        <w:spacing w:after="0" w:line="20" w:lineRule="exact"/>
        <w:rPr>
          <w:sz w:val="24"/>
          <w:szCs w:val="24"/>
          <w:color w:val="auto"/>
        </w:rPr>
      </w:pPr>
    </w:p>
    <w:p>
      <w:pPr>
        <w:jc w:val="center"/>
        <w:ind w:right="-21"/>
        <w:spacing w:after="0"/>
        <w:rPr>
          <w:sz w:val="20"/>
          <w:szCs w:val="20"/>
          <w:color w:val="auto"/>
        </w:rPr>
      </w:pPr>
      <w:r>
        <w:rPr>
          <w:rFonts w:ascii="Arial" w:cs="Arial" w:eastAsia="Arial" w:hAnsi="Arial"/>
          <w:sz w:val="16"/>
          <w:szCs w:val="16"/>
          <w:color w:val="auto"/>
        </w:rPr>
        <w:t>Securities Exchange Act of 1934 (Amendment No. )</w:t>
      </w:r>
    </w:p>
    <w:p>
      <w:pPr>
        <w:spacing w:after="0" w:line="200" w:lineRule="exact"/>
        <w:rPr>
          <w:sz w:val="24"/>
          <w:szCs w:val="24"/>
          <w:color w:val="auto"/>
        </w:rPr>
      </w:pPr>
    </w:p>
    <w:p>
      <w:pPr>
        <w:ind w:left="2"/>
        <w:spacing w:after="0"/>
        <w:rPr>
          <w:sz w:val="20"/>
          <w:szCs w:val="20"/>
          <w:color w:val="auto"/>
        </w:rPr>
      </w:pPr>
      <w:r>
        <w:rPr>
          <w:rFonts w:ascii="Arial" w:cs="Arial" w:eastAsia="Arial" w:hAnsi="Arial"/>
          <w:sz w:val="16"/>
          <w:szCs w:val="16"/>
          <w:color w:val="auto"/>
        </w:rPr>
        <w:t>Filed by the Registrant [x]</w:t>
      </w:r>
    </w:p>
    <w:p>
      <w:pPr>
        <w:spacing w:after="0" w:line="20" w:lineRule="exact"/>
        <w:rPr>
          <w:sz w:val="24"/>
          <w:szCs w:val="24"/>
          <w:color w:val="auto"/>
        </w:rPr>
      </w:pPr>
    </w:p>
    <w:p>
      <w:pPr>
        <w:ind w:left="2"/>
        <w:spacing w:after="0"/>
        <w:rPr>
          <w:sz w:val="20"/>
          <w:szCs w:val="20"/>
          <w:color w:val="auto"/>
        </w:rPr>
      </w:pPr>
      <w:r>
        <w:rPr>
          <w:rFonts w:ascii="Arial" w:cs="Arial" w:eastAsia="Arial" w:hAnsi="Arial"/>
          <w:sz w:val="16"/>
          <w:szCs w:val="16"/>
          <w:color w:val="auto"/>
        </w:rPr>
        <w:t>Filed by a Party other than the Registrant [_]</w:t>
      </w:r>
    </w:p>
    <w:p>
      <w:pPr>
        <w:sectPr>
          <w:pgSz w:w="11900" w:h="16871" w:orient="portrait"/>
          <w:cols w:equalWidth="0" w:num="1">
            <w:col w:w="11422"/>
          </w:cols>
          <w:pgMar w:left="238" w:top="229" w:right="239" w:bottom="0" w:gutter="0" w:footer="0" w:header="0"/>
        </w:sectPr>
      </w:pPr>
    </w:p>
    <w:p>
      <w:pPr>
        <w:spacing w:after="0" w:line="200" w:lineRule="exact"/>
        <w:rPr>
          <w:sz w:val="24"/>
          <w:szCs w:val="24"/>
          <w:color w:val="auto"/>
        </w:rPr>
      </w:pPr>
    </w:p>
    <w:p>
      <w:pPr>
        <w:ind w:left="2"/>
        <w:spacing w:after="0"/>
        <w:rPr>
          <w:sz w:val="20"/>
          <w:szCs w:val="20"/>
          <w:color w:val="auto"/>
        </w:rPr>
      </w:pPr>
      <w:r>
        <w:rPr>
          <w:rFonts w:ascii="Arial" w:cs="Arial" w:eastAsia="Arial" w:hAnsi="Arial"/>
          <w:sz w:val="16"/>
          <w:szCs w:val="16"/>
          <w:color w:val="auto"/>
        </w:rPr>
        <w:t>Check the appropriate box:</w:t>
      </w:r>
    </w:p>
    <w:p>
      <w:pPr>
        <w:spacing w:after="0" w:line="20" w:lineRule="exact"/>
        <w:rPr>
          <w:sz w:val="24"/>
          <w:szCs w:val="24"/>
          <w:color w:val="auto"/>
        </w:rPr>
      </w:pPr>
    </w:p>
    <w:p>
      <w:pPr>
        <w:ind w:left="2"/>
        <w:spacing w:after="0"/>
        <w:rPr>
          <w:sz w:val="20"/>
          <w:szCs w:val="20"/>
          <w:color w:val="auto"/>
        </w:rPr>
      </w:pPr>
      <w:r>
        <w:rPr>
          <w:rFonts w:ascii="Arial" w:cs="Arial" w:eastAsia="Arial" w:hAnsi="Arial"/>
          <w:sz w:val="16"/>
          <w:szCs w:val="16"/>
          <w:color w:val="auto"/>
        </w:rPr>
        <w:t>[_] Preliminary Proxy Statement</w:t>
      </w:r>
    </w:p>
    <w:p>
      <w:pPr>
        <w:spacing w:after="0" w:line="12" w:lineRule="exact"/>
        <w:rPr>
          <w:sz w:val="24"/>
          <w:szCs w:val="24"/>
          <w:color w:val="auto"/>
        </w:rPr>
      </w:pPr>
    </w:p>
    <w:p>
      <w:pPr>
        <w:ind w:left="2"/>
        <w:spacing w:after="0"/>
        <w:rPr>
          <w:sz w:val="20"/>
          <w:szCs w:val="20"/>
          <w:color w:val="auto"/>
        </w:rPr>
      </w:pPr>
      <w:r>
        <w:rPr>
          <w:rFonts w:ascii="Arial" w:cs="Arial" w:eastAsia="Arial" w:hAnsi="Arial"/>
          <w:sz w:val="16"/>
          <w:szCs w:val="16"/>
          <w:color w:val="auto"/>
        </w:rPr>
        <w:t>[_] Confidential, For Use of the</w:t>
      </w:r>
    </w:p>
    <w:p>
      <w:pPr>
        <w:spacing w:after="0" w:line="12" w:lineRule="exact"/>
        <w:rPr>
          <w:sz w:val="24"/>
          <w:szCs w:val="24"/>
          <w:color w:val="auto"/>
        </w:rPr>
      </w:pPr>
    </w:p>
    <w:p>
      <w:pPr>
        <w:ind w:left="282"/>
        <w:spacing w:after="0"/>
        <w:rPr>
          <w:sz w:val="20"/>
          <w:szCs w:val="20"/>
          <w:color w:val="auto"/>
        </w:rPr>
      </w:pPr>
      <w:r>
        <w:rPr>
          <w:rFonts w:ascii="Arial" w:cs="Arial" w:eastAsia="Arial" w:hAnsi="Arial"/>
          <w:sz w:val="14"/>
          <w:szCs w:val="14"/>
          <w:color w:val="auto"/>
        </w:rPr>
        <w:t>Commission Only (as permitted</w:t>
      </w:r>
    </w:p>
    <w:p>
      <w:pPr>
        <w:spacing w:after="0" w:line="35" w:lineRule="exact"/>
        <w:rPr>
          <w:sz w:val="24"/>
          <w:szCs w:val="24"/>
          <w:color w:val="auto"/>
        </w:rPr>
      </w:pPr>
    </w:p>
    <w:p>
      <w:pPr>
        <w:ind w:left="282"/>
        <w:spacing w:after="0"/>
        <w:rPr>
          <w:sz w:val="20"/>
          <w:szCs w:val="20"/>
          <w:color w:val="auto"/>
        </w:rPr>
      </w:pPr>
      <w:r>
        <w:rPr>
          <w:rFonts w:ascii="Arial" w:cs="Arial" w:eastAsia="Arial" w:hAnsi="Arial"/>
          <w:sz w:val="16"/>
          <w:szCs w:val="16"/>
          <w:color w:val="auto"/>
        </w:rPr>
        <w:t>by Rule 14a-6(e)(2))</w:t>
      </w:r>
    </w:p>
    <w:p>
      <w:pPr>
        <w:spacing w:after="0" w:line="12" w:lineRule="exact"/>
        <w:rPr>
          <w:sz w:val="24"/>
          <w:szCs w:val="24"/>
          <w:color w:val="auto"/>
        </w:rPr>
      </w:pPr>
    </w:p>
    <w:p>
      <w:pPr>
        <w:ind w:left="2"/>
        <w:spacing w:after="0"/>
        <w:rPr>
          <w:sz w:val="20"/>
          <w:szCs w:val="20"/>
          <w:color w:val="auto"/>
        </w:rPr>
      </w:pPr>
      <w:r>
        <w:rPr>
          <w:rFonts w:ascii="Arial" w:cs="Arial" w:eastAsia="Arial" w:hAnsi="Arial"/>
          <w:sz w:val="16"/>
          <w:szCs w:val="16"/>
          <w:color w:val="auto"/>
        </w:rPr>
        <w:t>[x] Definitive Proxy Statement</w:t>
      </w:r>
    </w:p>
    <w:p>
      <w:pPr>
        <w:spacing w:after="0" w:line="20" w:lineRule="exact"/>
        <w:rPr>
          <w:sz w:val="24"/>
          <w:szCs w:val="24"/>
          <w:color w:val="auto"/>
        </w:rPr>
      </w:pPr>
      <w:r>
        <w:rPr>
          <w:sz w:val="24"/>
          <w:szCs w:val="24"/>
          <w:color w:val="auto"/>
        </w:rPr>
        <w:br w:type="column"/>
      </w:r>
    </w:p>
    <w:p>
      <w:pPr>
        <w:spacing w:after="0" w:line="376" w:lineRule="exact"/>
        <w:rPr>
          <w:sz w:val="24"/>
          <w:szCs w:val="24"/>
          <w:color w:val="auto"/>
        </w:rPr>
      </w:pPr>
    </w:p>
    <w:p>
      <w:pPr>
        <w:spacing w:after="0"/>
        <w:rPr>
          <w:sz w:val="20"/>
          <w:szCs w:val="20"/>
          <w:color w:val="auto"/>
        </w:rPr>
      </w:pPr>
      <w:r>
        <w:rPr>
          <w:rFonts w:ascii="Arial" w:cs="Arial" w:eastAsia="Arial" w:hAnsi="Arial"/>
          <w:sz w:val="15"/>
          <w:szCs w:val="15"/>
          <w:color w:val="auto"/>
        </w:rPr>
        <w:t>[_] Soliciting Material Under Rule</w:t>
      </w:r>
    </w:p>
    <w:p>
      <w:pPr>
        <w:spacing w:after="0" w:line="31" w:lineRule="exact"/>
        <w:rPr>
          <w:sz w:val="24"/>
          <w:szCs w:val="24"/>
          <w:color w:val="auto"/>
        </w:rPr>
      </w:pPr>
    </w:p>
    <w:p>
      <w:pPr>
        <w:ind w:left="200"/>
        <w:spacing w:after="0"/>
        <w:rPr>
          <w:sz w:val="20"/>
          <w:szCs w:val="20"/>
          <w:color w:val="auto"/>
        </w:rPr>
      </w:pPr>
      <w:r>
        <w:rPr>
          <w:rFonts w:ascii="Arial" w:cs="Arial" w:eastAsia="Arial" w:hAnsi="Arial"/>
          <w:sz w:val="16"/>
          <w:szCs w:val="16"/>
          <w:color w:val="auto"/>
        </w:rPr>
        <w:t>14a-12</w:t>
      </w:r>
    </w:p>
    <w:p>
      <w:pPr>
        <w:spacing w:after="0" w:line="600" w:lineRule="exact"/>
        <w:rPr>
          <w:sz w:val="24"/>
          <w:szCs w:val="24"/>
          <w:color w:val="auto"/>
        </w:rPr>
      </w:pPr>
    </w:p>
    <w:p>
      <w:pPr>
        <w:sectPr>
          <w:pgSz w:w="11900" w:h="16871" w:orient="portrait"/>
          <w:cols w:equalWidth="0" w:num="2">
            <w:col w:w="2322" w:space="500"/>
            <w:col w:w="8600"/>
          </w:cols>
          <w:pgMar w:left="238" w:top="229" w:right="239" w:bottom="0" w:gutter="0" w:footer="0" w:header="0"/>
          <w:type w:val="continuous"/>
        </w:sectPr>
      </w:pPr>
    </w:p>
    <w:p>
      <w:pPr>
        <w:ind w:left="2"/>
        <w:spacing w:after="0"/>
        <w:rPr>
          <w:sz w:val="20"/>
          <w:szCs w:val="20"/>
          <w:color w:val="auto"/>
        </w:rPr>
      </w:pPr>
      <w:r>
        <w:rPr>
          <w:rFonts w:ascii="Arial" w:cs="Arial" w:eastAsia="Arial" w:hAnsi="Arial"/>
          <w:sz w:val="16"/>
          <w:szCs w:val="16"/>
          <w:color w:val="auto"/>
        </w:rPr>
        <w:t>[_] Definitive Additional Materials</w:t>
      </w:r>
    </w:p>
    <w:p>
      <w:pPr>
        <w:spacing w:after="0" w:line="200" w:lineRule="exact"/>
        <w:rPr>
          <w:sz w:val="24"/>
          <w:szCs w:val="24"/>
          <w:color w:val="auto"/>
        </w:rPr>
      </w:pPr>
    </w:p>
    <w:p>
      <w:pPr>
        <w:jc w:val="center"/>
        <w:ind w:right="18"/>
        <w:spacing w:after="0"/>
        <w:rPr>
          <w:sz w:val="20"/>
          <w:szCs w:val="20"/>
          <w:color w:val="auto"/>
        </w:rPr>
      </w:pPr>
      <w:r>
        <w:rPr>
          <w:rFonts w:ascii="Arial" w:cs="Arial" w:eastAsia="Arial" w:hAnsi="Arial"/>
          <w:sz w:val="16"/>
          <w:szCs w:val="16"/>
          <w:color w:val="auto"/>
        </w:rPr>
        <w:t>Texas Instruments Incorporated</w:t>
      </w:r>
    </w:p>
    <w:p>
      <w:pPr>
        <w:spacing w:after="0" w:line="20" w:lineRule="exact"/>
        <w:rPr>
          <w:sz w:val="24"/>
          <w:szCs w:val="24"/>
          <w:color w:val="auto"/>
        </w:rPr>
      </w:pPr>
    </w:p>
    <w:p>
      <w:pPr>
        <w:ind w:left="1742"/>
        <w:spacing w:after="0"/>
        <w:rPr>
          <w:sz w:val="20"/>
          <w:szCs w:val="20"/>
          <w:color w:val="auto"/>
        </w:rPr>
      </w:pPr>
      <w:r>
        <w:rPr>
          <w:rFonts w:ascii="Arial" w:cs="Arial" w:eastAsia="Arial" w:hAnsi="Arial"/>
          <w:sz w:val="16"/>
          <w:szCs w:val="16"/>
          <w:color w:val="auto"/>
        </w:rPr>
        <w:t>------------------------------------------------------------------------------------------------------------------------------------------------------</w:t>
      </w:r>
    </w:p>
    <w:p>
      <w:pPr>
        <w:spacing w:after="0" w:line="200" w:lineRule="exact"/>
        <w:rPr>
          <w:sz w:val="24"/>
          <w:szCs w:val="24"/>
          <w:color w:val="auto"/>
        </w:rPr>
      </w:pPr>
    </w:p>
    <w:p>
      <w:pPr>
        <w:jc w:val="center"/>
        <w:ind w:right="-1"/>
        <w:spacing w:after="0"/>
        <w:rPr>
          <w:sz w:val="20"/>
          <w:szCs w:val="20"/>
          <w:color w:val="auto"/>
        </w:rPr>
      </w:pPr>
      <w:r>
        <w:rPr>
          <w:rFonts w:ascii="Arial" w:cs="Arial" w:eastAsia="Arial" w:hAnsi="Arial"/>
          <w:sz w:val="16"/>
          <w:szCs w:val="16"/>
          <w:color w:val="auto"/>
        </w:rPr>
        <w:t>(Name of Registrant as Specified In Its Charter)</w:t>
      </w:r>
    </w:p>
    <w:p>
      <w:pPr>
        <w:spacing w:after="0" w:line="208" w:lineRule="exact"/>
        <w:rPr>
          <w:sz w:val="24"/>
          <w:szCs w:val="24"/>
          <w:color w:val="auto"/>
        </w:rPr>
      </w:pPr>
    </w:p>
    <w:p>
      <w:pPr>
        <w:ind w:left="1742"/>
        <w:spacing w:after="0"/>
        <w:rPr>
          <w:sz w:val="20"/>
          <w:szCs w:val="20"/>
          <w:color w:val="auto"/>
        </w:rPr>
      </w:pPr>
      <w:r>
        <w:rPr>
          <w:rFonts w:ascii="Arial" w:cs="Arial" w:eastAsia="Arial" w:hAnsi="Arial"/>
          <w:sz w:val="16"/>
          <w:szCs w:val="16"/>
          <w:color w:val="auto"/>
        </w:rPr>
        <w:t>------------------------------------------------------------------------------------------------------------------------------------------------------</w:t>
      </w:r>
    </w:p>
    <w:p>
      <w:pPr>
        <w:spacing w:after="0" w:line="208" w:lineRule="exact"/>
        <w:rPr>
          <w:sz w:val="24"/>
          <w:szCs w:val="24"/>
          <w:color w:val="auto"/>
        </w:rPr>
      </w:pPr>
    </w:p>
    <w:p>
      <w:pPr>
        <w:jc w:val="center"/>
        <w:ind w:right="-1"/>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08" w:lineRule="exact"/>
        <w:rPr>
          <w:sz w:val="24"/>
          <w:szCs w:val="24"/>
          <w:color w:val="auto"/>
        </w:rPr>
      </w:pPr>
    </w:p>
    <w:p>
      <w:pPr>
        <w:ind w:left="2"/>
        <w:spacing w:after="0"/>
        <w:rPr>
          <w:sz w:val="20"/>
          <w:szCs w:val="20"/>
          <w:color w:val="auto"/>
        </w:rPr>
      </w:pPr>
      <w:r>
        <w:rPr>
          <w:rFonts w:ascii="Arial" w:cs="Arial" w:eastAsia="Arial" w:hAnsi="Arial"/>
          <w:sz w:val="16"/>
          <w:szCs w:val="16"/>
          <w:color w:val="auto"/>
        </w:rPr>
        <w:t>Payment of Filing Fee (Check the appropriate box):</w:t>
      </w:r>
    </w:p>
    <w:p>
      <w:pPr>
        <w:spacing w:after="0" w:line="20" w:lineRule="exact"/>
        <w:rPr>
          <w:sz w:val="24"/>
          <w:szCs w:val="24"/>
          <w:color w:val="auto"/>
        </w:rPr>
      </w:pPr>
    </w:p>
    <w:p>
      <w:pPr>
        <w:ind w:left="2"/>
        <w:spacing w:after="0"/>
        <w:rPr>
          <w:sz w:val="20"/>
          <w:szCs w:val="20"/>
          <w:color w:val="auto"/>
        </w:rPr>
      </w:pPr>
      <w:r>
        <w:rPr>
          <w:rFonts w:ascii="Arial" w:cs="Arial" w:eastAsia="Arial" w:hAnsi="Arial"/>
          <w:sz w:val="16"/>
          <w:szCs w:val="16"/>
          <w:color w:val="auto"/>
        </w:rPr>
        <w:t>[x] No fee required.</w:t>
      </w:r>
    </w:p>
    <w:p>
      <w:pPr>
        <w:spacing w:after="0" w:line="12" w:lineRule="exact"/>
        <w:rPr>
          <w:sz w:val="24"/>
          <w:szCs w:val="24"/>
          <w:color w:val="auto"/>
        </w:rPr>
      </w:pPr>
    </w:p>
    <w:p>
      <w:pPr>
        <w:ind w:left="2"/>
        <w:spacing w:after="0"/>
        <w:rPr>
          <w:sz w:val="20"/>
          <w:szCs w:val="20"/>
          <w:color w:val="auto"/>
        </w:rPr>
      </w:pPr>
      <w:r>
        <w:rPr>
          <w:rFonts w:ascii="Arial" w:cs="Arial" w:eastAsia="Arial" w:hAnsi="Arial"/>
          <w:sz w:val="16"/>
          <w:szCs w:val="16"/>
          <w:color w:val="auto"/>
        </w:rPr>
        <w:t>[_] Fee computed on table below per Exchange Act Rules 14a-6(i)(4) and 0-11.</w:t>
      </w:r>
    </w:p>
    <w:p>
      <w:pPr>
        <w:spacing w:after="0" w:line="225" w:lineRule="exact"/>
        <w:rPr>
          <w:sz w:val="24"/>
          <w:szCs w:val="24"/>
          <w:color w:val="auto"/>
        </w:rPr>
      </w:pPr>
    </w:p>
    <w:p>
      <w:pPr>
        <w:ind w:left="2"/>
        <w:spacing w:after="0"/>
        <w:rPr>
          <w:sz w:val="20"/>
          <w:szCs w:val="20"/>
          <w:color w:val="auto"/>
        </w:rPr>
      </w:pPr>
      <w:r>
        <w:rPr>
          <w:rFonts w:ascii="Arial" w:cs="Arial" w:eastAsia="Arial" w:hAnsi="Arial"/>
          <w:sz w:val="16"/>
          <w:szCs w:val="16"/>
          <w:color w:val="auto"/>
        </w:rPr>
        <w:t>1) Title of each class of securities to which transaction applies:</w:t>
      </w:r>
    </w:p>
    <w:p>
      <w:pPr>
        <w:spacing w:after="0" w:line="18" w:lineRule="exact"/>
        <w:rPr>
          <w:sz w:val="24"/>
          <w:szCs w:val="24"/>
          <w:color w:val="auto"/>
        </w:rPr>
      </w:pPr>
    </w:p>
    <w:p>
      <w:pPr>
        <w:ind w:left="2"/>
        <w:spacing w:after="0"/>
        <w:rPr>
          <w:sz w:val="20"/>
          <w:szCs w:val="20"/>
          <w:color w:val="auto"/>
        </w:rPr>
      </w:pPr>
      <w:r>
        <w:rPr>
          <w:rFonts w:ascii="Arial" w:cs="Arial" w:eastAsia="Arial" w:hAnsi="Arial"/>
          <w:sz w:val="20"/>
          <w:szCs w:val="20"/>
          <w:color w:val="auto"/>
        </w:rPr>
        <w:t>____________________________________________________________________________________</w:t>
      </w:r>
    </w:p>
    <w:p>
      <w:pPr>
        <w:spacing w:after="0" w:line="9" w:lineRule="exact"/>
        <w:rPr>
          <w:sz w:val="24"/>
          <w:szCs w:val="24"/>
          <w:color w:val="auto"/>
        </w:rPr>
      </w:pPr>
    </w:p>
    <w:p>
      <w:pPr>
        <w:ind w:left="222" w:hanging="222"/>
        <w:spacing w:after="0"/>
        <w:tabs>
          <w:tab w:leader="none" w:pos="222" w:val="left"/>
        </w:tabs>
        <w:numPr>
          <w:ilvl w:val="0"/>
          <w:numId w:val="1"/>
        </w:numPr>
        <w:rPr>
          <w:rFonts w:ascii="Arial" w:cs="Arial" w:eastAsia="Arial" w:hAnsi="Arial"/>
          <w:sz w:val="16"/>
          <w:szCs w:val="16"/>
          <w:color w:val="auto"/>
        </w:rPr>
      </w:pPr>
      <w:r>
        <w:rPr>
          <w:rFonts w:ascii="Arial" w:cs="Arial" w:eastAsia="Arial" w:hAnsi="Arial"/>
          <w:sz w:val="16"/>
          <w:szCs w:val="16"/>
          <w:color w:val="auto"/>
        </w:rPr>
        <w:t>Aggregate number of securities to which transaction applies:</w:t>
      </w:r>
    </w:p>
    <w:p>
      <w:pPr>
        <w:spacing w:after="0" w:line="36" w:lineRule="exact"/>
        <w:rPr>
          <w:rFonts w:ascii="Arial" w:cs="Arial" w:eastAsia="Arial" w:hAnsi="Arial"/>
          <w:sz w:val="16"/>
          <w:szCs w:val="16"/>
          <w:color w:val="auto"/>
        </w:rPr>
      </w:pPr>
    </w:p>
    <w:p>
      <w:pPr>
        <w:ind w:left="202" w:right="3900" w:hanging="202"/>
        <w:spacing w:after="0" w:line="287" w:lineRule="auto"/>
        <w:tabs>
          <w:tab w:leader="none" w:pos="215" w:val="left"/>
        </w:tabs>
        <w:numPr>
          <w:ilvl w:val="0"/>
          <w:numId w:val="1"/>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Arial" w:cs="Arial" w:eastAsia="Arial" w:hAnsi="Arial"/>
          <w:sz w:val="16"/>
          <w:szCs w:val="16"/>
          <w:color w:val="auto"/>
        </w:rPr>
      </w:pPr>
    </w:p>
    <w:p>
      <w:pPr>
        <w:ind w:left="222" w:hanging="222"/>
        <w:spacing w:after="0"/>
        <w:tabs>
          <w:tab w:leader="none" w:pos="222" w:val="left"/>
        </w:tabs>
        <w:numPr>
          <w:ilvl w:val="0"/>
          <w:numId w:val="1"/>
        </w:numPr>
        <w:rPr>
          <w:rFonts w:ascii="Arial" w:cs="Arial" w:eastAsia="Arial" w:hAnsi="Arial"/>
          <w:sz w:val="16"/>
          <w:szCs w:val="16"/>
          <w:color w:val="auto"/>
        </w:rPr>
      </w:pPr>
      <w:r>
        <w:rPr>
          <w:rFonts w:ascii="Arial" w:cs="Arial" w:eastAsia="Arial" w:hAnsi="Arial"/>
          <w:sz w:val="16"/>
          <w:szCs w:val="16"/>
          <w:color w:val="auto"/>
        </w:rPr>
        <w:t>Proposed maximum aggregate value of transaction:</w:t>
      </w:r>
    </w:p>
    <w:p>
      <w:pPr>
        <w:spacing w:after="0" w:line="17" w:lineRule="exact"/>
        <w:rPr>
          <w:sz w:val="24"/>
          <w:szCs w:val="24"/>
          <w:color w:val="auto"/>
        </w:rPr>
      </w:pPr>
    </w:p>
    <w:p>
      <w:pPr>
        <w:ind w:left="2"/>
        <w:spacing w:after="0"/>
        <w:rPr>
          <w:sz w:val="20"/>
          <w:szCs w:val="20"/>
          <w:color w:val="auto"/>
        </w:rPr>
      </w:pPr>
      <w:r>
        <w:rPr>
          <w:rFonts w:ascii="Arial" w:cs="Arial" w:eastAsia="Arial" w:hAnsi="Arial"/>
          <w:sz w:val="20"/>
          <w:szCs w:val="20"/>
          <w:color w:val="auto"/>
        </w:rPr>
        <w:t>____________________________________________________________________________________</w:t>
      </w:r>
    </w:p>
    <w:p>
      <w:pPr>
        <w:ind w:left="2"/>
        <w:spacing w:after="0"/>
        <w:rPr>
          <w:sz w:val="20"/>
          <w:szCs w:val="20"/>
          <w:color w:val="auto"/>
        </w:rPr>
      </w:pPr>
      <w:r>
        <w:rPr>
          <w:rFonts w:ascii="Arial" w:cs="Arial" w:eastAsia="Arial" w:hAnsi="Arial"/>
          <w:sz w:val="16"/>
          <w:szCs w:val="16"/>
          <w:color w:val="auto"/>
        </w:rPr>
        <w:t>5) Total fee paid:</w:t>
      </w:r>
    </w:p>
    <w:p>
      <w:pPr>
        <w:spacing w:after="0" w:line="23" w:lineRule="exact"/>
        <w:rPr>
          <w:sz w:val="24"/>
          <w:szCs w:val="24"/>
          <w:color w:val="auto"/>
        </w:rPr>
      </w:pPr>
    </w:p>
    <w:p>
      <w:pPr>
        <w:ind w:left="2"/>
        <w:spacing w:after="0"/>
        <w:rPr>
          <w:sz w:val="20"/>
          <w:szCs w:val="20"/>
          <w:color w:val="auto"/>
        </w:rPr>
      </w:pPr>
      <w:r>
        <w:rPr>
          <w:rFonts w:ascii="Arial" w:cs="Arial" w:eastAsia="Arial" w:hAnsi="Arial"/>
          <w:sz w:val="16"/>
          <w:szCs w:val="16"/>
          <w:color w:val="auto"/>
        </w:rPr>
        <w:t>[_] Fee paid previously with preliminary materials:</w:t>
      </w:r>
    </w:p>
    <w:p>
      <w:pPr>
        <w:spacing w:after="0" w:line="37" w:lineRule="exact"/>
        <w:rPr>
          <w:sz w:val="24"/>
          <w:szCs w:val="24"/>
          <w:color w:val="auto"/>
        </w:rPr>
      </w:pPr>
    </w:p>
    <w:p>
      <w:pPr>
        <w:ind w:left="242" w:right="3600" w:hanging="238"/>
        <w:spacing w:after="0" w:line="279" w:lineRule="auto"/>
        <w:rPr>
          <w:sz w:val="20"/>
          <w:szCs w:val="20"/>
          <w:color w:val="auto"/>
        </w:rPr>
      </w:pPr>
      <w:r>
        <w:rPr>
          <w:rFonts w:ascii="Arial" w:cs="Arial" w:eastAsia="Arial" w:hAnsi="Arial"/>
          <w:sz w:val="16"/>
          <w:szCs w:val="16"/>
          <w:color w:val="auto"/>
        </w:rPr>
        <w:t>[_]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2"/>
        <w:spacing w:after="0"/>
        <w:rPr>
          <w:sz w:val="20"/>
          <w:szCs w:val="20"/>
          <w:color w:val="auto"/>
        </w:rPr>
      </w:pPr>
      <w:r>
        <w:rPr>
          <w:rFonts w:ascii="Arial" w:cs="Arial" w:eastAsia="Arial" w:hAnsi="Arial"/>
          <w:sz w:val="20"/>
          <w:szCs w:val="20"/>
          <w:color w:val="auto"/>
        </w:rPr>
        <w:t>____________________________________________________________________________________</w:t>
      </w:r>
    </w:p>
    <w:p>
      <w:pPr>
        <w:ind w:left="242"/>
        <w:spacing w:after="0"/>
        <w:rPr>
          <w:sz w:val="20"/>
          <w:szCs w:val="20"/>
          <w:color w:val="auto"/>
        </w:rPr>
      </w:pPr>
      <w:r>
        <w:rPr>
          <w:rFonts w:ascii="Arial" w:cs="Arial" w:eastAsia="Arial" w:hAnsi="Arial"/>
          <w:sz w:val="16"/>
          <w:szCs w:val="16"/>
          <w:color w:val="auto"/>
        </w:rPr>
        <w:t>1) Amount previously paid:</w:t>
      </w:r>
    </w:p>
    <w:p>
      <w:pPr>
        <w:spacing w:after="0" w:line="4" w:lineRule="exact"/>
        <w:rPr>
          <w:sz w:val="24"/>
          <w:szCs w:val="24"/>
          <w:color w:val="auto"/>
        </w:rPr>
      </w:pPr>
    </w:p>
    <w:p>
      <w:pPr>
        <w:ind w:left="2"/>
        <w:spacing w:after="0"/>
        <w:rPr>
          <w:sz w:val="20"/>
          <w:szCs w:val="20"/>
          <w:color w:val="auto"/>
        </w:rPr>
      </w:pPr>
      <w:r>
        <w:rPr>
          <w:rFonts w:ascii="Arial" w:cs="Arial" w:eastAsia="Arial" w:hAnsi="Arial"/>
          <w:sz w:val="20"/>
          <w:szCs w:val="20"/>
          <w:color w:val="auto"/>
        </w:rPr>
        <w:t>____________________________________________________________________________________</w:t>
      </w:r>
    </w:p>
    <w:p>
      <w:pPr>
        <w:spacing w:after="0" w:line="9" w:lineRule="exact"/>
        <w:rPr>
          <w:sz w:val="24"/>
          <w:szCs w:val="24"/>
          <w:color w:val="auto"/>
        </w:rPr>
      </w:pPr>
    </w:p>
    <w:p>
      <w:pPr>
        <w:ind w:left="242"/>
        <w:spacing w:after="0"/>
        <w:rPr>
          <w:sz w:val="20"/>
          <w:szCs w:val="20"/>
          <w:color w:val="auto"/>
        </w:rPr>
      </w:pPr>
      <w:r>
        <w:rPr>
          <w:rFonts w:ascii="Arial" w:cs="Arial" w:eastAsia="Arial" w:hAnsi="Arial"/>
          <w:sz w:val="16"/>
          <w:szCs w:val="16"/>
          <w:color w:val="auto"/>
        </w:rPr>
        <w:t>2) Form, Schedule or Registration Statement No.:</w:t>
      </w:r>
    </w:p>
    <w:p>
      <w:pPr>
        <w:spacing w:after="0" w:line="17" w:lineRule="exact"/>
        <w:rPr>
          <w:sz w:val="24"/>
          <w:szCs w:val="24"/>
          <w:color w:val="auto"/>
        </w:rPr>
      </w:pPr>
    </w:p>
    <w:p>
      <w:pPr>
        <w:ind w:left="2"/>
        <w:spacing w:after="0"/>
        <w:rPr>
          <w:sz w:val="20"/>
          <w:szCs w:val="20"/>
          <w:color w:val="auto"/>
        </w:rPr>
      </w:pPr>
      <w:r>
        <w:rPr>
          <w:rFonts w:ascii="Arial" w:cs="Arial" w:eastAsia="Arial" w:hAnsi="Arial"/>
          <w:sz w:val="20"/>
          <w:szCs w:val="20"/>
          <w:color w:val="auto"/>
        </w:rPr>
        <w:t>____________________________________________________________________________________</w:t>
      </w:r>
    </w:p>
    <w:p>
      <w:pPr>
        <w:ind w:left="242"/>
        <w:spacing w:after="0"/>
        <w:rPr>
          <w:sz w:val="20"/>
          <w:szCs w:val="20"/>
          <w:color w:val="auto"/>
        </w:rPr>
      </w:pPr>
      <w:r>
        <w:rPr>
          <w:rFonts w:ascii="Arial" w:cs="Arial" w:eastAsia="Arial" w:hAnsi="Arial"/>
          <w:sz w:val="16"/>
          <w:szCs w:val="16"/>
          <w:color w:val="auto"/>
        </w:rPr>
        <w:t>3) Filing Party:</w:t>
      </w:r>
    </w:p>
    <w:p>
      <w:pPr>
        <w:spacing w:after="0" w:line="3" w:lineRule="exact"/>
        <w:rPr>
          <w:sz w:val="24"/>
          <w:szCs w:val="24"/>
          <w:color w:val="auto"/>
        </w:rPr>
      </w:pPr>
    </w:p>
    <w:p>
      <w:pPr>
        <w:ind w:left="2"/>
        <w:spacing w:after="0"/>
        <w:rPr>
          <w:sz w:val="20"/>
          <w:szCs w:val="20"/>
          <w:color w:val="auto"/>
        </w:rPr>
      </w:pPr>
      <w:r>
        <w:rPr>
          <w:rFonts w:ascii="Arial" w:cs="Arial" w:eastAsia="Arial" w:hAnsi="Arial"/>
          <w:sz w:val="20"/>
          <w:szCs w:val="20"/>
          <w:color w:val="auto"/>
        </w:rPr>
        <w:t>____________________________________________________________________________________</w:t>
      </w:r>
    </w:p>
    <w:p>
      <w:pPr>
        <w:ind w:left="242"/>
        <w:spacing w:after="0"/>
        <w:rPr>
          <w:sz w:val="20"/>
          <w:szCs w:val="20"/>
          <w:color w:val="auto"/>
        </w:rPr>
      </w:pPr>
      <w:r>
        <w:rPr>
          <w:rFonts w:ascii="Arial" w:cs="Arial" w:eastAsia="Arial" w:hAnsi="Arial"/>
          <w:sz w:val="16"/>
          <w:szCs w:val="16"/>
          <w:color w:val="auto"/>
        </w:rPr>
        <w:t>4) 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279640" cy="20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9640" cy="20320"/>
                    </a:xfrm>
                    <a:prstGeom prst="rect">
                      <a:avLst/>
                    </a:prstGeom>
                    <a:noFill/>
                  </pic:spPr>
                </pic:pic>
              </a:graphicData>
            </a:graphic>
          </wp:anchor>
        </w:drawing>
        <w:drawing>
          <wp:anchor simplePos="0" relativeHeight="251657728" behindDoc="1" locked="0" layoutInCell="0" allowOverlap="1">
            <wp:simplePos x="0" y="0"/>
            <wp:positionH relativeFrom="column">
              <wp:posOffset>2933065</wp:posOffset>
            </wp:positionH>
            <wp:positionV relativeFrom="paragraph">
              <wp:posOffset>269240</wp:posOffset>
            </wp:positionV>
            <wp:extent cx="1400810" cy="528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0810" cy="5289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38"/>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20"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APRIL 17, 2008</w:t>
      </w:r>
    </w:p>
    <w:p>
      <w:pPr>
        <w:spacing w:after="0" w:line="196" w:lineRule="exact"/>
        <w:rPr>
          <w:sz w:val="24"/>
          <w:szCs w:val="24"/>
          <w:color w:val="auto"/>
        </w:rPr>
      </w:pPr>
    </w:p>
    <w:p>
      <w:pPr>
        <w:ind w:left="2"/>
        <w:spacing w:after="0"/>
        <w:rPr>
          <w:sz w:val="20"/>
          <w:szCs w:val="20"/>
          <w:color w:val="auto"/>
        </w:rPr>
      </w:pPr>
      <w:r>
        <w:rPr>
          <w:rFonts w:ascii="Arial" w:cs="Arial" w:eastAsia="Arial" w:hAnsi="Arial"/>
          <w:sz w:val="16"/>
          <w:szCs w:val="16"/>
          <w:color w:val="auto"/>
        </w:rPr>
        <w:t>Dear Stockholder:</w:t>
      </w:r>
    </w:p>
    <w:p>
      <w:pPr>
        <w:spacing w:after="0" w:line="176" w:lineRule="exact"/>
        <w:rPr>
          <w:sz w:val="24"/>
          <w:szCs w:val="24"/>
          <w:color w:val="auto"/>
        </w:rPr>
      </w:pPr>
    </w:p>
    <w:p>
      <w:pPr>
        <w:ind w:left="2" w:right="760"/>
        <w:spacing w:after="0" w:line="276" w:lineRule="auto"/>
        <w:rPr>
          <w:sz w:val="20"/>
          <w:szCs w:val="20"/>
          <w:color w:val="auto"/>
        </w:rPr>
      </w:pPr>
      <w:r>
        <w:rPr>
          <w:rFonts w:ascii="Arial" w:cs="Arial" w:eastAsia="Arial" w:hAnsi="Arial"/>
          <w:sz w:val="16"/>
          <w:szCs w:val="16"/>
          <w:color w:val="auto"/>
        </w:rPr>
        <w:t xml:space="preserve">You are cordially invited to attend the </w:t>
      </w:r>
      <w:r>
        <w:rPr>
          <w:rFonts w:ascii="Arial" w:cs="Arial" w:eastAsia="Arial" w:hAnsi="Arial"/>
          <w:sz w:val="16"/>
          <w:szCs w:val="16"/>
          <w:b w:val="1"/>
          <w:bCs w:val="1"/>
          <w:color w:val="auto"/>
        </w:rPr>
        <w:t>2008 annual meeting of stockholders on Thursday, April 17, 2008,</w:t>
      </w:r>
      <w:r>
        <w:rPr>
          <w:rFonts w:ascii="Arial" w:cs="Arial" w:eastAsia="Arial" w:hAnsi="Arial"/>
          <w:sz w:val="16"/>
          <w:szCs w:val="16"/>
          <w:color w:val="auto"/>
        </w:rPr>
        <w:t xml:space="preserve"> at the cafeteria on our property at 12500 TI Boulevard, Dallas, Texas, at 10:00 a.m. (Dallas time). At the meeting we will:</w:t>
      </w:r>
    </w:p>
    <w:p>
      <w:pPr>
        <w:spacing w:after="0" w:line="185" w:lineRule="exact"/>
        <w:rPr>
          <w:sz w:val="24"/>
          <w:szCs w:val="24"/>
          <w:color w:val="auto"/>
        </w:rPr>
      </w:pPr>
    </w:p>
    <w:p>
      <w:pPr>
        <w:ind w:left="482"/>
        <w:spacing w:after="0"/>
        <w:rPr>
          <w:sz w:val="20"/>
          <w:szCs w:val="20"/>
          <w:color w:val="auto"/>
        </w:rPr>
      </w:pPr>
      <w:r>
        <w:rPr>
          <w:rFonts w:ascii="Arial" w:cs="Arial" w:eastAsia="Arial" w:hAnsi="Arial"/>
          <w:sz w:val="16"/>
          <w:szCs w:val="16"/>
          <w:color w:val="auto"/>
        </w:rPr>
        <w:t>Elect directors for the next year.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173990</wp:posOffset>
            </wp:positionH>
            <wp:positionV relativeFrom="paragraph">
              <wp:posOffset>-92075</wp:posOffset>
            </wp:positionV>
            <wp:extent cx="64135" cy="641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4"/>
          <w:szCs w:val="24"/>
          <w:color w:val="auto"/>
        </w:rPr>
      </w:pPr>
    </w:p>
    <w:p>
      <w:pPr>
        <w:ind w:left="482"/>
        <w:spacing w:after="0" w:line="298" w:lineRule="auto"/>
        <w:rPr>
          <w:sz w:val="20"/>
          <w:szCs w:val="20"/>
          <w:color w:val="auto"/>
        </w:rPr>
      </w:pPr>
      <w:r>
        <w:rPr>
          <w:rFonts w:ascii="Arial" w:cs="Arial" w:eastAsia="Arial" w:hAnsi="Arial"/>
          <w:sz w:val="16"/>
          <w:szCs w:val="16"/>
          <w:color w:val="auto"/>
        </w:rPr>
        <w:t>Consider and act upon a board proposal to ratify the appointment of Ernst &amp; Young LLP as the company’s independent registered public accounting firm for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173990</wp:posOffset>
            </wp:positionH>
            <wp:positionV relativeFrom="paragraph">
              <wp:posOffset>-265430</wp:posOffset>
            </wp:positionV>
            <wp:extent cx="64135" cy="641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85" w:lineRule="exact"/>
        <w:rPr>
          <w:sz w:val="24"/>
          <w:szCs w:val="24"/>
          <w:color w:val="auto"/>
        </w:rPr>
      </w:pPr>
    </w:p>
    <w:p>
      <w:pPr>
        <w:ind w:left="482"/>
        <w:spacing w:after="0"/>
        <w:rPr>
          <w:sz w:val="20"/>
          <w:szCs w:val="20"/>
          <w:color w:val="auto"/>
        </w:rPr>
      </w:pPr>
      <w:r>
        <w:rPr>
          <w:rFonts w:ascii="Arial" w:cs="Arial" w:eastAsia="Arial" w:hAnsi="Arial"/>
          <w:sz w:val="16"/>
          <w:szCs w:val="16"/>
          <w:color w:val="auto"/>
        </w:rPr>
        <w:t>Consider and act upon such other matters, including a stockholder proposal, as may properly come before the meeting.</w:t>
      </w:r>
    </w:p>
    <w:p>
      <w:pPr>
        <w:spacing w:after="0" w:line="208" w:lineRule="exact"/>
        <w:rPr>
          <w:sz w:val="24"/>
          <w:szCs w:val="24"/>
          <w:color w:val="auto"/>
        </w:rPr>
      </w:pPr>
    </w:p>
    <w:p>
      <w:pPr>
        <w:ind w:left="2"/>
        <w:spacing w:after="0"/>
        <w:rPr>
          <w:sz w:val="20"/>
          <w:szCs w:val="20"/>
          <w:color w:val="auto"/>
        </w:rPr>
      </w:pPr>
      <w:r>
        <w:rPr>
          <w:rFonts w:ascii="Arial" w:cs="Arial" w:eastAsia="Arial" w:hAnsi="Arial"/>
          <w:sz w:val="16"/>
          <w:szCs w:val="16"/>
          <w:color w:val="auto"/>
        </w:rPr>
        <w:t>Stockholders of record at the close of business on February 19, 2008, are entitled to vote at the annual meeting.</w:t>
      </w:r>
    </w:p>
    <w:p>
      <w:pPr>
        <w:spacing w:after="0" w:line="176" w:lineRule="exact"/>
        <w:rPr>
          <w:sz w:val="24"/>
          <w:szCs w:val="24"/>
          <w:color w:val="auto"/>
        </w:rPr>
      </w:pPr>
    </w:p>
    <w:p>
      <w:pPr>
        <w:ind w:left="2" w:right="180"/>
        <w:spacing w:after="0" w:line="276" w:lineRule="auto"/>
        <w:rPr>
          <w:sz w:val="20"/>
          <w:szCs w:val="20"/>
          <w:color w:val="auto"/>
        </w:rPr>
      </w:pPr>
      <w:r>
        <w:rPr>
          <w:rFonts w:ascii="Arial" w:cs="Arial" w:eastAsia="Arial" w:hAnsi="Arial"/>
          <w:sz w:val="16"/>
          <w:szCs w:val="16"/>
          <w:b w:val="1"/>
          <w:bCs w:val="1"/>
          <w:color w:val="auto"/>
        </w:rPr>
        <w:t>We urge you to vote your shares as promptly as possible by: (1) accessing the Internet web site, (2) calling the toll-free number or (3) signing, dating and mailing the enclosed proxy.</w:t>
      </w:r>
    </w:p>
    <w:p>
      <w:pPr>
        <w:sectPr>
          <w:pgSz w:w="11900" w:h="16871" w:orient="portrait"/>
          <w:cols w:equalWidth="0" w:num="1">
            <w:col w:w="11422"/>
          </w:cols>
          <w:pgMar w:left="238" w:top="229" w:right="239" w:bottom="0" w:gutter="0" w:footer="0" w:header="0"/>
          <w:type w:val="continuous"/>
        </w:sectPr>
      </w:pPr>
    </w:p>
    <w:bookmarkStart w:id="1" w:name="page2"/>
    <w:bookmarkEnd w:id="1"/>
    <w:p>
      <w:pPr>
        <w:ind w:left="572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5715</wp:posOffset>
            </wp:positionV>
            <wp:extent cx="1851660" cy="5600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51660" cy="560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140" w:type="dxa"/>
            <w:vAlign w:val="bottom"/>
          </w:tcPr>
          <w:p>
            <w:pPr>
              <w:ind w:left="5720"/>
              <w:spacing w:after="0"/>
              <w:rPr>
                <w:sz w:val="20"/>
                <w:szCs w:val="20"/>
                <w:color w:val="auto"/>
              </w:rPr>
            </w:pPr>
            <w:r>
              <w:rPr>
                <w:rFonts w:ascii="Arial" w:cs="Arial" w:eastAsia="Arial" w:hAnsi="Arial"/>
                <w:sz w:val="16"/>
                <w:szCs w:val="16"/>
                <w:color w:val="auto"/>
              </w:rPr>
              <w:t>Joseph F. Hubach</w:t>
            </w:r>
          </w:p>
        </w:tc>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4"/>
        </w:trPr>
        <w:tc>
          <w:tcPr>
            <w:tcW w:w="9140" w:type="dxa"/>
            <w:vAlign w:val="bottom"/>
          </w:tcPr>
          <w:p>
            <w:pPr>
              <w:ind w:left="5720"/>
              <w:spacing w:after="0"/>
              <w:rPr>
                <w:sz w:val="20"/>
                <w:szCs w:val="20"/>
                <w:color w:val="auto"/>
              </w:rPr>
            </w:pPr>
            <w:r>
              <w:rPr>
                <w:rFonts w:ascii="Arial" w:cs="Arial" w:eastAsia="Arial" w:hAnsi="Arial"/>
                <w:sz w:val="16"/>
                <w:szCs w:val="16"/>
                <w:i w:val="1"/>
                <w:iCs w:val="1"/>
                <w:color w:val="auto"/>
              </w:rPr>
              <w:t>Senior Vice President,</w:t>
            </w:r>
          </w:p>
        </w:tc>
        <w:tc>
          <w:tcPr>
            <w:tcW w:w="22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84"/>
        </w:trPr>
        <w:tc>
          <w:tcPr>
            <w:tcW w:w="9140" w:type="dxa"/>
            <w:vAlign w:val="bottom"/>
          </w:tcPr>
          <w:p>
            <w:pPr>
              <w:ind w:left="5720"/>
              <w:spacing w:after="0"/>
              <w:rPr>
                <w:sz w:val="20"/>
                <w:szCs w:val="20"/>
                <w:color w:val="auto"/>
              </w:rPr>
            </w:pPr>
            <w:r>
              <w:rPr>
                <w:rFonts w:ascii="Arial" w:cs="Arial" w:eastAsia="Arial" w:hAnsi="Arial"/>
                <w:sz w:val="16"/>
                <w:szCs w:val="16"/>
                <w:i w:val="1"/>
                <w:iCs w:val="1"/>
                <w:color w:val="auto"/>
              </w:rPr>
              <w:t>Secretary and</w:t>
            </w:r>
          </w:p>
        </w:tc>
        <w:tc>
          <w:tcPr>
            <w:tcW w:w="22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8"/>
        </w:trPr>
        <w:tc>
          <w:tcPr>
            <w:tcW w:w="9140" w:type="dxa"/>
            <w:vAlign w:val="bottom"/>
          </w:tcPr>
          <w:p>
            <w:pPr>
              <w:ind w:left="5720"/>
              <w:spacing w:after="0"/>
              <w:rPr>
                <w:sz w:val="20"/>
                <w:szCs w:val="20"/>
                <w:color w:val="auto"/>
              </w:rPr>
            </w:pPr>
            <w:r>
              <w:rPr>
                <w:rFonts w:ascii="Arial" w:cs="Arial" w:eastAsia="Arial" w:hAnsi="Arial"/>
                <w:sz w:val="16"/>
                <w:szCs w:val="16"/>
                <w:i w:val="1"/>
                <w:iCs w:val="1"/>
                <w:color w:val="auto"/>
              </w:rPr>
              <w:t>General Counsel</w:t>
            </w:r>
          </w:p>
        </w:tc>
        <w:tc>
          <w:tcPr>
            <w:tcW w:w="22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371"/>
        </w:trPr>
        <w:tc>
          <w:tcPr>
            <w:tcW w:w="9140" w:type="dxa"/>
            <w:vAlign w:val="bottom"/>
          </w:tcPr>
          <w:p>
            <w:pPr>
              <w:spacing w:after="0"/>
              <w:rPr>
                <w:sz w:val="20"/>
                <w:szCs w:val="20"/>
                <w:color w:val="auto"/>
              </w:rPr>
            </w:pPr>
            <w:r>
              <w:rPr>
                <w:rFonts w:ascii="Arial" w:cs="Arial" w:eastAsia="Arial" w:hAnsi="Arial"/>
                <w:sz w:val="16"/>
                <w:szCs w:val="16"/>
                <w:color w:val="auto"/>
              </w:rPr>
              <w:t>Dallas, Texas</w:t>
            </w: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2"/>
        </w:trPr>
        <w:tc>
          <w:tcPr>
            <w:tcW w:w="9140" w:type="dxa"/>
            <w:vAlign w:val="bottom"/>
          </w:tcPr>
          <w:p>
            <w:pPr>
              <w:spacing w:after="0"/>
              <w:rPr>
                <w:sz w:val="20"/>
                <w:szCs w:val="20"/>
                <w:color w:val="auto"/>
              </w:rPr>
            </w:pPr>
            <w:r>
              <w:rPr>
                <w:rFonts w:ascii="Arial" w:cs="Arial" w:eastAsia="Arial" w:hAnsi="Arial"/>
                <w:sz w:val="16"/>
                <w:szCs w:val="16"/>
                <w:color w:val="auto"/>
              </w:rPr>
              <w:t>March 7, 2008</w:t>
            </w:r>
          </w:p>
        </w:tc>
        <w:tc>
          <w:tcPr>
            <w:tcW w:w="22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3"/>
        </w:trPr>
        <w:tc>
          <w:tcPr>
            <w:tcW w:w="9140" w:type="dxa"/>
            <w:vAlign w:val="bottom"/>
            <w:tcBorders>
              <w:bottom w:val="single" w:sz="8" w:color="808080"/>
            </w:tcBorders>
          </w:tcPr>
          <w:p>
            <w:pPr>
              <w:spacing w:after="0"/>
              <w:rPr>
                <w:sz w:val="16"/>
                <w:szCs w:val="16"/>
                <w:color w:val="auto"/>
              </w:rPr>
            </w:pPr>
          </w:p>
        </w:tc>
        <w:tc>
          <w:tcPr>
            <w:tcW w:w="228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r>
      <w:tr>
        <w:trPr>
          <w:trHeight w:val="387"/>
        </w:trPr>
        <w:tc>
          <w:tcPr>
            <w:tcW w:w="9140" w:type="dxa"/>
            <w:vAlign w:val="bottom"/>
          </w:tcPr>
          <w:p>
            <w:pPr>
              <w:ind w:left="4860"/>
              <w:spacing w:after="0"/>
              <w:rPr>
                <w:sz w:val="20"/>
                <w:szCs w:val="20"/>
                <w:color w:val="auto"/>
              </w:rPr>
            </w:pPr>
            <w:r>
              <w:rPr>
                <w:rFonts w:ascii="Arial" w:cs="Arial" w:eastAsia="Arial" w:hAnsi="Arial"/>
                <w:sz w:val="16"/>
                <w:szCs w:val="16"/>
                <w:b w:val="1"/>
                <w:bCs w:val="1"/>
                <w:color w:val="auto"/>
              </w:rPr>
              <w:t>TABLE OF CONTENTS</w:t>
            </w:r>
          </w:p>
        </w:tc>
        <w:tc>
          <w:tcPr>
            <w:tcW w:w="2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05"/>
        </w:trPr>
        <w:tc>
          <w:tcPr>
            <w:tcW w:w="9140" w:type="dxa"/>
            <w:vAlign w:val="bottom"/>
          </w:tcPr>
          <w:p>
            <w:pPr>
              <w:spacing w:after="0"/>
              <w:rPr>
                <w:sz w:val="24"/>
                <w:szCs w:val="24"/>
                <w:color w:val="auto"/>
              </w:rPr>
            </w:pPr>
          </w:p>
        </w:tc>
        <w:tc>
          <w:tcPr>
            <w:tcW w:w="2320" w:type="dxa"/>
            <w:vAlign w:val="bottom"/>
            <w:gridSpan w:val="2"/>
          </w:tcPr>
          <w:p>
            <w:pPr>
              <w:ind w:left="1860"/>
              <w:spacing w:after="0"/>
              <w:rPr>
                <w:sz w:val="20"/>
                <w:szCs w:val="20"/>
                <w:color w:val="auto"/>
              </w:rPr>
            </w:pPr>
            <w:r>
              <w:rPr>
                <w:rFonts w:ascii="Arial" w:cs="Arial" w:eastAsia="Arial" w:hAnsi="Arial"/>
                <w:sz w:val="16"/>
                <w:szCs w:val="16"/>
                <w:b w:val="1"/>
                <w:bCs w:val="1"/>
                <w:color w:val="auto"/>
              </w:rPr>
              <w:t>Page</w:t>
            </w:r>
          </w:p>
        </w:tc>
      </w:tr>
      <w:tr>
        <w:trPr>
          <w:trHeight w:val="221"/>
        </w:trPr>
        <w:tc>
          <w:tcPr>
            <w:tcW w:w="9140" w:type="dxa"/>
            <w:vAlign w:val="bottom"/>
            <w:shd w:val="clear" w:color="auto" w:fill="C0C0C0"/>
          </w:tcPr>
          <w:p>
            <w:pPr>
              <w:spacing w:after="0"/>
              <w:rPr>
                <w:sz w:val="20"/>
                <w:szCs w:val="20"/>
                <w:color w:val="auto"/>
              </w:rPr>
            </w:pPr>
            <w:r>
              <w:rPr>
                <w:rFonts w:ascii="Arial" w:cs="Arial" w:eastAsia="Arial" w:hAnsi="Arial"/>
                <w:sz w:val="16"/>
                <w:szCs w:val="16"/>
                <w:color w:val="auto"/>
              </w:rPr>
              <w:t>Voting Procedures</w:t>
            </w:r>
          </w:p>
        </w:tc>
        <w:tc>
          <w:tcPr>
            <w:tcW w:w="22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9"/>
                <w:szCs w:val="19"/>
                <w:color w:val="auto"/>
              </w:rPr>
            </w:pPr>
          </w:p>
        </w:tc>
      </w:tr>
      <w:tr>
        <w:trPr>
          <w:trHeight w:val="220"/>
        </w:trPr>
        <w:tc>
          <w:tcPr>
            <w:tcW w:w="9140" w:type="dxa"/>
            <w:vAlign w:val="bottom"/>
          </w:tcPr>
          <w:p>
            <w:pPr>
              <w:spacing w:after="0"/>
              <w:rPr>
                <w:sz w:val="20"/>
                <w:szCs w:val="20"/>
                <w:color w:val="auto"/>
              </w:rPr>
            </w:pPr>
            <w:r>
              <w:rPr>
                <w:rFonts w:ascii="Arial" w:cs="Arial" w:eastAsia="Arial" w:hAnsi="Arial"/>
                <w:sz w:val="16"/>
                <w:szCs w:val="16"/>
                <w:color w:val="auto"/>
              </w:rPr>
              <w:t>Election of Directors</w:t>
            </w:r>
          </w:p>
        </w:tc>
        <w:tc>
          <w:tcPr>
            <w:tcW w:w="2280" w:type="dxa"/>
            <w:vAlign w:val="bottom"/>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9"/>
                <w:szCs w:val="19"/>
                <w:color w:val="auto"/>
              </w:rPr>
            </w:pPr>
          </w:p>
        </w:tc>
      </w:tr>
      <w:tr>
        <w:trPr>
          <w:trHeight w:val="221"/>
        </w:trPr>
        <w:tc>
          <w:tcPr>
            <w:tcW w:w="9140" w:type="dxa"/>
            <w:vAlign w:val="bottom"/>
            <w:shd w:val="clear" w:color="auto" w:fill="C0C0C0"/>
          </w:tcPr>
          <w:p>
            <w:pPr>
              <w:ind w:left="340"/>
              <w:spacing w:after="0"/>
              <w:rPr>
                <w:sz w:val="20"/>
                <w:szCs w:val="20"/>
                <w:color w:val="auto"/>
              </w:rPr>
            </w:pPr>
            <w:r>
              <w:rPr>
                <w:rFonts w:ascii="Arial" w:cs="Arial" w:eastAsia="Arial" w:hAnsi="Arial"/>
                <w:sz w:val="16"/>
                <w:szCs w:val="16"/>
                <w:color w:val="auto"/>
              </w:rPr>
              <w:t>Nominees for Directorship</w:t>
            </w:r>
          </w:p>
        </w:tc>
        <w:tc>
          <w:tcPr>
            <w:tcW w:w="22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w:t>
            </w:r>
          </w:p>
        </w:tc>
        <w:tc>
          <w:tcPr>
            <w:tcW w:w="40" w:type="dxa"/>
            <w:vAlign w:val="bottom"/>
          </w:tcPr>
          <w:p>
            <w:pPr>
              <w:spacing w:after="0"/>
              <w:rPr>
                <w:sz w:val="19"/>
                <w:szCs w:val="19"/>
                <w:color w:val="auto"/>
              </w:rPr>
            </w:pPr>
          </w:p>
        </w:tc>
      </w:tr>
      <w:tr>
        <w:trPr>
          <w:trHeight w:val="220"/>
        </w:trPr>
        <w:tc>
          <w:tcPr>
            <w:tcW w:w="9140" w:type="dxa"/>
            <w:vAlign w:val="bottom"/>
          </w:tcPr>
          <w:p>
            <w:pPr>
              <w:ind w:left="340"/>
              <w:spacing w:after="0"/>
              <w:rPr>
                <w:sz w:val="20"/>
                <w:szCs w:val="20"/>
                <w:color w:val="auto"/>
              </w:rPr>
            </w:pPr>
            <w:r>
              <w:rPr>
                <w:rFonts w:ascii="Arial" w:cs="Arial" w:eastAsia="Arial" w:hAnsi="Arial"/>
                <w:sz w:val="16"/>
                <w:szCs w:val="16"/>
                <w:color w:val="auto"/>
              </w:rPr>
              <w:t>Retiring Director</w:t>
            </w:r>
          </w:p>
        </w:tc>
        <w:tc>
          <w:tcPr>
            <w:tcW w:w="2280" w:type="dxa"/>
            <w:vAlign w:val="bottom"/>
          </w:tcPr>
          <w:p>
            <w:pPr>
              <w:jc w:val="right"/>
              <w:spacing w:after="0"/>
              <w:rPr>
                <w:sz w:val="20"/>
                <w:szCs w:val="20"/>
                <w:color w:val="auto"/>
              </w:rPr>
            </w:pPr>
            <w:r>
              <w:rPr>
                <w:rFonts w:ascii="Arial" w:cs="Arial" w:eastAsia="Arial" w:hAnsi="Arial"/>
                <w:sz w:val="16"/>
                <w:szCs w:val="16"/>
                <w:color w:val="auto"/>
              </w:rPr>
              <w:t>4</w:t>
            </w:r>
          </w:p>
        </w:tc>
        <w:tc>
          <w:tcPr>
            <w:tcW w:w="40" w:type="dxa"/>
            <w:vAlign w:val="bottom"/>
          </w:tcPr>
          <w:p>
            <w:pPr>
              <w:spacing w:after="0"/>
              <w:rPr>
                <w:sz w:val="19"/>
                <w:szCs w:val="19"/>
                <w:color w:val="auto"/>
              </w:rPr>
            </w:pPr>
          </w:p>
        </w:tc>
      </w:tr>
      <w:tr>
        <w:trPr>
          <w:trHeight w:val="221"/>
        </w:trPr>
        <w:tc>
          <w:tcPr>
            <w:tcW w:w="9140" w:type="dxa"/>
            <w:vAlign w:val="bottom"/>
            <w:shd w:val="clear" w:color="auto" w:fill="C0C0C0"/>
          </w:tcPr>
          <w:p>
            <w:pPr>
              <w:ind w:left="340"/>
              <w:spacing w:after="0"/>
              <w:rPr>
                <w:sz w:val="20"/>
                <w:szCs w:val="20"/>
                <w:color w:val="auto"/>
              </w:rPr>
            </w:pPr>
            <w:r>
              <w:rPr>
                <w:rFonts w:ascii="Arial" w:cs="Arial" w:eastAsia="Arial" w:hAnsi="Arial"/>
                <w:sz w:val="16"/>
                <w:szCs w:val="16"/>
                <w:color w:val="auto"/>
              </w:rPr>
              <w:t>Director Nomination Process</w:t>
            </w:r>
          </w:p>
        </w:tc>
        <w:tc>
          <w:tcPr>
            <w:tcW w:w="22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9"/>
                <w:szCs w:val="19"/>
                <w:color w:val="auto"/>
              </w:rPr>
            </w:pPr>
          </w:p>
        </w:tc>
      </w:tr>
      <w:tr>
        <w:trPr>
          <w:trHeight w:val="220"/>
        </w:trPr>
        <w:tc>
          <w:tcPr>
            <w:tcW w:w="9140" w:type="dxa"/>
            <w:vAlign w:val="bottom"/>
          </w:tcPr>
          <w:p>
            <w:pPr>
              <w:ind w:left="340"/>
              <w:spacing w:after="0"/>
              <w:rPr>
                <w:sz w:val="20"/>
                <w:szCs w:val="20"/>
                <w:color w:val="auto"/>
              </w:rPr>
            </w:pPr>
            <w:r>
              <w:rPr>
                <w:rFonts w:ascii="Arial" w:cs="Arial" w:eastAsia="Arial" w:hAnsi="Arial"/>
                <w:sz w:val="16"/>
                <w:szCs w:val="16"/>
                <w:color w:val="auto"/>
              </w:rPr>
              <w:t>Communications with the Board</w:t>
            </w:r>
          </w:p>
        </w:tc>
        <w:tc>
          <w:tcPr>
            <w:tcW w:w="2280" w:type="dxa"/>
            <w:vAlign w:val="bottom"/>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9"/>
                <w:szCs w:val="19"/>
                <w:color w:val="auto"/>
              </w:rPr>
            </w:pPr>
          </w:p>
        </w:tc>
      </w:tr>
      <w:tr>
        <w:trPr>
          <w:trHeight w:val="221"/>
        </w:trPr>
        <w:tc>
          <w:tcPr>
            <w:tcW w:w="9140" w:type="dxa"/>
            <w:vAlign w:val="bottom"/>
            <w:shd w:val="clear" w:color="auto" w:fill="C0C0C0"/>
          </w:tcPr>
          <w:p>
            <w:pPr>
              <w:ind w:left="340"/>
              <w:spacing w:after="0"/>
              <w:rPr>
                <w:sz w:val="20"/>
                <w:szCs w:val="20"/>
                <w:color w:val="auto"/>
              </w:rPr>
            </w:pPr>
            <w:r>
              <w:rPr>
                <w:rFonts w:ascii="Arial" w:cs="Arial" w:eastAsia="Arial" w:hAnsi="Arial"/>
                <w:sz w:val="16"/>
                <w:szCs w:val="16"/>
                <w:color w:val="auto"/>
              </w:rPr>
              <w:t>Annual Meeting Attendance</w:t>
            </w:r>
          </w:p>
        </w:tc>
        <w:tc>
          <w:tcPr>
            <w:tcW w:w="22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w:t>
            </w:r>
          </w:p>
        </w:tc>
        <w:tc>
          <w:tcPr>
            <w:tcW w:w="40" w:type="dxa"/>
            <w:vAlign w:val="bottom"/>
          </w:tcPr>
          <w:p>
            <w:pPr>
              <w:spacing w:after="0"/>
              <w:rPr>
                <w:sz w:val="19"/>
                <w:szCs w:val="19"/>
                <w:color w:val="auto"/>
              </w:rPr>
            </w:pPr>
          </w:p>
        </w:tc>
      </w:tr>
      <w:tr>
        <w:trPr>
          <w:trHeight w:val="220"/>
        </w:trPr>
        <w:tc>
          <w:tcPr>
            <w:tcW w:w="9140" w:type="dxa"/>
            <w:vAlign w:val="bottom"/>
          </w:tcPr>
          <w:p>
            <w:pPr>
              <w:ind w:left="340"/>
              <w:spacing w:after="0"/>
              <w:rPr>
                <w:sz w:val="20"/>
                <w:szCs w:val="20"/>
                <w:color w:val="auto"/>
              </w:rPr>
            </w:pPr>
            <w:r>
              <w:rPr>
                <w:rFonts w:ascii="Arial" w:cs="Arial" w:eastAsia="Arial" w:hAnsi="Arial"/>
                <w:sz w:val="16"/>
                <w:szCs w:val="16"/>
                <w:color w:val="auto"/>
              </w:rPr>
              <w:t>Director Independence</w:t>
            </w:r>
          </w:p>
        </w:tc>
        <w:tc>
          <w:tcPr>
            <w:tcW w:w="2280" w:type="dxa"/>
            <w:vAlign w:val="bottom"/>
          </w:tcPr>
          <w:p>
            <w:pPr>
              <w:jc w:val="right"/>
              <w:spacing w:after="0"/>
              <w:rPr>
                <w:sz w:val="20"/>
                <w:szCs w:val="20"/>
                <w:color w:val="auto"/>
              </w:rPr>
            </w:pPr>
            <w:r>
              <w:rPr>
                <w:rFonts w:ascii="Arial" w:cs="Arial" w:eastAsia="Arial" w:hAnsi="Arial"/>
                <w:sz w:val="16"/>
                <w:szCs w:val="16"/>
                <w:color w:val="auto"/>
              </w:rPr>
              <w:t>6</w:t>
            </w:r>
          </w:p>
        </w:tc>
        <w:tc>
          <w:tcPr>
            <w:tcW w:w="40" w:type="dxa"/>
            <w:vAlign w:val="bottom"/>
          </w:tcPr>
          <w:p>
            <w:pPr>
              <w:spacing w:after="0"/>
              <w:rPr>
                <w:sz w:val="19"/>
                <w:szCs w:val="19"/>
                <w:color w:val="auto"/>
              </w:rPr>
            </w:pPr>
          </w:p>
        </w:tc>
      </w:tr>
      <w:tr>
        <w:trPr>
          <w:trHeight w:val="221"/>
        </w:trPr>
        <w:tc>
          <w:tcPr>
            <w:tcW w:w="9140" w:type="dxa"/>
            <w:vAlign w:val="bottom"/>
            <w:shd w:val="clear" w:color="auto" w:fill="C0C0C0"/>
          </w:tcPr>
          <w:p>
            <w:pPr>
              <w:ind w:left="340"/>
              <w:spacing w:after="0"/>
              <w:rPr>
                <w:sz w:val="20"/>
                <w:szCs w:val="20"/>
                <w:color w:val="auto"/>
              </w:rPr>
            </w:pPr>
            <w:r>
              <w:rPr>
                <w:rFonts w:ascii="Arial" w:cs="Arial" w:eastAsia="Arial" w:hAnsi="Arial"/>
                <w:sz w:val="16"/>
                <w:szCs w:val="16"/>
                <w:color w:val="auto"/>
              </w:rPr>
              <w:t>Directors’ Ages, Service and Stock Ownership</w:t>
            </w:r>
          </w:p>
        </w:tc>
        <w:tc>
          <w:tcPr>
            <w:tcW w:w="22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8</w:t>
            </w:r>
          </w:p>
        </w:tc>
        <w:tc>
          <w:tcPr>
            <w:tcW w:w="40" w:type="dxa"/>
            <w:vAlign w:val="bottom"/>
          </w:tcPr>
          <w:p>
            <w:pPr>
              <w:spacing w:after="0"/>
              <w:rPr>
                <w:sz w:val="19"/>
                <w:szCs w:val="19"/>
                <w:color w:val="auto"/>
              </w:rPr>
            </w:pPr>
          </w:p>
        </w:tc>
      </w:tr>
      <w:tr>
        <w:trPr>
          <w:trHeight w:val="220"/>
        </w:trPr>
        <w:tc>
          <w:tcPr>
            <w:tcW w:w="9140" w:type="dxa"/>
            <w:vAlign w:val="bottom"/>
          </w:tcPr>
          <w:p>
            <w:pPr>
              <w:spacing w:after="0"/>
              <w:rPr>
                <w:sz w:val="20"/>
                <w:szCs w:val="20"/>
                <w:color w:val="auto"/>
              </w:rPr>
            </w:pPr>
            <w:r>
              <w:rPr>
                <w:rFonts w:ascii="Arial" w:cs="Arial" w:eastAsia="Arial" w:hAnsi="Arial"/>
                <w:sz w:val="16"/>
                <w:szCs w:val="16"/>
                <w:color w:val="auto"/>
              </w:rPr>
              <w:t>Corporate Governance</w:t>
            </w:r>
          </w:p>
        </w:tc>
        <w:tc>
          <w:tcPr>
            <w:tcW w:w="2280" w:type="dxa"/>
            <w:vAlign w:val="bottom"/>
          </w:tcPr>
          <w:p>
            <w:pPr>
              <w:jc w:val="right"/>
              <w:spacing w:after="0"/>
              <w:rPr>
                <w:sz w:val="20"/>
                <w:szCs w:val="20"/>
                <w:color w:val="auto"/>
              </w:rPr>
            </w:pPr>
            <w:r>
              <w:rPr>
                <w:rFonts w:ascii="Arial" w:cs="Arial" w:eastAsia="Arial" w:hAnsi="Arial"/>
                <w:sz w:val="16"/>
                <w:szCs w:val="16"/>
                <w:color w:val="auto"/>
              </w:rPr>
              <w:t>9</w:t>
            </w:r>
          </w:p>
        </w:tc>
        <w:tc>
          <w:tcPr>
            <w:tcW w:w="40" w:type="dxa"/>
            <w:vAlign w:val="bottom"/>
          </w:tcPr>
          <w:p>
            <w:pPr>
              <w:spacing w:after="0"/>
              <w:rPr>
                <w:sz w:val="19"/>
                <w:szCs w:val="19"/>
                <w:color w:val="auto"/>
              </w:rPr>
            </w:pPr>
          </w:p>
        </w:tc>
      </w:tr>
      <w:tr>
        <w:trPr>
          <w:trHeight w:val="221"/>
        </w:trPr>
        <w:tc>
          <w:tcPr>
            <w:tcW w:w="9140" w:type="dxa"/>
            <w:vAlign w:val="bottom"/>
            <w:shd w:val="clear" w:color="auto" w:fill="C0C0C0"/>
          </w:tcPr>
          <w:p>
            <w:pPr>
              <w:ind w:left="340"/>
              <w:spacing w:after="0"/>
              <w:rPr>
                <w:sz w:val="20"/>
                <w:szCs w:val="20"/>
                <w:color w:val="auto"/>
              </w:rPr>
            </w:pPr>
            <w:r>
              <w:rPr>
                <w:rFonts w:ascii="Arial" w:cs="Arial" w:eastAsia="Arial" w:hAnsi="Arial"/>
                <w:sz w:val="16"/>
                <w:szCs w:val="16"/>
                <w:color w:val="auto"/>
              </w:rPr>
              <w:t>Governance Documents</w:t>
            </w:r>
          </w:p>
        </w:tc>
        <w:tc>
          <w:tcPr>
            <w:tcW w:w="22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9"/>
                <w:szCs w:val="19"/>
                <w:color w:val="auto"/>
              </w:rPr>
            </w:pPr>
          </w:p>
        </w:tc>
      </w:tr>
      <w:tr>
        <w:trPr>
          <w:trHeight w:val="220"/>
        </w:trPr>
        <w:tc>
          <w:tcPr>
            <w:tcW w:w="9140" w:type="dxa"/>
            <w:vAlign w:val="bottom"/>
          </w:tcPr>
          <w:p>
            <w:pPr>
              <w:spacing w:after="0"/>
              <w:rPr>
                <w:sz w:val="20"/>
                <w:szCs w:val="20"/>
                <w:color w:val="auto"/>
              </w:rPr>
            </w:pPr>
            <w:r>
              <w:rPr>
                <w:rFonts w:ascii="Arial" w:cs="Arial" w:eastAsia="Arial" w:hAnsi="Arial"/>
                <w:sz w:val="16"/>
                <w:szCs w:val="16"/>
                <w:color w:val="auto"/>
              </w:rPr>
              <w:t>Board Organization</w:t>
            </w:r>
          </w:p>
        </w:tc>
        <w:tc>
          <w:tcPr>
            <w:tcW w:w="2280" w:type="dxa"/>
            <w:vAlign w:val="bottom"/>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9"/>
                <w:szCs w:val="19"/>
                <w:color w:val="auto"/>
              </w:rPr>
            </w:pPr>
          </w:p>
        </w:tc>
      </w:tr>
      <w:tr>
        <w:trPr>
          <w:trHeight w:val="221"/>
        </w:trPr>
        <w:tc>
          <w:tcPr>
            <w:tcW w:w="9140" w:type="dxa"/>
            <w:vAlign w:val="bottom"/>
            <w:shd w:val="clear" w:color="auto" w:fill="C0C0C0"/>
          </w:tcPr>
          <w:p>
            <w:pPr>
              <w:ind w:left="340"/>
              <w:spacing w:after="0"/>
              <w:rPr>
                <w:sz w:val="20"/>
                <w:szCs w:val="20"/>
                <w:color w:val="auto"/>
              </w:rPr>
            </w:pPr>
            <w:r>
              <w:rPr>
                <w:rFonts w:ascii="Arial" w:cs="Arial" w:eastAsia="Arial" w:hAnsi="Arial"/>
                <w:sz w:val="16"/>
                <w:szCs w:val="16"/>
                <w:color w:val="auto"/>
              </w:rPr>
              <w:t>Board and Committee Meetings</w:t>
            </w:r>
          </w:p>
        </w:tc>
        <w:tc>
          <w:tcPr>
            <w:tcW w:w="22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9"/>
                <w:szCs w:val="19"/>
                <w:color w:val="auto"/>
              </w:rPr>
            </w:pPr>
          </w:p>
        </w:tc>
      </w:tr>
      <w:tr>
        <w:trPr>
          <w:trHeight w:val="220"/>
        </w:trPr>
        <w:tc>
          <w:tcPr>
            <w:tcW w:w="9140" w:type="dxa"/>
            <w:vAlign w:val="bottom"/>
          </w:tcPr>
          <w:p>
            <w:pPr>
              <w:ind w:left="340"/>
              <w:spacing w:after="0"/>
              <w:rPr>
                <w:sz w:val="20"/>
                <w:szCs w:val="20"/>
                <w:color w:val="auto"/>
              </w:rPr>
            </w:pPr>
            <w:r>
              <w:rPr>
                <w:rFonts w:ascii="Arial" w:cs="Arial" w:eastAsia="Arial" w:hAnsi="Arial"/>
                <w:sz w:val="16"/>
                <w:szCs w:val="16"/>
                <w:color w:val="auto"/>
              </w:rPr>
              <w:t>Committees of the Board</w:t>
            </w:r>
          </w:p>
        </w:tc>
        <w:tc>
          <w:tcPr>
            <w:tcW w:w="2280" w:type="dxa"/>
            <w:vAlign w:val="bottom"/>
          </w:tcPr>
          <w:p>
            <w:pPr>
              <w:jc w:val="right"/>
              <w:spacing w:after="0"/>
              <w:rPr>
                <w:sz w:val="20"/>
                <w:szCs w:val="20"/>
                <w:color w:val="auto"/>
              </w:rPr>
            </w:pPr>
            <w:r>
              <w:rPr>
                <w:rFonts w:ascii="Arial" w:cs="Arial" w:eastAsia="Arial" w:hAnsi="Arial"/>
                <w:sz w:val="16"/>
                <w:szCs w:val="16"/>
                <w:color w:val="auto"/>
              </w:rPr>
              <w:t>10</w:t>
            </w:r>
          </w:p>
        </w:tc>
        <w:tc>
          <w:tcPr>
            <w:tcW w:w="40" w:type="dxa"/>
            <w:vAlign w:val="bottom"/>
          </w:tcPr>
          <w:p>
            <w:pPr>
              <w:spacing w:after="0"/>
              <w:rPr>
                <w:sz w:val="19"/>
                <w:szCs w:val="19"/>
                <w:color w:val="auto"/>
              </w:rPr>
            </w:pPr>
          </w:p>
        </w:tc>
      </w:tr>
      <w:tr>
        <w:trPr>
          <w:trHeight w:val="221"/>
        </w:trPr>
        <w:tc>
          <w:tcPr>
            <w:tcW w:w="9140" w:type="dxa"/>
            <w:vAlign w:val="bottom"/>
            <w:shd w:val="clear" w:color="auto" w:fill="C0C0C0"/>
          </w:tcPr>
          <w:p>
            <w:pPr>
              <w:spacing w:after="0"/>
              <w:rPr>
                <w:sz w:val="20"/>
                <w:szCs w:val="20"/>
                <w:color w:val="auto"/>
              </w:rPr>
            </w:pPr>
            <w:r>
              <w:rPr>
                <w:rFonts w:ascii="Arial" w:cs="Arial" w:eastAsia="Arial" w:hAnsi="Arial"/>
                <w:sz w:val="16"/>
                <w:szCs w:val="16"/>
                <w:color w:val="auto"/>
              </w:rPr>
              <w:t>Director Compensation</w:t>
            </w:r>
          </w:p>
        </w:tc>
        <w:tc>
          <w:tcPr>
            <w:tcW w:w="22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14</w:t>
            </w:r>
          </w:p>
        </w:tc>
        <w:tc>
          <w:tcPr>
            <w:tcW w:w="40" w:type="dxa"/>
            <w:vAlign w:val="bottom"/>
          </w:tcPr>
          <w:p>
            <w:pPr>
              <w:spacing w:after="0"/>
              <w:rPr>
                <w:sz w:val="19"/>
                <w:szCs w:val="19"/>
                <w:color w:val="auto"/>
              </w:rPr>
            </w:pPr>
          </w:p>
        </w:tc>
      </w:tr>
      <w:tr>
        <w:trPr>
          <w:trHeight w:val="220"/>
        </w:trPr>
        <w:tc>
          <w:tcPr>
            <w:tcW w:w="9140" w:type="dxa"/>
            <w:vAlign w:val="bottom"/>
          </w:tcPr>
          <w:p>
            <w:pPr>
              <w:spacing w:after="0"/>
              <w:rPr>
                <w:sz w:val="20"/>
                <w:szCs w:val="20"/>
                <w:color w:val="auto"/>
              </w:rPr>
            </w:pPr>
            <w:r>
              <w:rPr>
                <w:rFonts w:ascii="Arial" w:cs="Arial" w:eastAsia="Arial" w:hAnsi="Arial"/>
                <w:sz w:val="16"/>
                <w:szCs w:val="16"/>
                <w:color w:val="auto"/>
              </w:rPr>
              <w:t>Executive Compensation</w:t>
            </w:r>
          </w:p>
        </w:tc>
        <w:tc>
          <w:tcPr>
            <w:tcW w:w="2280" w:type="dxa"/>
            <w:vAlign w:val="bottom"/>
          </w:tcPr>
          <w:p>
            <w:pPr>
              <w:jc w:val="right"/>
              <w:spacing w:after="0"/>
              <w:rPr>
                <w:sz w:val="20"/>
                <w:szCs w:val="20"/>
                <w:color w:val="auto"/>
              </w:rPr>
            </w:pPr>
            <w:r>
              <w:rPr>
                <w:rFonts w:ascii="Arial" w:cs="Arial" w:eastAsia="Arial" w:hAnsi="Arial"/>
                <w:sz w:val="16"/>
                <w:szCs w:val="16"/>
                <w:color w:val="auto"/>
              </w:rPr>
              <w:t>17</w:t>
            </w:r>
          </w:p>
        </w:tc>
        <w:tc>
          <w:tcPr>
            <w:tcW w:w="40" w:type="dxa"/>
            <w:vAlign w:val="bottom"/>
          </w:tcPr>
          <w:p>
            <w:pPr>
              <w:spacing w:after="0"/>
              <w:rPr>
                <w:sz w:val="19"/>
                <w:szCs w:val="19"/>
                <w:color w:val="auto"/>
              </w:rPr>
            </w:pPr>
          </w:p>
        </w:tc>
      </w:tr>
      <w:tr>
        <w:trPr>
          <w:trHeight w:val="221"/>
        </w:trPr>
        <w:tc>
          <w:tcPr>
            <w:tcW w:w="9140" w:type="dxa"/>
            <w:vAlign w:val="bottom"/>
            <w:shd w:val="clear" w:color="auto" w:fill="C0C0C0"/>
          </w:tcPr>
          <w:p>
            <w:pPr>
              <w:ind w:left="340"/>
              <w:spacing w:after="0"/>
              <w:rPr>
                <w:sz w:val="20"/>
                <w:szCs w:val="20"/>
                <w:color w:val="auto"/>
              </w:rPr>
            </w:pPr>
            <w:r>
              <w:rPr>
                <w:rFonts w:ascii="Arial" w:cs="Arial" w:eastAsia="Arial" w:hAnsi="Arial"/>
                <w:sz w:val="16"/>
                <w:szCs w:val="16"/>
                <w:color w:val="auto"/>
              </w:rPr>
              <w:t>Compensation Discussion and Analysis</w:t>
            </w:r>
          </w:p>
        </w:tc>
        <w:tc>
          <w:tcPr>
            <w:tcW w:w="22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17</w:t>
            </w:r>
          </w:p>
        </w:tc>
        <w:tc>
          <w:tcPr>
            <w:tcW w:w="40" w:type="dxa"/>
            <w:vAlign w:val="bottom"/>
          </w:tcPr>
          <w:p>
            <w:pPr>
              <w:spacing w:after="0"/>
              <w:rPr>
                <w:sz w:val="19"/>
                <w:szCs w:val="19"/>
                <w:color w:val="auto"/>
              </w:rPr>
            </w:pPr>
          </w:p>
        </w:tc>
      </w:tr>
      <w:tr>
        <w:trPr>
          <w:trHeight w:val="220"/>
        </w:trPr>
        <w:tc>
          <w:tcPr>
            <w:tcW w:w="9140" w:type="dxa"/>
            <w:vAlign w:val="bottom"/>
          </w:tcPr>
          <w:p>
            <w:pPr>
              <w:ind w:left="340"/>
              <w:spacing w:after="0"/>
              <w:rPr>
                <w:sz w:val="20"/>
                <w:szCs w:val="20"/>
                <w:color w:val="auto"/>
              </w:rPr>
            </w:pPr>
            <w:r>
              <w:rPr>
                <w:rFonts w:ascii="Arial" w:cs="Arial" w:eastAsia="Arial" w:hAnsi="Arial"/>
                <w:sz w:val="16"/>
                <w:szCs w:val="16"/>
                <w:color w:val="auto"/>
              </w:rPr>
              <w:t>Compensation Committee Report</w:t>
            </w:r>
          </w:p>
        </w:tc>
        <w:tc>
          <w:tcPr>
            <w:tcW w:w="2280" w:type="dxa"/>
            <w:vAlign w:val="bottom"/>
          </w:tcPr>
          <w:p>
            <w:pPr>
              <w:jc w:val="right"/>
              <w:spacing w:after="0"/>
              <w:rPr>
                <w:sz w:val="20"/>
                <w:szCs w:val="20"/>
                <w:color w:val="auto"/>
              </w:rPr>
            </w:pPr>
            <w:r>
              <w:rPr>
                <w:rFonts w:ascii="Arial" w:cs="Arial" w:eastAsia="Arial" w:hAnsi="Arial"/>
                <w:sz w:val="16"/>
                <w:szCs w:val="16"/>
                <w:color w:val="auto"/>
              </w:rPr>
              <w:t>30</w:t>
            </w:r>
          </w:p>
        </w:tc>
        <w:tc>
          <w:tcPr>
            <w:tcW w:w="40" w:type="dxa"/>
            <w:vAlign w:val="bottom"/>
          </w:tcPr>
          <w:p>
            <w:pPr>
              <w:spacing w:after="0"/>
              <w:rPr>
                <w:sz w:val="19"/>
                <w:szCs w:val="19"/>
                <w:color w:val="auto"/>
              </w:rPr>
            </w:pPr>
          </w:p>
        </w:tc>
      </w:tr>
      <w:tr>
        <w:trPr>
          <w:trHeight w:val="221"/>
        </w:trPr>
        <w:tc>
          <w:tcPr>
            <w:tcW w:w="9140" w:type="dxa"/>
            <w:vAlign w:val="bottom"/>
            <w:shd w:val="clear" w:color="auto" w:fill="C0C0C0"/>
          </w:tcPr>
          <w:p>
            <w:pPr>
              <w:ind w:left="340"/>
              <w:spacing w:after="0"/>
              <w:rPr>
                <w:sz w:val="20"/>
                <w:szCs w:val="20"/>
                <w:color w:val="auto"/>
              </w:rPr>
            </w:pPr>
            <w:r>
              <w:rPr>
                <w:rFonts w:ascii="Arial" w:cs="Arial" w:eastAsia="Arial" w:hAnsi="Arial"/>
                <w:sz w:val="16"/>
                <w:szCs w:val="16"/>
                <w:color w:val="auto"/>
              </w:rPr>
              <w:t>2007 Summary Compensation Table</w:t>
            </w:r>
          </w:p>
        </w:tc>
        <w:tc>
          <w:tcPr>
            <w:tcW w:w="22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30</w:t>
            </w:r>
          </w:p>
        </w:tc>
        <w:tc>
          <w:tcPr>
            <w:tcW w:w="40" w:type="dxa"/>
            <w:vAlign w:val="bottom"/>
          </w:tcPr>
          <w:p>
            <w:pPr>
              <w:spacing w:after="0"/>
              <w:rPr>
                <w:sz w:val="19"/>
                <w:szCs w:val="19"/>
                <w:color w:val="auto"/>
              </w:rPr>
            </w:pPr>
          </w:p>
        </w:tc>
      </w:tr>
      <w:tr>
        <w:trPr>
          <w:trHeight w:val="220"/>
        </w:trPr>
        <w:tc>
          <w:tcPr>
            <w:tcW w:w="9140" w:type="dxa"/>
            <w:vAlign w:val="bottom"/>
          </w:tcPr>
          <w:p>
            <w:pPr>
              <w:ind w:left="340"/>
              <w:spacing w:after="0"/>
              <w:rPr>
                <w:sz w:val="20"/>
                <w:szCs w:val="20"/>
                <w:color w:val="auto"/>
              </w:rPr>
            </w:pPr>
            <w:r>
              <w:rPr>
                <w:rFonts w:ascii="Arial" w:cs="Arial" w:eastAsia="Arial" w:hAnsi="Arial"/>
                <w:sz w:val="16"/>
                <w:szCs w:val="16"/>
                <w:color w:val="auto"/>
              </w:rPr>
              <w:t>Grants of Plan-Based Awards in 2007</w:t>
            </w:r>
          </w:p>
        </w:tc>
        <w:tc>
          <w:tcPr>
            <w:tcW w:w="2280" w:type="dxa"/>
            <w:vAlign w:val="bottom"/>
          </w:tcPr>
          <w:p>
            <w:pPr>
              <w:jc w:val="right"/>
              <w:spacing w:after="0"/>
              <w:rPr>
                <w:sz w:val="20"/>
                <w:szCs w:val="20"/>
                <w:color w:val="auto"/>
              </w:rPr>
            </w:pPr>
            <w:r>
              <w:rPr>
                <w:rFonts w:ascii="Arial" w:cs="Arial" w:eastAsia="Arial" w:hAnsi="Arial"/>
                <w:sz w:val="16"/>
                <w:szCs w:val="16"/>
                <w:color w:val="auto"/>
              </w:rPr>
              <w:t>33</w:t>
            </w:r>
          </w:p>
        </w:tc>
        <w:tc>
          <w:tcPr>
            <w:tcW w:w="40" w:type="dxa"/>
            <w:vAlign w:val="bottom"/>
          </w:tcPr>
          <w:p>
            <w:pPr>
              <w:spacing w:after="0"/>
              <w:rPr>
                <w:sz w:val="19"/>
                <w:szCs w:val="19"/>
                <w:color w:val="auto"/>
              </w:rPr>
            </w:pPr>
          </w:p>
        </w:tc>
      </w:tr>
      <w:tr>
        <w:trPr>
          <w:trHeight w:val="221"/>
        </w:trPr>
        <w:tc>
          <w:tcPr>
            <w:tcW w:w="9140" w:type="dxa"/>
            <w:vAlign w:val="bottom"/>
            <w:shd w:val="clear" w:color="auto" w:fill="C0C0C0"/>
          </w:tcPr>
          <w:p>
            <w:pPr>
              <w:ind w:left="340"/>
              <w:spacing w:after="0"/>
              <w:rPr>
                <w:sz w:val="20"/>
                <w:szCs w:val="20"/>
                <w:color w:val="auto"/>
              </w:rPr>
            </w:pPr>
            <w:r>
              <w:rPr>
                <w:rFonts w:ascii="Arial" w:cs="Arial" w:eastAsia="Arial" w:hAnsi="Arial"/>
                <w:sz w:val="16"/>
                <w:szCs w:val="16"/>
                <w:color w:val="auto"/>
              </w:rPr>
              <w:t>Outstanding Equity Awards at Fiscal Year-End 2007</w:t>
            </w:r>
          </w:p>
        </w:tc>
        <w:tc>
          <w:tcPr>
            <w:tcW w:w="22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34</w:t>
            </w:r>
          </w:p>
        </w:tc>
        <w:tc>
          <w:tcPr>
            <w:tcW w:w="40" w:type="dxa"/>
            <w:vAlign w:val="bottom"/>
          </w:tcPr>
          <w:p>
            <w:pPr>
              <w:spacing w:after="0"/>
              <w:rPr>
                <w:sz w:val="19"/>
                <w:szCs w:val="19"/>
                <w:color w:val="auto"/>
              </w:rPr>
            </w:pPr>
          </w:p>
        </w:tc>
      </w:tr>
      <w:tr>
        <w:trPr>
          <w:trHeight w:val="220"/>
        </w:trPr>
        <w:tc>
          <w:tcPr>
            <w:tcW w:w="9140" w:type="dxa"/>
            <w:vAlign w:val="bottom"/>
          </w:tcPr>
          <w:p>
            <w:pPr>
              <w:ind w:left="340"/>
              <w:spacing w:after="0"/>
              <w:rPr>
                <w:sz w:val="20"/>
                <w:szCs w:val="20"/>
                <w:color w:val="auto"/>
              </w:rPr>
            </w:pPr>
            <w:r>
              <w:rPr>
                <w:rFonts w:ascii="Arial" w:cs="Arial" w:eastAsia="Arial" w:hAnsi="Arial"/>
                <w:sz w:val="16"/>
                <w:szCs w:val="16"/>
                <w:color w:val="auto"/>
              </w:rPr>
              <w:t>2007 Option Exercises and Stock Vested</w:t>
            </w:r>
          </w:p>
        </w:tc>
        <w:tc>
          <w:tcPr>
            <w:tcW w:w="2280" w:type="dxa"/>
            <w:vAlign w:val="bottom"/>
          </w:tcPr>
          <w:p>
            <w:pPr>
              <w:jc w:val="right"/>
              <w:spacing w:after="0"/>
              <w:rPr>
                <w:sz w:val="20"/>
                <w:szCs w:val="20"/>
                <w:color w:val="auto"/>
              </w:rPr>
            </w:pPr>
            <w:r>
              <w:rPr>
                <w:rFonts w:ascii="Arial" w:cs="Arial" w:eastAsia="Arial" w:hAnsi="Arial"/>
                <w:sz w:val="16"/>
                <w:szCs w:val="16"/>
                <w:color w:val="auto"/>
              </w:rPr>
              <w:t>37</w:t>
            </w:r>
          </w:p>
        </w:tc>
        <w:tc>
          <w:tcPr>
            <w:tcW w:w="40" w:type="dxa"/>
            <w:vAlign w:val="bottom"/>
          </w:tcPr>
          <w:p>
            <w:pPr>
              <w:spacing w:after="0"/>
              <w:rPr>
                <w:sz w:val="19"/>
                <w:szCs w:val="19"/>
                <w:color w:val="auto"/>
              </w:rPr>
            </w:pPr>
          </w:p>
        </w:tc>
      </w:tr>
      <w:tr>
        <w:trPr>
          <w:trHeight w:val="221"/>
        </w:trPr>
        <w:tc>
          <w:tcPr>
            <w:tcW w:w="9140" w:type="dxa"/>
            <w:vAlign w:val="bottom"/>
            <w:shd w:val="clear" w:color="auto" w:fill="C0C0C0"/>
          </w:tcPr>
          <w:p>
            <w:pPr>
              <w:ind w:left="340"/>
              <w:spacing w:after="0"/>
              <w:rPr>
                <w:sz w:val="20"/>
                <w:szCs w:val="20"/>
                <w:color w:val="auto"/>
              </w:rPr>
            </w:pPr>
            <w:r>
              <w:rPr>
                <w:rFonts w:ascii="Arial" w:cs="Arial" w:eastAsia="Arial" w:hAnsi="Arial"/>
                <w:sz w:val="16"/>
                <w:szCs w:val="16"/>
                <w:color w:val="auto"/>
              </w:rPr>
              <w:t>2007 Pension Benefits</w:t>
            </w:r>
          </w:p>
        </w:tc>
        <w:tc>
          <w:tcPr>
            <w:tcW w:w="22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38</w:t>
            </w:r>
          </w:p>
        </w:tc>
        <w:tc>
          <w:tcPr>
            <w:tcW w:w="40" w:type="dxa"/>
            <w:vAlign w:val="bottom"/>
          </w:tcPr>
          <w:p>
            <w:pPr>
              <w:spacing w:after="0"/>
              <w:rPr>
                <w:sz w:val="19"/>
                <w:szCs w:val="19"/>
                <w:color w:val="auto"/>
              </w:rPr>
            </w:pPr>
          </w:p>
        </w:tc>
      </w:tr>
      <w:tr>
        <w:trPr>
          <w:trHeight w:val="220"/>
        </w:trPr>
        <w:tc>
          <w:tcPr>
            <w:tcW w:w="9140" w:type="dxa"/>
            <w:vAlign w:val="bottom"/>
          </w:tcPr>
          <w:p>
            <w:pPr>
              <w:ind w:left="340"/>
              <w:spacing w:after="0"/>
              <w:rPr>
                <w:sz w:val="20"/>
                <w:szCs w:val="20"/>
                <w:color w:val="auto"/>
              </w:rPr>
            </w:pPr>
            <w:r>
              <w:rPr>
                <w:rFonts w:ascii="Arial" w:cs="Arial" w:eastAsia="Arial" w:hAnsi="Arial"/>
                <w:sz w:val="16"/>
                <w:szCs w:val="16"/>
                <w:color w:val="auto"/>
              </w:rPr>
              <w:t>2007 Nonqualified Deferred Compensation</w:t>
            </w:r>
          </w:p>
        </w:tc>
        <w:tc>
          <w:tcPr>
            <w:tcW w:w="2280" w:type="dxa"/>
            <w:vAlign w:val="bottom"/>
          </w:tcPr>
          <w:p>
            <w:pPr>
              <w:jc w:val="right"/>
              <w:spacing w:after="0"/>
              <w:rPr>
                <w:sz w:val="20"/>
                <w:szCs w:val="20"/>
                <w:color w:val="auto"/>
              </w:rPr>
            </w:pPr>
            <w:r>
              <w:rPr>
                <w:rFonts w:ascii="Arial" w:cs="Arial" w:eastAsia="Arial" w:hAnsi="Arial"/>
                <w:sz w:val="16"/>
                <w:szCs w:val="16"/>
                <w:color w:val="auto"/>
              </w:rPr>
              <w:t>40</w:t>
            </w:r>
          </w:p>
        </w:tc>
        <w:tc>
          <w:tcPr>
            <w:tcW w:w="40" w:type="dxa"/>
            <w:vAlign w:val="bottom"/>
          </w:tcPr>
          <w:p>
            <w:pPr>
              <w:spacing w:after="0"/>
              <w:rPr>
                <w:sz w:val="19"/>
                <w:szCs w:val="19"/>
                <w:color w:val="auto"/>
              </w:rPr>
            </w:pPr>
          </w:p>
        </w:tc>
      </w:tr>
      <w:tr>
        <w:trPr>
          <w:trHeight w:val="221"/>
        </w:trPr>
        <w:tc>
          <w:tcPr>
            <w:tcW w:w="9140" w:type="dxa"/>
            <w:vAlign w:val="bottom"/>
            <w:shd w:val="clear" w:color="auto" w:fill="C0C0C0"/>
          </w:tcPr>
          <w:p>
            <w:pPr>
              <w:ind w:left="340"/>
              <w:spacing w:after="0"/>
              <w:rPr>
                <w:sz w:val="20"/>
                <w:szCs w:val="20"/>
                <w:color w:val="auto"/>
              </w:rPr>
            </w:pPr>
            <w:r>
              <w:rPr>
                <w:rFonts w:ascii="Arial" w:cs="Arial" w:eastAsia="Arial" w:hAnsi="Arial"/>
                <w:sz w:val="16"/>
                <w:szCs w:val="16"/>
                <w:color w:val="auto"/>
              </w:rPr>
              <w:t>Potential Payments upon Termination or Change in Control</w:t>
            </w:r>
          </w:p>
        </w:tc>
        <w:tc>
          <w:tcPr>
            <w:tcW w:w="22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42</w:t>
            </w:r>
          </w:p>
        </w:tc>
        <w:tc>
          <w:tcPr>
            <w:tcW w:w="40" w:type="dxa"/>
            <w:vAlign w:val="bottom"/>
          </w:tcPr>
          <w:p>
            <w:pPr>
              <w:spacing w:after="0"/>
              <w:rPr>
                <w:sz w:val="19"/>
                <w:szCs w:val="19"/>
                <w:color w:val="auto"/>
              </w:rPr>
            </w:pPr>
          </w:p>
        </w:tc>
      </w:tr>
      <w:tr>
        <w:trPr>
          <w:trHeight w:val="220"/>
        </w:trPr>
        <w:tc>
          <w:tcPr>
            <w:tcW w:w="9140" w:type="dxa"/>
            <w:vAlign w:val="bottom"/>
          </w:tcPr>
          <w:p>
            <w:pPr>
              <w:spacing w:after="0"/>
              <w:rPr>
                <w:sz w:val="20"/>
                <w:szCs w:val="20"/>
                <w:color w:val="auto"/>
              </w:rPr>
            </w:pPr>
            <w:r>
              <w:rPr>
                <w:rFonts w:ascii="Arial" w:cs="Arial" w:eastAsia="Arial" w:hAnsi="Arial"/>
                <w:sz w:val="16"/>
                <w:szCs w:val="16"/>
                <w:color w:val="auto"/>
              </w:rPr>
              <w:t>Audit Committee Report</w:t>
            </w:r>
          </w:p>
        </w:tc>
        <w:tc>
          <w:tcPr>
            <w:tcW w:w="2280" w:type="dxa"/>
            <w:vAlign w:val="bottom"/>
          </w:tcPr>
          <w:p>
            <w:pPr>
              <w:jc w:val="right"/>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19"/>
                <w:szCs w:val="19"/>
                <w:color w:val="auto"/>
              </w:rPr>
            </w:pPr>
          </w:p>
        </w:tc>
      </w:tr>
      <w:tr>
        <w:trPr>
          <w:trHeight w:val="221"/>
        </w:trPr>
        <w:tc>
          <w:tcPr>
            <w:tcW w:w="9140" w:type="dxa"/>
            <w:vAlign w:val="bottom"/>
            <w:shd w:val="clear" w:color="auto" w:fill="C0C0C0"/>
          </w:tcPr>
          <w:p>
            <w:pPr>
              <w:spacing w:after="0"/>
              <w:rPr>
                <w:sz w:val="20"/>
                <w:szCs w:val="20"/>
                <w:color w:val="auto"/>
              </w:rPr>
            </w:pPr>
            <w:r>
              <w:rPr>
                <w:rFonts w:ascii="Arial" w:cs="Arial" w:eastAsia="Arial" w:hAnsi="Arial"/>
                <w:sz w:val="16"/>
                <w:szCs w:val="16"/>
                <w:color w:val="auto"/>
              </w:rPr>
              <w:t>Proposal to Ratify Appointment of Independent Registered Public Accounting Firm</w:t>
            </w:r>
          </w:p>
        </w:tc>
        <w:tc>
          <w:tcPr>
            <w:tcW w:w="22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50</w:t>
            </w:r>
          </w:p>
        </w:tc>
        <w:tc>
          <w:tcPr>
            <w:tcW w:w="40" w:type="dxa"/>
            <w:vAlign w:val="bottom"/>
          </w:tcPr>
          <w:p>
            <w:pPr>
              <w:spacing w:after="0"/>
              <w:rPr>
                <w:sz w:val="19"/>
                <w:szCs w:val="19"/>
                <w:color w:val="auto"/>
              </w:rPr>
            </w:pPr>
          </w:p>
        </w:tc>
      </w:tr>
      <w:tr>
        <w:trPr>
          <w:trHeight w:val="220"/>
        </w:trPr>
        <w:tc>
          <w:tcPr>
            <w:tcW w:w="9140" w:type="dxa"/>
            <w:vAlign w:val="bottom"/>
          </w:tcPr>
          <w:p>
            <w:pPr>
              <w:spacing w:after="0"/>
              <w:rPr>
                <w:sz w:val="20"/>
                <w:szCs w:val="20"/>
                <w:color w:val="auto"/>
              </w:rPr>
            </w:pPr>
            <w:r>
              <w:rPr>
                <w:rFonts w:ascii="Arial" w:cs="Arial" w:eastAsia="Arial" w:hAnsi="Arial"/>
                <w:sz w:val="16"/>
                <w:szCs w:val="16"/>
                <w:color w:val="auto"/>
              </w:rPr>
              <w:t>Stockholder Proposal</w:t>
            </w:r>
          </w:p>
        </w:tc>
        <w:tc>
          <w:tcPr>
            <w:tcW w:w="2280" w:type="dxa"/>
            <w:vAlign w:val="bottom"/>
          </w:tcPr>
          <w:p>
            <w:pPr>
              <w:jc w:val="right"/>
              <w:spacing w:after="0"/>
              <w:rPr>
                <w:sz w:val="20"/>
                <w:szCs w:val="20"/>
                <w:color w:val="auto"/>
              </w:rPr>
            </w:pPr>
            <w:r>
              <w:rPr>
                <w:rFonts w:ascii="Arial" w:cs="Arial" w:eastAsia="Arial" w:hAnsi="Arial"/>
                <w:sz w:val="16"/>
                <w:szCs w:val="16"/>
                <w:color w:val="auto"/>
              </w:rPr>
              <w:t>51</w:t>
            </w:r>
          </w:p>
        </w:tc>
        <w:tc>
          <w:tcPr>
            <w:tcW w:w="40" w:type="dxa"/>
            <w:vAlign w:val="bottom"/>
          </w:tcPr>
          <w:p>
            <w:pPr>
              <w:spacing w:after="0"/>
              <w:rPr>
                <w:sz w:val="19"/>
                <w:szCs w:val="19"/>
                <w:color w:val="auto"/>
              </w:rPr>
            </w:pPr>
          </w:p>
        </w:tc>
      </w:tr>
      <w:tr>
        <w:trPr>
          <w:trHeight w:val="221"/>
        </w:trPr>
        <w:tc>
          <w:tcPr>
            <w:tcW w:w="9140" w:type="dxa"/>
            <w:vAlign w:val="bottom"/>
            <w:shd w:val="clear" w:color="auto" w:fill="C0C0C0"/>
          </w:tcPr>
          <w:p>
            <w:pPr>
              <w:spacing w:after="0"/>
              <w:rPr>
                <w:sz w:val="20"/>
                <w:szCs w:val="20"/>
                <w:color w:val="auto"/>
              </w:rPr>
            </w:pPr>
            <w:r>
              <w:rPr>
                <w:rFonts w:ascii="Arial" w:cs="Arial" w:eastAsia="Arial" w:hAnsi="Arial"/>
                <w:sz w:val="16"/>
                <w:szCs w:val="16"/>
                <w:color w:val="auto"/>
              </w:rPr>
              <w:t>Additional Information</w:t>
            </w:r>
          </w:p>
        </w:tc>
        <w:tc>
          <w:tcPr>
            <w:tcW w:w="22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52</w:t>
            </w:r>
          </w:p>
        </w:tc>
        <w:tc>
          <w:tcPr>
            <w:tcW w:w="40" w:type="dxa"/>
            <w:vAlign w:val="bottom"/>
          </w:tcPr>
          <w:p>
            <w:pPr>
              <w:spacing w:after="0"/>
              <w:rPr>
                <w:sz w:val="19"/>
                <w:szCs w:val="19"/>
                <w:color w:val="auto"/>
              </w:rPr>
            </w:pPr>
          </w:p>
        </w:tc>
      </w:tr>
      <w:tr>
        <w:trPr>
          <w:trHeight w:val="220"/>
        </w:trPr>
        <w:tc>
          <w:tcPr>
            <w:tcW w:w="9140" w:type="dxa"/>
            <w:vAlign w:val="bottom"/>
          </w:tcPr>
          <w:p>
            <w:pPr>
              <w:ind w:left="340"/>
              <w:spacing w:after="0"/>
              <w:rPr>
                <w:sz w:val="20"/>
                <w:szCs w:val="20"/>
                <w:color w:val="auto"/>
              </w:rPr>
            </w:pPr>
            <w:r>
              <w:rPr>
                <w:rFonts w:ascii="Arial" w:cs="Arial" w:eastAsia="Arial" w:hAnsi="Arial"/>
                <w:sz w:val="16"/>
                <w:szCs w:val="16"/>
                <w:color w:val="auto"/>
              </w:rPr>
              <w:t>Voting Securities</w:t>
            </w:r>
          </w:p>
        </w:tc>
        <w:tc>
          <w:tcPr>
            <w:tcW w:w="2280" w:type="dxa"/>
            <w:vAlign w:val="bottom"/>
          </w:tcPr>
          <w:p>
            <w:pPr>
              <w:jc w:val="right"/>
              <w:spacing w:after="0"/>
              <w:rPr>
                <w:sz w:val="20"/>
                <w:szCs w:val="20"/>
                <w:color w:val="auto"/>
              </w:rPr>
            </w:pPr>
            <w:r>
              <w:rPr>
                <w:rFonts w:ascii="Arial" w:cs="Arial" w:eastAsia="Arial" w:hAnsi="Arial"/>
                <w:sz w:val="16"/>
                <w:szCs w:val="16"/>
                <w:color w:val="auto"/>
              </w:rPr>
              <w:t>52</w:t>
            </w:r>
          </w:p>
        </w:tc>
        <w:tc>
          <w:tcPr>
            <w:tcW w:w="40" w:type="dxa"/>
            <w:vAlign w:val="bottom"/>
          </w:tcPr>
          <w:p>
            <w:pPr>
              <w:spacing w:after="0"/>
              <w:rPr>
                <w:sz w:val="19"/>
                <w:szCs w:val="19"/>
                <w:color w:val="auto"/>
              </w:rPr>
            </w:pPr>
          </w:p>
        </w:tc>
      </w:tr>
      <w:tr>
        <w:trPr>
          <w:trHeight w:val="221"/>
        </w:trPr>
        <w:tc>
          <w:tcPr>
            <w:tcW w:w="9140" w:type="dxa"/>
            <w:vAlign w:val="bottom"/>
            <w:shd w:val="clear" w:color="auto" w:fill="C0C0C0"/>
          </w:tcPr>
          <w:p>
            <w:pPr>
              <w:ind w:left="340"/>
              <w:spacing w:after="0"/>
              <w:rPr>
                <w:sz w:val="20"/>
                <w:szCs w:val="20"/>
                <w:color w:val="auto"/>
              </w:rPr>
            </w:pPr>
            <w:r>
              <w:rPr>
                <w:rFonts w:ascii="Arial" w:cs="Arial" w:eastAsia="Arial" w:hAnsi="Arial"/>
                <w:sz w:val="16"/>
                <w:szCs w:val="16"/>
                <w:color w:val="auto"/>
              </w:rPr>
              <w:t>Security Ownership of Certain Beneficial Owners</w:t>
            </w:r>
          </w:p>
        </w:tc>
        <w:tc>
          <w:tcPr>
            <w:tcW w:w="22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52</w:t>
            </w:r>
          </w:p>
        </w:tc>
        <w:tc>
          <w:tcPr>
            <w:tcW w:w="40" w:type="dxa"/>
            <w:vAlign w:val="bottom"/>
          </w:tcPr>
          <w:p>
            <w:pPr>
              <w:spacing w:after="0"/>
              <w:rPr>
                <w:sz w:val="19"/>
                <w:szCs w:val="19"/>
                <w:color w:val="auto"/>
              </w:rPr>
            </w:pPr>
          </w:p>
        </w:tc>
      </w:tr>
      <w:tr>
        <w:trPr>
          <w:trHeight w:val="220"/>
        </w:trPr>
        <w:tc>
          <w:tcPr>
            <w:tcW w:w="9140" w:type="dxa"/>
            <w:vAlign w:val="bottom"/>
          </w:tcPr>
          <w:p>
            <w:pPr>
              <w:ind w:left="340"/>
              <w:spacing w:after="0"/>
              <w:rPr>
                <w:sz w:val="20"/>
                <w:szCs w:val="20"/>
                <w:color w:val="auto"/>
              </w:rPr>
            </w:pPr>
            <w:r>
              <w:rPr>
                <w:rFonts w:ascii="Arial" w:cs="Arial" w:eastAsia="Arial" w:hAnsi="Arial"/>
                <w:sz w:val="16"/>
                <w:szCs w:val="16"/>
                <w:color w:val="auto"/>
              </w:rPr>
              <w:t>Security Ownership of Management</w:t>
            </w:r>
          </w:p>
        </w:tc>
        <w:tc>
          <w:tcPr>
            <w:tcW w:w="2280" w:type="dxa"/>
            <w:vAlign w:val="bottom"/>
          </w:tcPr>
          <w:p>
            <w:pPr>
              <w:jc w:val="right"/>
              <w:spacing w:after="0"/>
              <w:rPr>
                <w:sz w:val="20"/>
                <w:szCs w:val="20"/>
                <w:color w:val="auto"/>
              </w:rPr>
            </w:pPr>
            <w:r>
              <w:rPr>
                <w:rFonts w:ascii="Arial" w:cs="Arial" w:eastAsia="Arial" w:hAnsi="Arial"/>
                <w:sz w:val="16"/>
                <w:szCs w:val="16"/>
                <w:color w:val="auto"/>
              </w:rPr>
              <w:t>53</w:t>
            </w:r>
          </w:p>
        </w:tc>
        <w:tc>
          <w:tcPr>
            <w:tcW w:w="40" w:type="dxa"/>
            <w:vAlign w:val="bottom"/>
          </w:tcPr>
          <w:p>
            <w:pPr>
              <w:spacing w:after="0"/>
              <w:rPr>
                <w:sz w:val="19"/>
                <w:szCs w:val="19"/>
                <w:color w:val="auto"/>
              </w:rPr>
            </w:pPr>
          </w:p>
        </w:tc>
      </w:tr>
      <w:tr>
        <w:trPr>
          <w:trHeight w:val="221"/>
        </w:trPr>
        <w:tc>
          <w:tcPr>
            <w:tcW w:w="9140" w:type="dxa"/>
            <w:vAlign w:val="bottom"/>
            <w:shd w:val="clear" w:color="auto" w:fill="C0C0C0"/>
          </w:tcPr>
          <w:p>
            <w:pPr>
              <w:ind w:left="340"/>
              <w:spacing w:after="0"/>
              <w:rPr>
                <w:sz w:val="20"/>
                <w:szCs w:val="20"/>
                <w:color w:val="auto"/>
              </w:rPr>
            </w:pPr>
            <w:r>
              <w:rPr>
                <w:rFonts w:ascii="Arial" w:cs="Arial" w:eastAsia="Arial" w:hAnsi="Arial"/>
                <w:sz w:val="16"/>
                <w:szCs w:val="16"/>
                <w:color w:val="auto"/>
              </w:rPr>
              <w:t>Related Person Transactions</w:t>
            </w:r>
          </w:p>
        </w:tc>
        <w:tc>
          <w:tcPr>
            <w:tcW w:w="22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54</w:t>
            </w:r>
          </w:p>
        </w:tc>
        <w:tc>
          <w:tcPr>
            <w:tcW w:w="40" w:type="dxa"/>
            <w:vAlign w:val="bottom"/>
          </w:tcPr>
          <w:p>
            <w:pPr>
              <w:spacing w:after="0"/>
              <w:rPr>
                <w:sz w:val="19"/>
                <w:szCs w:val="19"/>
                <w:color w:val="auto"/>
              </w:rPr>
            </w:pPr>
          </w:p>
        </w:tc>
      </w:tr>
      <w:tr>
        <w:trPr>
          <w:trHeight w:val="220"/>
        </w:trPr>
        <w:tc>
          <w:tcPr>
            <w:tcW w:w="9140" w:type="dxa"/>
            <w:vAlign w:val="bottom"/>
          </w:tcPr>
          <w:p>
            <w:pPr>
              <w:ind w:left="340"/>
              <w:spacing w:after="0"/>
              <w:rPr>
                <w:sz w:val="20"/>
                <w:szCs w:val="20"/>
                <w:color w:val="auto"/>
              </w:rPr>
            </w:pPr>
            <w:r>
              <w:rPr>
                <w:rFonts w:ascii="Arial" w:cs="Arial" w:eastAsia="Arial" w:hAnsi="Arial"/>
                <w:sz w:val="16"/>
                <w:szCs w:val="16"/>
                <w:color w:val="auto"/>
              </w:rPr>
              <w:t>Compensation Committee Interlocks and Insider Participation</w:t>
            </w:r>
          </w:p>
        </w:tc>
        <w:tc>
          <w:tcPr>
            <w:tcW w:w="2280" w:type="dxa"/>
            <w:vAlign w:val="bottom"/>
          </w:tcPr>
          <w:p>
            <w:pPr>
              <w:jc w:val="right"/>
              <w:spacing w:after="0"/>
              <w:rPr>
                <w:sz w:val="20"/>
                <w:szCs w:val="20"/>
                <w:color w:val="auto"/>
              </w:rPr>
            </w:pPr>
            <w:r>
              <w:rPr>
                <w:rFonts w:ascii="Arial" w:cs="Arial" w:eastAsia="Arial" w:hAnsi="Arial"/>
                <w:sz w:val="16"/>
                <w:szCs w:val="16"/>
                <w:color w:val="auto"/>
              </w:rPr>
              <w:t>55</w:t>
            </w:r>
          </w:p>
        </w:tc>
        <w:tc>
          <w:tcPr>
            <w:tcW w:w="40" w:type="dxa"/>
            <w:vAlign w:val="bottom"/>
          </w:tcPr>
          <w:p>
            <w:pPr>
              <w:spacing w:after="0"/>
              <w:rPr>
                <w:sz w:val="19"/>
                <w:szCs w:val="19"/>
                <w:color w:val="auto"/>
              </w:rPr>
            </w:pPr>
          </w:p>
        </w:tc>
      </w:tr>
      <w:tr>
        <w:trPr>
          <w:trHeight w:val="221"/>
        </w:trPr>
        <w:tc>
          <w:tcPr>
            <w:tcW w:w="9140" w:type="dxa"/>
            <w:vAlign w:val="bottom"/>
            <w:shd w:val="clear" w:color="auto" w:fill="C0C0C0"/>
          </w:tcPr>
          <w:p>
            <w:pPr>
              <w:ind w:left="340"/>
              <w:spacing w:after="0"/>
              <w:rPr>
                <w:sz w:val="20"/>
                <w:szCs w:val="20"/>
                <w:color w:val="auto"/>
              </w:rPr>
            </w:pPr>
            <w:r>
              <w:rPr>
                <w:rFonts w:ascii="Arial" w:cs="Arial" w:eastAsia="Arial" w:hAnsi="Arial"/>
                <w:sz w:val="16"/>
                <w:szCs w:val="16"/>
                <w:color w:val="auto"/>
              </w:rPr>
              <w:t>Cost of Solicitation</w:t>
            </w:r>
          </w:p>
        </w:tc>
        <w:tc>
          <w:tcPr>
            <w:tcW w:w="22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55</w:t>
            </w:r>
          </w:p>
        </w:tc>
        <w:tc>
          <w:tcPr>
            <w:tcW w:w="40" w:type="dxa"/>
            <w:vAlign w:val="bottom"/>
          </w:tcPr>
          <w:p>
            <w:pPr>
              <w:spacing w:after="0"/>
              <w:rPr>
                <w:sz w:val="19"/>
                <w:szCs w:val="19"/>
                <w:color w:val="auto"/>
              </w:rPr>
            </w:pPr>
          </w:p>
        </w:tc>
      </w:tr>
      <w:tr>
        <w:trPr>
          <w:trHeight w:val="220"/>
        </w:trPr>
        <w:tc>
          <w:tcPr>
            <w:tcW w:w="9140" w:type="dxa"/>
            <w:vAlign w:val="bottom"/>
          </w:tcPr>
          <w:p>
            <w:pPr>
              <w:ind w:left="340"/>
              <w:spacing w:after="0"/>
              <w:rPr>
                <w:sz w:val="20"/>
                <w:szCs w:val="20"/>
                <w:color w:val="auto"/>
              </w:rPr>
            </w:pPr>
            <w:r>
              <w:rPr>
                <w:rFonts w:ascii="Arial" w:cs="Arial" w:eastAsia="Arial" w:hAnsi="Arial"/>
                <w:sz w:val="16"/>
                <w:szCs w:val="16"/>
                <w:color w:val="auto"/>
              </w:rPr>
              <w:t>Stockholder Proposals for 2009</w:t>
            </w:r>
          </w:p>
        </w:tc>
        <w:tc>
          <w:tcPr>
            <w:tcW w:w="2280" w:type="dxa"/>
            <w:vAlign w:val="bottom"/>
          </w:tcPr>
          <w:p>
            <w:pPr>
              <w:jc w:val="right"/>
              <w:spacing w:after="0"/>
              <w:rPr>
                <w:sz w:val="20"/>
                <w:szCs w:val="20"/>
                <w:color w:val="auto"/>
              </w:rPr>
            </w:pPr>
            <w:r>
              <w:rPr>
                <w:rFonts w:ascii="Arial" w:cs="Arial" w:eastAsia="Arial" w:hAnsi="Arial"/>
                <w:sz w:val="16"/>
                <w:szCs w:val="16"/>
                <w:color w:val="auto"/>
              </w:rPr>
              <w:t>55</w:t>
            </w:r>
          </w:p>
        </w:tc>
        <w:tc>
          <w:tcPr>
            <w:tcW w:w="40" w:type="dxa"/>
            <w:vAlign w:val="bottom"/>
          </w:tcPr>
          <w:p>
            <w:pPr>
              <w:spacing w:after="0"/>
              <w:rPr>
                <w:sz w:val="19"/>
                <w:szCs w:val="19"/>
                <w:color w:val="auto"/>
              </w:rPr>
            </w:pPr>
          </w:p>
        </w:tc>
      </w:tr>
      <w:tr>
        <w:trPr>
          <w:trHeight w:val="221"/>
        </w:trPr>
        <w:tc>
          <w:tcPr>
            <w:tcW w:w="9140" w:type="dxa"/>
            <w:vAlign w:val="bottom"/>
            <w:shd w:val="clear" w:color="auto" w:fill="C0C0C0"/>
          </w:tcPr>
          <w:p>
            <w:pPr>
              <w:ind w:left="340"/>
              <w:spacing w:after="0"/>
              <w:rPr>
                <w:sz w:val="20"/>
                <w:szCs w:val="20"/>
                <w:color w:val="auto"/>
              </w:rPr>
            </w:pPr>
            <w:r>
              <w:rPr>
                <w:rFonts w:ascii="Arial" w:cs="Arial" w:eastAsia="Arial" w:hAnsi="Arial"/>
                <w:sz w:val="16"/>
                <w:szCs w:val="16"/>
                <w:color w:val="auto"/>
              </w:rPr>
              <w:t>Quorum Requirement</w:t>
            </w:r>
          </w:p>
        </w:tc>
        <w:tc>
          <w:tcPr>
            <w:tcW w:w="22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56</w:t>
            </w:r>
          </w:p>
        </w:tc>
        <w:tc>
          <w:tcPr>
            <w:tcW w:w="40" w:type="dxa"/>
            <w:vAlign w:val="bottom"/>
          </w:tcPr>
          <w:p>
            <w:pPr>
              <w:spacing w:after="0"/>
              <w:rPr>
                <w:sz w:val="19"/>
                <w:szCs w:val="19"/>
                <w:color w:val="auto"/>
              </w:rPr>
            </w:pPr>
          </w:p>
        </w:tc>
      </w:tr>
      <w:tr>
        <w:trPr>
          <w:trHeight w:val="220"/>
        </w:trPr>
        <w:tc>
          <w:tcPr>
            <w:tcW w:w="9140" w:type="dxa"/>
            <w:vAlign w:val="bottom"/>
          </w:tcPr>
          <w:p>
            <w:pPr>
              <w:ind w:left="340"/>
              <w:spacing w:after="0"/>
              <w:rPr>
                <w:sz w:val="20"/>
                <w:szCs w:val="20"/>
                <w:color w:val="auto"/>
              </w:rPr>
            </w:pPr>
            <w:r>
              <w:rPr>
                <w:rFonts w:ascii="Arial" w:cs="Arial" w:eastAsia="Arial" w:hAnsi="Arial"/>
                <w:sz w:val="16"/>
                <w:szCs w:val="16"/>
                <w:color w:val="auto"/>
              </w:rPr>
              <w:t>Vote Required</w:t>
            </w:r>
          </w:p>
        </w:tc>
        <w:tc>
          <w:tcPr>
            <w:tcW w:w="2280" w:type="dxa"/>
            <w:vAlign w:val="bottom"/>
          </w:tcPr>
          <w:p>
            <w:pPr>
              <w:jc w:val="right"/>
              <w:spacing w:after="0"/>
              <w:rPr>
                <w:sz w:val="20"/>
                <w:szCs w:val="20"/>
                <w:color w:val="auto"/>
              </w:rPr>
            </w:pPr>
            <w:r>
              <w:rPr>
                <w:rFonts w:ascii="Arial" w:cs="Arial" w:eastAsia="Arial" w:hAnsi="Arial"/>
                <w:sz w:val="16"/>
                <w:szCs w:val="16"/>
                <w:color w:val="auto"/>
              </w:rPr>
              <w:t>56</w:t>
            </w:r>
          </w:p>
        </w:tc>
        <w:tc>
          <w:tcPr>
            <w:tcW w:w="40" w:type="dxa"/>
            <w:vAlign w:val="bottom"/>
          </w:tcPr>
          <w:p>
            <w:pPr>
              <w:spacing w:after="0"/>
              <w:rPr>
                <w:sz w:val="19"/>
                <w:szCs w:val="19"/>
                <w:color w:val="auto"/>
              </w:rPr>
            </w:pPr>
          </w:p>
        </w:tc>
      </w:tr>
      <w:tr>
        <w:trPr>
          <w:trHeight w:val="221"/>
        </w:trPr>
        <w:tc>
          <w:tcPr>
            <w:tcW w:w="9140" w:type="dxa"/>
            <w:vAlign w:val="bottom"/>
            <w:shd w:val="clear" w:color="auto" w:fill="C0C0C0"/>
          </w:tcPr>
          <w:p>
            <w:pPr>
              <w:ind w:left="340"/>
              <w:spacing w:after="0"/>
              <w:rPr>
                <w:sz w:val="20"/>
                <w:szCs w:val="20"/>
                <w:color w:val="auto"/>
              </w:rPr>
            </w:pPr>
            <w:r>
              <w:rPr>
                <w:rFonts w:ascii="Arial" w:cs="Arial" w:eastAsia="Arial" w:hAnsi="Arial"/>
                <w:sz w:val="16"/>
                <w:szCs w:val="16"/>
                <w:color w:val="auto"/>
              </w:rPr>
              <w:t>Benefit Plan Voting</w:t>
            </w:r>
          </w:p>
        </w:tc>
        <w:tc>
          <w:tcPr>
            <w:tcW w:w="22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56</w:t>
            </w:r>
          </w:p>
        </w:tc>
        <w:tc>
          <w:tcPr>
            <w:tcW w:w="40" w:type="dxa"/>
            <w:vAlign w:val="bottom"/>
          </w:tcPr>
          <w:p>
            <w:pPr>
              <w:spacing w:after="0"/>
              <w:rPr>
                <w:sz w:val="19"/>
                <w:szCs w:val="19"/>
                <w:color w:val="auto"/>
              </w:rPr>
            </w:pPr>
          </w:p>
        </w:tc>
      </w:tr>
      <w:tr>
        <w:trPr>
          <w:trHeight w:val="220"/>
        </w:trPr>
        <w:tc>
          <w:tcPr>
            <w:tcW w:w="9140" w:type="dxa"/>
            <w:vAlign w:val="bottom"/>
          </w:tcPr>
          <w:p>
            <w:pPr>
              <w:ind w:left="340"/>
              <w:spacing w:after="0"/>
              <w:rPr>
                <w:sz w:val="20"/>
                <w:szCs w:val="20"/>
                <w:color w:val="auto"/>
              </w:rPr>
            </w:pPr>
            <w:r>
              <w:rPr>
                <w:rFonts w:ascii="Arial" w:cs="Arial" w:eastAsia="Arial" w:hAnsi="Arial"/>
                <w:sz w:val="16"/>
                <w:szCs w:val="16"/>
                <w:color w:val="auto"/>
              </w:rPr>
              <w:t>Section 16(a) Beneficial Ownership Reporting Compliance</w:t>
            </w:r>
          </w:p>
        </w:tc>
        <w:tc>
          <w:tcPr>
            <w:tcW w:w="2280" w:type="dxa"/>
            <w:vAlign w:val="bottom"/>
          </w:tcPr>
          <w:p>
            <w:pPr>
              <w:jc w:val="right"/>
              <w:spacing w:after="0"/>
              <w:rPr>
                <w:sz w:val="20"/>
                <w:szCs w:val="20"/>
                <w:color w:val="auto"/>
              </w:rPr>
            </w:pPr>
            <w:r>
              <w:rPr>
                <w:rFonts w:ascii="Arial" w:cs="Arial" w:eastAsia="Arial" w:hAnsi="Arial"/>
                <w:sz w:val="16"/>
                <w:szCs w:val="16"/>
                <w:color w:val="auto"/>
              </w:rPr>
              <w:t>56</w:t>
            </w:r>
          </w:p>
        </w:tc>
        <w:tc>
          <w:tcPr>
            <w:tcW w:w="40" w:type="dxa"/>
            <w:vAlign w:val="bottom"/>
          </w:tcPr>
          <w:p>
            <w:pPr>
              <w:spacing w:after="0"/>
              <w:rPr>
                <w:sz w:val="19"/>
                <w:szCs w:val="19"/>
                <w:color w:val="auto"/>
              </w:rPr>
            </w:pPr>
          </w:p>
        </w:tc>
      </w:tr>
      <w:tr>
        <w:trPr>
          <w:trHeight w:val="221"/>
        </w:trPr>
        <w:tc>
          <w:tcPr>
            <w:tcW w:w="9140" w:type="dxa"/>
            <w:vAlign w:val="bottom"/>
            <w:shd w:val="clear" w:color="auto" w:fill="C0C0C0"/>
          </w:tcPr>
          <w:p>
            <w:pPr>
              <w:ind w:left="340"/>
              <w:spacing w:after="0"/>
              <w:rPr>
                <w:sz w:val="20"/>
                <w:szCs w:val="20"/>
                <w:color w:val="auto"/>
              </w:rPr>
            </w:pPr>
            <w:r>
              <w:rPr>
                <w:rFonts w:ascii="Arial" w:cs="Arial" w:eastAsia="Arial" w:hAnsi="Arial"/>
                <w:sz w:val="16"/>
                <w:szCs w:val="16"/>
                <w:color w:val="auto"/>
              </w:rPr>
              <w:t>Telephone and Internet Voting</w:t>
            </w:r>
          </w:p>
        </w:tc>
        <w:tc>
          <w:tcPr>
            <w:tcW w:w="22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57</w:t>
            </w:r>
          </w:p>
        </w:tc>
        <w:tc>
          <w:tcPr>
            <w:tcW w:w="40" w:type="dxa"/>
            <w:vAlign w:val="bottom"/>
          </w:tcPr>
          <w:p>
            <w:pPr>
              <w:spacing w:after="0"/>
              <w:rPr>
                <w:sz w:val="19"/>
                <w:szCs w:val="19"/>
                <w:color w:val="auto"/>
              </w:rPr>
            </w:pPr>
          </w:p>
        </w:tc>
      </w:tr>
      <w:tr>
        <w:trPr>
          <w:trHeight w:val="220"/>
        </w:trPr>
        <w:tc>
          <w:tcPr>
            <w:tcW w:w="9140" w:type="dxa"/>
            <w:vAlign w:val="bottom"/>
          </w:tcPr>
          <w:p>
            <w:pPr>
              <w:ind w:left="340"/>
              <w:spacing w:after="0"/>
              <w:rPr>
                <w:sz w:val="20"/>
                <w:szCs w:val="20"/>
                <w:color w:val="auto"/>
              </w:rPr>
            </w:pPr>
            <w:r>
              <w:rPr>
                <w:rFonts w:ascii="Arial" w:cs="Arial" w:eastAsia="Arial" w:hAnsi="Arial"/>
                <w:sz w:val="16"/>
                <w:szCs w:val="16"/>
                <w:color w:val="auto"/>
              </w:rPr>
              <w:t>Stockholders Sharing the Same Address</w:t>
            </w:r>
          </w:p>
        </w:tc>
        <w:tc>
          <w:tcPr>
            <w:tcW w:w="2280" w:type="dxa"/>
            <w:vAlign w:val="bottom"/>
          </w:tcPr>
          <w:p>
            <w:pPr>
              <w:jc w:val="right"/>
              <w:spacing w:after="0"/>
              <w:rPr>
                <w:sz w:val="20"/>
                <w:szCs w:val="20"/>
                <w:color w:val="auto"/>
              </w:rPr>
            </w:pPr>
            <w:r>
              <w:rPr>
                <w:rFonts w:ascii="Arial" w:cs="Arial" w:eastAsia="Arial" w:hAnsi="Arial"/>
                <w:sz w:val="16"/>
                <w:szCs w:val="16"/>
                <w:color w:val="auto"/>
              </w:rPr>
              <w:t>57</w:t>
            </w:r>
          </w:p>
        </w:tc>
        <w:tc>
          <w:tcPr>
            <w:tcW w:w="40" w:type="dxa"/>
            <w:vAlign w:val="bottom"/>
          </w:tcPr>
          <w:p>
            <w:pPr>
              <w:spacing w:after="0"/>
              <w:rPr>
                <w:sz w:val="19"/>
                <w:szCs w:val="19"/>
                <w:color w:val="auto"/>
              </w:rPr>
            </w:pPr>
          </w:p>
        </w:tc>
      </w:tr>
      <w:tr>
        <w:trPr>
          <w:trHeight w:val="221"/>
        </w:trPr>
        <w:tc>
          <w:tcPr>
            <w:tcW w:w="9140" w:type="dxa"/>
            <w:vAlign w:val="bottom"/>
            <w:shd w:val="clear" w:color="auto" w:fill="C0C0C0"/>
          </w:tcPr>
          <w:p>
            <w:pPr>
              <w:ind w:left="340"/>
              <w:spacing w:after="0"/>
              <w:rPr>
                <w:sz w:val="20"/>
                <w:szCs w:val="20"/>
                <w:color w:val="auto"/>
              </w:rPr>
            </w:pPr>
            <w:r>
              <w:rPr>
                <w:rFonts w:ascii="Arial" w:cs="Arial" w:eastAsia="Arial" w:hAnsi="Arial"/>
                <w:sz w:val="16"/>
                <w:szCs w:val="16"/>
                <w:color w:val="auto"/>
              </w:rPr>
              <w:t>Electronic Delivery of Proxy Materials</w:t>
            </w:r>
          </w:p>
        </w:tc>
        <w:tc>
          <w:tcPr>
            <w:tcW w:w="2280" w:type="dxa"/>
            <w:vAlign w:val="bottom"/>
            <w:shd w:val="clear" w:color="auto" w:fill="C0C0C0"/>
          </w:tcPr>
          <w:p>
            <w:pPr>
              <w:jc w:val="right"/>
              <w:spacing w:after="0"/>
              <w:rPr>
                <w:sz w:val="20"/>
                <w:szCs w:val="20"/>
                <w:color w:val="auto"/>
              </w:rPr>
            </w:pPr>
            <w:r>
              <w:rPr>
                <w:rFonts w:ascii="Arial" w:cs="Arial" w:eastAsia="Arial" w:hAnsi="Arial"/>
                <w:sz w:val="16"/>
                <w:szCs w:val="16"/>
                <w:color w:val="auto"/>
              </w:rPr>
              <w:t>57</w:t>
            </w:r>
          </w:p>
        </w:tc>
        <w:tc>
          <w:tcPr>
            <w:tcW w:w="40" w:type="dxa"/>
            <w:vAlign w:val="bottom"/>
          </w:tcPr>
          <w:p>
            <w:pPr>
              <w:spacing w:after="0"/>
              <w:rPr>
                <w:sz w:val="19"/>
                <w:szCs w:val="19"/>
                <w:color w:val="auto"/>
              </w:rPr>
            </w:pPr>
          </w:p>
        </w:tc>
      </w:tr>
      <w:tr>
        <w:trPr>
          <w:trHeight w:val="327"/>
        </w:trPr>
        <w:tc>
          <w:tcPr>
            <w:tcW w:w="914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-6759575</wp:posOffset>
            </wp:positionV>
            <wp:extent cx="127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-6759575</wp:posOffset>
            </wp:positionV>
            <wp:extent cx="1270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7263130</wp:posOffset>
            </wp:positionH>
            <wp:positionV relativeFrom="paragraph">
              <wp:posOffset>-13335</wp:posOffset>
            </wp:positionV>
            <wp:extent cx="127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-13335</wp:posOffset>
            </wp:positionV>
            <wp:extent cx="127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2931795</wp:posOffset>
            </wp:positionH>
            <wp:positionV relativeFrom="paragraph">
              <wp:posOffset>121920</wp:posOffset>
            </wp:positionV>
            <wp:extent cx="1400810" cy="528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0810" cy="528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EXECUTIVE OFFICES: 12500 TI BOULEVARD, DALLAS, TEXAS</w:t>
      </w:r>
    </w:p>
    <w:p>
      <w:pPr>
        <w:jc w:val="center"/>
        <w:ind w:right="20"/>
        <w:spacing w:after="0"/>
        <w:rPr>
          <w:sz w:val="20"/>
          <w:szCs w:val="20"/>
          <w:color w:val="auto"/>
        </w:rPr>
      </w:pPr>
      <w:r>
        <w:rPr>
          <w:rFonts w:ascii="Arial" w:cs="Arial" w:eastAsia="Arial" w:hAnsi="Arial"/>
          <w:sz w:val="16"/>
          <w:szCs w:val="16"/>
          <w:color w:val="auto"/>
        </w:rPr>
        <w:t>MAILING ADDRESS: POST OFFICE BOX 660199, DALLAS, TEXAS 75266-0199</w:t>
      </w:r>
    </w:p>
    <w:p>
      <w:pPr>
        <w:spacing w:after="0" w:line="163"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PROXY STATEMENT</w:t>
      </w:r>
    </w:p>
    <w:p>
      <w:pPr>
        <w:spacing w:after="0" w:line="15"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March 7, 2008</w:t>
      </w:r>
    </w:p>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VOTING PROCEDURES</w:t>
      </w:r>
    </w:p>
    <w:p>
      <w:pPr>
        <w:spacing w:after="0" w:line="216" w:lineRule="exact"/>
        <w:rPr>
          <w:sz w:val="20"/>
          <w:szCs w:val="20"/>
          <w:color w:val="auto"/>
        </w:rPr>
      </w:pPr>
    </w:p>
    <w:p>
      <w:pPr>
        <w:ind w:right="400"/>
        <w:spacing w:after="0" w:line="283" w:lineRule="auto"/>
        <w:rPr>
          <w:sz w:val="20"/>
          <w:szCs w:val="20"/>
          <w:color w:val="auto"/>
        </w:rPr>
      </w:pPr>
      <w:r>
        <w:rPr>
          <w:rFonts w:ascii="Arial" w:cs="Arial" w:eastAsia="Arial" w:hAnsi="Arial"/>
          <w:sz w:val="15"/>
          <w:szCs w:val="15"/>
          <w:color w:val="auto"/>
        </w:rPr>
        <w:t>TI’s board of directors requests your proxy for the annual meeting of stockholders on April 17, 2008. If you sign and return the enclosed proxy, or vote by telephone or on the Internet, you authorize the persons named in the proxy to represent you and vote your shares for the purposes mentioned in the notice of</w:t>
      </w:r>
    </w:p>
    <w:p>
      <w:pPr>
        <w:sectPr>
          <w:pgSz w:w="11900" w:h="16838" w:orient="portrait"/>
          <w:cols w:equalWidth="0" w:num="1">
            <w:col w:w="11460"/>
          </w:cols>
          <w:pgMar w:left="240" w:top="167" w:right="199" w:bottom="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t>annual meeting. This proxy statement and related proxy are being distributed on or about March 7, 2008.</w:t>
      </w:r>
    </w:p>
    <w:p>
      <w:pPr>
        <w:spacing w:after="0" w:line="196" w:lineRule="exact"/>
        <w:rPr>
          <w:sz w:val="20"/>
          <w:szCs w:val="20"/>
          <w:color w:val="auto"/>
        </w:rPr>
      </w:pPr>
    </w:p>
    <w:p>
      <w:pPr>
        <w:jc w:val="both"/>
        <w:ind w:right="60"/>
        <w:spacing w:after="0" w:line="269" w:lineRule="auto"/>
        <w:rPr>
          <w:sz w:val="20"/>
          <w:szCs w:val="20"/>
          <w:color w:val="auto"/>
        </w:rPr>
      </w:pPr>
      <w:r>
        <w:rPr>
          <w:rFonts w:ascii="Arial" w:cs="Arial" w:eastAsia="Arial" w:hAnsi="Arial"/>
          <w:sz w:val="15"/>
          <w:szCs w:val="15"/>
          <w:color w:val="auto"/>
        </w:rPr>
        <w:t>If you come to the meeting, you can of course vote in person. But if you don’t come to the meeting, your shares can be voted only if you have returned a properly signed proxy or followed the telephone or Internet voting instructions. If you sign and return your proxy but do not give voting instructions, the shares represented by that proxy will be voted as recommended by the board of directors. You can revoke your authorization at any time before the shares are voted at the meeting.</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ELECTION OF DIRECTORS</w:t>
      </w:r>
    </w:p>
    <w:p>
      <w:pPr>
        <w:spacing w:after="0" w:line="216"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Directors are elected at the annual meeting to hold office until the next annual meeting and until their successors are elected and qualified. The board of directors has designated the following persons as nominees: JAMES R. ADAMS, DAVID L. BOREN, DANIEL A. CARP, CARRIE S. COX, DAVID R. GOODE, PAMELA H. PATSLEY, WAYNE R. SANDERS, RUTH J. SIMMONS, RICHARD K. TEMPLETON and CHRISTINE TODD WHITMAN.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If you return a proxy that is not otherwise marked, your shares will be voted FOR each of the nominees.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 for Directorship</w:t>
      </w:r>
    </w:p>
    <w:p>
      <w:pPr>
        <w:spacing w:after="0" w:line="216"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All of the nominees for directorship are now directors of the company. If any nominee becomes unable to serve before the meeting, the people named as proxies may vote for a substitute or the number of directors will be reduced accordingly.</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9640"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760"/>
        <w:spacing w:after="0"/>
        <w:tabs>
          <w:tab w:leader="none" w:pos="3260" w:val="left"/>
        </w:tabs>
        <w:rPr>
          <w:sz w:val="20"/>
          <w:szCs w:val="20"/>
          <w:color w:val="auto"/>
        </w:rPr>
      </w:pPr>
      <w:r>
        <w:rPr>
          <w:rFonts w:ascii="Arial" w:cs="Arial" w:eastAsia="Arial" w:hAnsi="Arial"/>
          <w:sz w:val="16"/>
          <w:szCs w:val="16"/>
          <w:color w:val="auto"/>
        </w:rPr>
        <w:t>JAMES R. ADAMS</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964565" cy="13696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964565" cy="1369695"/>
                    </a:xfrm>
                    <a:prstGeom prst="rect">
                      <a:avLst/>
                    </a:prstGeom>
                    <a:noFill/>
                  </pic:spPr>
                </pic:pic>
              </a:graphicData>
            </a:graphic>
          </wp:anchor>
        </w:drawing>
      </w:r>
    </w:p>
    <w:p>
      <w:pPr>
        <w:spacing w:after="0" w:line="192"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Member, Governance and Stockholder Relations Committee.</w:t>
      </w:r>
    </w:p>
    <w:p>
      <w:pPr>
        <w:spacing w:after="0" w:line="196" w:lineRule="exact"/>
        <w:rPr>
          <w:sz w:val="20"/>
          <w:szCs w:val="20"/>
          <w:color w:val="auto"/>
        </w:rPr>
      </w:pPr>
    </w:p>
    <w:p>
      <w:pPr>
        <w:ind w:left="1760" w:right="240"/>
        <w:spacing w:after="0" w:line="250" w:lineRule="auto"/>
        <w:rPr>
          <w:sz w:val="20"/>
          <w:szCs w:val="20"/>
          <w:color w:val="auto"/>
        </w:rPr>
      </w:pPr>
      <w:r>
        <w:rPr>
          <w:rFonts w:ascii="Arial" w:cs="Arial" w:eastAsia="Arial" w:hAnsi="Arial"/>
          <w:sz w:val="16"/>
          <w:szCs w:val="16"/>
          <w:color w:val="auto"/>
        </w:rPr>
        <w:t>Chairman of the board of the company, 1996-98. Group president, SBC Communications Inc., 1992-95; president and chief executive officer of Southwestern Bell Telephone Company, 1988-92.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760"/>
        <w:spacing w:after="0"/>
        <w:tabs>
          <w:tab w:leader="none" w:pos="3180" w:val="left"/>
        </w:tabs>
        <w:rPr>
          <w:sz w:val="20"/>
          <w:szCs w:val="20"/>
          <w:color w:val="auto"/>
        </w:rPr>
      </w:pPr>
      <w:r>
        <w:rPr>
          <w:rFonts w:ascii="Arial" w:cs="Arial" w:eastAsia="Arial" w:hAnsi="Arial"/>
          <w:sz w:val="16"/>
          <w:szCs w:val="16"/>
          <w:color w:val="auto"/>
        </w:rPr>
        <w:t>DAVID L. BOREN</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949325" cy="13538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49325" cy="1353820"/>
                    </a:xfrm>
                    <a:prstGeom prst="rect">
                      <a:avLst/>
                    </a:prstGeom>
                    <a:noFill/>
                  </pic:spPr>
                </pic:pic>
              </a:graphicData>
            </a:graphic>
          </wp:anchor>
        </w:drawing>
      </w:r>
    </w:p>
    <w:p>
      <w:pPr>
        <w:spacing w:after="0" w:line="192"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Chair, Governance and Stockholder Relations Committee.</w:t>
      </w:r>
    </w:p>
    <w:p>
      <w:pPr>
        <w:spacing w:after="0" w:line="196" w:lineRule="exact"/>
        <w:rPr>
          <w:sz w:val="20"/>
          <w:szCs w:val="20"/>
          <w:color w:val="auto"/>
        </w:rPr>
      </w:pPr>
    </w:p>
    <w:p>
      <w:pPr>
        <w:ind w:left="1760"/>
        <w:spacing w:after="0" w:line="250" w:lineRule="auto"/>
        <w:rPr>
          <w:sz w:val="20"/>
          <w:szCs w:val="20"/>
          <w:color w:val="auto"/>
        </w:rPr>
      </w:pPr>
      <w:r>
        <w:rPr>
          <w:rFonts w:ascii="Arial" w:cs="Arial" w:eastAsia="Arial" w:hAnsi="Arial"/>
          <w:sz w:val="16"/>
          <w:szCs w:val="16"/>
          <w:color w:val="auto"/>
        </w:rPr>
        <w:t>President of the University of Oklahoma since 1994. U.S. Senator, 1979-94; Governor of Oklahoma, 1975-79. Director, AMR Corporation and Torchmark Corporation; chairman, Oklahoma Foundation for Excellence.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760"/>
        <w:spacing w:after="0"/>
        <w:tabs>
          <w:tab w:leader="none" w:pos="3180" w:val="left"/>
        </w:tabs>
        <w:rPr>
          <w:sz w:val="20"/>
          <w:szCs w:val="20"/>
          <w:color w:val="auto"/>
        </w:rPr>
      </w:pPr>
      <w:r>
        <w:rPr>
          <w:rFonts w:ascii="Arial" w:cs="Arial" w:eastAsia="Arial" w:hAnsi="Arial"/>
          <w:sz w:val="16"/>
          <w:szCs w:val="16"/>
          <w:color w:val="auto"/>
        </w:rPr>
        <w:t>DANIEL A. CARP</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949325" cy="13379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9325" cy="1337945"/>
                    </a:xfrm>
                    <a:prstGeom prst="rect">
                      <a:avLst/>
                    </a:prstGeom>
                    <a:noFill/>
                  </pic:spPr>
                </pic:pic>
              </a:graphicData>
            </a:graphic>
          </wp:anchor>
        </w:drawing>
      </w:r>
    </w:p>
    <w:p>
      <w:pPr>
        <w:spacing w:after="0" w:line="192"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Chair, Compensation Committee.</w:t>
      </w:r>
    </w:p>
    <w:p>
      <w:pPr>
        <w:spacing w:after="0" w:line="196" w:lineRule="exact"/>
        <w:rPr>
          <w:sz w:val="20"/>
          <w:szCs w:val="20"/>
          <w:color w:val="auto"/>
        </w:rPr>
      </w:pPr>
    </w:p>
    <w:p>
      <w:pPr>
        <w:jc w:val="both"/>
        <w:ind w:left="1760" w:right="160"/>
        <w:spacing w:after="0" w:line="245" w:lineRule="auto"/>
        <w:rPr>
          <w:sz w:val="20"/>
          <w:szCs w:val="20"/>
          <w:color w:val="auto"/>
        </w:rPr>
      </w:pPr>
      <w:r>
        <w:rPr>
          <w:rFonts w:ascii="Arial" w:cs="Arial" w:eastAsia="Arial" w:hAnsi="Arial"/>
          <w:sz w:val="16"/>
          <w:szCs w:val="16"/>
          <w:color w:val="auto"/>
        </w:rPr>
        <w:t>Chairman of the board and chief executive officer of Eastman Kodak Company, 2000-2005; director, 1997-2005. President of Eastman Kodak, 1997-2001, 2002-2003; chief operating officer, 2002-2003. Chairman of the board, Delta Air Lines, Inc.; director, Liz Claiborne, Inc. and Norfolk Southern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760"/>
        <w:spacing w:after="0"/>
        <w:tabs>
          <w:tab w:leader="none" w:pos="3100" w:val="left"/>
        </w:tabs>
        <w:rPr>
          <w:sz w:val="20"/>
          <w:szCs w:val="20"/>
          <w:color w:val="auto"/>
        </w:rPr>
      </w:pPr>
      <w:r>
        <w:rPr>
          <w:rFonts w:ascii="Arial" w:cs="Arial" w:eastAsia="Arial" w:hAnsi="Arial"/>
          <w:sz w:val="16"/>
          <w:szCs w:val="16"/>
          <w:color w:val="auto"/>
        </w:rPr>
        <w:t>CARRIE S. COX</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933450" cy="13538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33450" cy="1353820"/>
                    </a:xfrm>
                    <a:prstGeom prst="rect">
                      <a:avLst/>
                    </a:prstGeom>
                    <a:noFill/>
                  </pic:spPr>
                </pic:pic>
              </a:graphicData>
            </a:graphic>
          </wp:anchor>
        </w:drawing>
      </w:r>
    </w:p>
    <w:p>
      <w:pPr>
        <w:spacing w:after="0" w:line="192"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Member, Audit Committee.</w:t>
      </w:r>
    </w:p>
    <w:p>
      <w:pPr>
        <w:spacing w:after="0" w:line="196" w:lineRule="exact"/>
        <w:rPr>
          <w:sz w:val="20"/>
          <w:szCs w:val="20"/>
          <w:color w:val="auto"/>
        </w:rPr>
      </w:pPr>
    </w:p>
    <w:p>
      <w:pPr>
        <w:ind w:left="1760" w:right="100"/>
        <w:spacing w:after="0" w:line="250" w:lineRule="auto"/>
        <w:rPr>
          <w:sz w:val="20"/>
          <w:szCs w:val="20"/>
          <w:color w:val="auto"/>
        </w:rPr>
      </w:pPr>
      <w:r>
        <w:rPr>
          <w:rFonts w:ascii="Arial" w:cs="Arial" w:eastAsia="Arial" w:hAnsi="Arial"/>
          <w:sz w:val="16"/>
          <w:szCs w:val="16"/>
          <w:color w:val="auto"/>
        </w:rPr>
        <w:t>Executive vice president and president of Global Pharmaceuticals at Schering-Plough Corporation since 2003. Executive vice president and president of Global Prescription Business at Pharmacia Corporation, 1997-2003.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964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760"/>
        <w:spacing w:after="0"/>
        <w:tabs>
          <w:tab w:leader="none" w:pos="3240" w:val="left"/>
        </w:tabs>
        <w:rPr>
          <w:sz w:val="20"/>
          <w:szCs w:val="20"/>
          <w:color w:val="auto"/>
        </w:rPr>
      </w:pPr>
      <w:r>
        <w:rPr>
          <w:rFonts w:ascii="Arial" w:cs="Arial" w:eastAsia="Arial" w:hAnsi="Arial"/>
          <w:sz w:val="16"/>
          <w:szCs w:val="16"/>
          <w:color w:val="auto"/>
        </w:rPr>
        <w:t>DAVID R. GOODE</w:t>
      </w:r>
      <w:r>
        <w:rPr>
          <w:sz w:val="20"/>
          <w:szCs w:val="20"/>
          <w:color w:val="auto"/>
        </w:rPr>
        <w:tab/>
      </w:r>
      <w:r>
        <w:rPr>
          <w:rFonts w:ascii="Arial" w:cs="Arial" w:eastAsia="Arial" w:hAnsi="Arial"/>
          <w:sz w:val="16"/>
          <w:szCs w:val="16"/>
          <w:i w:val="1"/>
          <w:iCs w:val="1"/>
          <w:color w:val="auto"/>
        </w:rPr>
        <w:t>Director</w:t>
      </w:r>
    </w:p>
    <w:p>
      <w:pPr>
        <w:spacing w:after="0" w:line="212"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Member, Governance and Stockholder Relations Committee.</w:t>
      </w:r>
    </w:p>
    <w:p>
      <w:pPr>
        <w:spacing w:after="0" w:line="196" w:lineRule="exact"/>
        <w:rPr>
          <w:sz w:val="20"/>
          <w:szCs w:val="20"/>
          <w:color w:val="auto"/>
        </w:rPr>
      </w:pPr>
    </w:p>
    <w:p>
      <w:pPr>
        <w:ind w:left="1760" w:right="160"/>
        <w:spacing w:after="0" w:line="250" w:lineRule="auto"/>
        <w:rPr>
          <w:sz w:val="20"/>
          <w:szCs w:val="20"/>
          <w:color w:val="auto"/>
        </w:rPr>
      </w:pPr>
      <w:r>
        <w:rPr>
          <w:rFonts w:ascii="Arial" w:cs="Arial" w:eastAsia="Arial" w:hAnsi="Arial"/>
          <w:sz w:val="16"/>
          <w:szCs w:val="16"/>
          <w:color w:val="auto"/>
        </w:rPr>
        <w:t>Chairman of the board of Norfolk Southern Corporation, 1992-2006; chief executive officer, 1992-2005; president, 1991-2004. Director, Caterpillar, Inc., Delta Air Lines, Inc. and Russell Reynolds Associates, Inc.; member, The Business Council.</w:t>
      </w:r>
    </w:p>
    <w:p>
      <w:pPr>
        <w:sectPr>
          <w:pgSz w:w="11900" w:h="16838" w:orient="portrait"/>
          <w:cols w:equalWidth="0" w:num="1">
            <w:col w:w="11380"/>
          </w:cols>
          <w:pgMar w:left="240" w:top="142" w:right="279" w:bottom="358"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151130</wp:posOffset>
            </wp:positionH>
            <wp:positionV relativeFrom="page">
              <wp:posOffset>88900</wp:posOffset>
            </wp:positionV>
            <wp:extent cx="964565" cy="13462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964565" cy="134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760"/>
        <w:spacing w:after="0"/>
        <w:tabs>
          <w:tab w:leader="none" w:pos="3500" w:val="left"/>
        </w:tabs>
        <w:rPr>
          <w:sz w:val="20"/>
          <w:szCs w:val="20"/>
          <w:color w:val="auto"/>
        </w:rPr>
      </w:pPr>
      <w:r>
        <w:rPr>
          <w:rFonts w:ascii="Arial" w:cs="Arial" w:eastAsia="Arial" w:hAnsi="Arial"/>
          <w:sz w:val="16"/>
          <w:szCs w:val="16"/>
          <w:color w:val="auto"/>
        </w:rPr>
        <w:t>PAMELA H. PATSLEY</w:t>
      </w:r>
      <w:r>
        <w:rPr>
          <w:sz w:val="20"/>
          <w:szCs w:val="20"/>
          <w:color w:val="auto"/>
        </w:rPr>
        <w:tab/>
      </w:r>
      <w:r>
        <w:rPr>
          <w:rFonts w:ascii="Arial" w:cs="Arial" w:eastAsia="Arial" w:hAnsi="Arial"/>
          <w:sz w:val="15"/>
          <w:szCs w:val="15"/>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949325" cy="13379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49325" cy="1337945"/>
                    </a:xfrm>
                    <a:prstGeom prst="rect">
                      <a:avLst/>
                    </a:prstGeom>
                    <a:noFill/>
                  </pic:spPr>
                </pic:pic>
              </a:graphicData>
            </a:graphic>
          </wp:anchor>
        </w:drawing>
      </w:r>
    </w:p>
    <w:p>
      <w:pPr>
        <w:spacing w:after="0" w:line="192"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Chair, Audit Committee.</w:t>
      </w:r>
    </w:p>
    <w:p>
      <w:pPr>
        <w:spacing w:after="0" w:line="196" w:lineRule="exact"/>
        <w:rPr>
          <w:sz w:val="20"/>
          <w:szCs w:val="20"/>
          <w:color w:val="auto"/>
        </w:rPr>
      </w:pPr>
    </w:p>
    <w:p>
      <w:pPr>
        <w:jc w:val="both"/>
        <w:ind w:left="1760" w:right="240"/>
        <w:spacing w:after="0" w:line="245" w:lineRule="auto"/>
        <w:rPr>
          <w:sz w:val="20"/>
          <w:szCs w:val="20"/>
          <w:color w:val="auto"/>
        </w:rPr>
      </w:pPr>
      <w:r>
        <w:rPr>
          <w:rFonts w:ascii="Arial" w:cs="Arial" w:eastAsia="Arial" w:hAnsi="Arial"/>
          <w:sz w:val="16"/>
          <w:szCs w:val="16"/>
          <w:color w:val="auto"/>
        </w:rPr>
        <w:t>Senior executive vice president of First Data Corporation, 2000-2007; president of its subsidiaries First Data International, 2002-2007 and First Data Merchant Services, 2000-2002. President and chief executive officer of Paymentech, Inc., 1991-2000. Director, Molson Coors Brewing Company and Tolleson Wealth Management, Inc.; national trustee, Boys and Girls Clubs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760"/>
        <w:spacing w:after="0"/>
        <w:tabs>
          <w:tab w:leader="none" w:pos="3500" w:val="left"/>
        </w:tabs>
        <w:rPr>
          <w:sz w:val="20"/>
          <w:szCs w:val="20"/>
          <w:color w:val="auto"/>
        </w:rPr>
      </w:pPr>
      <w:r>
        <w:rPr>
          <w:rFonts w:ascii="Arial" w:cs="Arial" w:eastAsia="Arial" w:hAnsi="Arial"/>
          <w:sz w:val="16"/>
          <w:szCs w:val="16"/>
          <w:color w:val="auto"/>
        </w:rPr>
        <w:t>WAYNE R. SANDERS</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949325" cy="13303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49325" cy="1330325"/>
                    </a:xfrm>
                    <a:prstGeom prst="rect">
                      <a:avLst/>
                    </a:prstGeom>
                    <a:noFill/>
                  </pic:spPr>
                </pic:pic>
              </a:graphicData>
            </a:graphic>
          </wp:anchor>
        </w:drawing>
      </w:r>
    </w:p>
    <w:p>
      <w:pPr>
        <w:spacing w:after="0" w:line="192"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Member, Audit Committee.</w:t>
      </w:r>
    </w:p>
    <w:p>
      <w:pPr>
        <w:spacing w:after="0" w:line="196" w:lineRule="exact"/>
        <w:rPr>
          <w:sz w:val="20"/>
          <w:szCs w:val="20"/>
          <w:color w:val="auto"/>
        </w:rPr>
      </w:pPr>
    </w:p>
    <w:p>
      <w:pPr>
        <w:ind w:left="1760" w:right="100"/>
        <w:spacing w:after="0" w:line="250" w:lineRule="auto"/>
        <w:rPr>
          <w:sz w:val="20"/>
          <w:szCs w:val="20"/>
          <w:color w:val="auto"/>
        </w:rPr>
      </w:pPr>
      <w:r>
        <w:rPr>
          <w:rFonts w:ascii="Arial" w:cs="Arial" w:eastAsia="Arial" w:hAnsi="Arial"/>
          <w:sz w:val="16"/>
          <w:szCs w:val="16"/>
          <w:color w:val="auto"/>
        </w:rPr>
        <w:t>Chairman of the board of Kimberly-Clark Corporation, 1992-2003; chief executive officer, 1991-2002; director, 1989-2003. Director, Belo Corporation; national trustee and governor, Boys and Girls Clubs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760"/>
        <w:spacing w:after="0"/>
        <w:tabs>
          <w:tab w:leader="none" w:pos="3340" w:val="left"/>
        </w:tabs>
        <w:rPr>
          <w:sz w:val="20"/>
          <w:szCs w:val="20"/>
          <w:color w:val="auto"/>
        </w:rPr>
      </w:pPr>
      <w:r>
        <w:rPr>
          <w:rFonts w:ascii="Arial" w:cs="Arial" w:eastAsia="Arial" w:hAnsi="Arial"/>
          <w:sz w:val="16"/>
          <w:szCs w:val="16"/>
          <w:color w:val="auto"/>
        </w:rPr>
        <w:t>RUTH J. SIMMONS</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949325" cy="13462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49325" cy="1346200"/>
                    </a:xfrm>
                    <a:prstGeom prst="rect">
                      <a:avLst/>
                    </a:prstGeom>
                    <a:noFill/>
                  </pic:spPr>
                </pic:pic>
              </a:graphicData>
            </a:graphic>
          </wp:anchor>
        </w:drawing>
      </w:r>
    </w:p>
    <w:p>
      <w:pPr>
        <w:spacing w:after="0" w:line="192"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Member, Compensation Committee.</w:t>
      </w:r>
    </w:p>
    <w:p>
      <w:pPr>
        <w:spacing w:after="0" w:line="196" w:lineRule="exact"/>
        <w:rPr>
          <w:sz w:val="20"/>
          <w:szCs w:val="20"/>
          <w:color w:val="auto"/>
        </w:rPr>
      </w:pPr>
    </w:p>
    <w:p>
      <w:pPr>
        <w:ind w:left="1760"/>
        <w:spacing w:after="0" w:line="245" w:lineRule="auto"/>
        <w:rPr>
          <w:sz w:val="20"/>
          <w:szCs w:val="20"/>
          <w:color w:val="auto"/>
        </w:rPr>
      </w:pPr>
      <w:r>
        <w:rPr>
          <w:rFonts w:ascii="Arial" w:cs="Arial" w:eastAsia="Arial" w:hAnsi="Arial"/>
          <w:sz w:val="16"/>
          <w:szCs w:val="16"/>
          <w:color w:val="auto"/>
        </w:rPr>
        <w:t>President of Brown University since 2001. President of Smith College, 1995-2001; vice provost of Princeton University, 1992-95. Director, The Goldman Sachs Group, Inc.; fellow, American Academy of Arts and Sciences; member, Council on Foreign Relations; trustee, Howard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9640"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1760"/>
        <w:spacing w:after="0"/>
        <w:tabs>
          <w:tab w:leader="none" w:pos="3840" w:val="left"/>
        </w:tabs>
        <w:rPr>
          <w:sz w:val="20"/>
          <w:szCs w:val="20"/>
          <w:color w:val="auto"/>
        </w:rPr>
      </w:pPr>
      <w:r>
        <w:rPr>
          <w:rFonts w:ascii="Arial" w:cs="Arial" w:eastAsia="Arial" w:hAnsi="Arial"/>
          <w:sz w:val="16"/>
          <w:szCs w:val="16"/>
          <w:color w:val="auto"/>
        </w:rPr>
        <w:t>RICHARD K. TEMPLETON</w:t>
      </w:r>
      <w:r>
        <w:rPr>
          <w:sz w:val="20"/>
          <w:szCs w:val="20"/>
          <w:color w:val="auto"/>
        </w:rPr>
        <w:tab/>
      </w:r>
      <w:r>
        <w:rPr>
          <w:rFonts w:ascii="Arial" w:cs="Arial" w:eastAsia="Arial" w:hAnsi="Arial"/>
          <w:sz w:val="15"/>
          <w:szCs w:val="15"/>
          <w:i w:val="1"/>
          <w:iCs w:val="1"/>
          <w:color w:val="auto"/>
        </w:rPr>
        <w:t>Director,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956945" cy="1322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56945" cy="1322705"/>
                    </a:xfrm>
                    <a:prstGeom prst="rect">
                      <a:avLst/>
                    </a:prstGeom>
                    <a:noFill/>
                  </pic:spPr>
                </pic:pic>
              </a:graphicData>
            </a:graphic>
          </wp:anchor>
        </w:drawing>
      </w:r>
    </w:p>
    <w:p>
      <w:pPr>
        <w:spacing w:after="0" w:line="192" w:lineRule="exact"/>
        <w:rPr>
          <w:sz w:val="20"/>
          <w:szCs w:val="20"/>
          <w:color w:val="auto"/>
        </w:rPr>
      </w:pPr>
    </w:p>
    <w:p>
      <w:pPr>
        <w:ind w:left="1760" w:right="20"/>
        <w:spacing w:after="0" w:line="245" w:lineRule="auto"/>
        <w:rPr>
          <w:sz w:val="20"/>
          <w:szCs w:val="20"/>
          <w:color w:val="auto"/>
        </w:rPr>
      </w:pPr>
      <w:r>
        <w:rPr>
          <w:rFonts w:ascii="Arial" w:cs="Arial" w:eastAsia="Arial" w:hAnsi="Arial"/>
          <w:sz w:val="16"/>
          <w:szCs w:val="16"/>
          <w:color w:val="auto"/>
        </w:rPr>
        <w:t>President and chief executive officer of the company since 2004. Chief operating officer of the company, 2000-2004. Joined the company in 1980; elected president of the company’s Semiconductor Group and executive vice president in 1996. Director, Semiconductor Industry Association; member, The Business Roundtable.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760"/>
        <w:spacing w:after="0"/>
        <w:tabs>
          <w:tab w:leader="none" w:pos="4060" w:val="left"/>
        </w:tabs>
        <w:rPr>
          <w:sz w:val="20"/>
          <w:szCs w:val="20"/>
          <w:color w:val="auto"/>
        </w:rPr>
      </w:pPr>
      <w:r>
        <w:rPr>
          <w:rFonts w:ascii="Arial" w:cs="Arial" w:eastAsia="Arial" w:hAnsi="Arial"/>
          <w:sz w:val="16"/>
          <w:szCs w:val="16"/>
          <w:color w:val="auto"/>
        </w:rPr>
        <w:t>CHRISTINE TODD WHITMAN</w:t>
      </w:r>
      <w:r>
        <w:rPr>
          <w:sz w:val="20"/>
          <w:szCs w:val="20"/>
          <w:color w:val="auto"/>
        </w:rPr>
        <w:tab/>
      </w:r>
      <w:r>
        <w:rPr>
          <w:rFonts w:ascii="Arial" w:cs="Arial" w:eastAsia="Arial" w:hAnsi="Arial"/>
          <w:sz w:val="16"/>
          <w:szCs w:val="16"/>
          <w:i w:val="1"/>
          <w:i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-107950</wp:posOffset>
            </wp:positionV>
            <wp:extent cx="956945" cy="13462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56945" cy="1346200"/>
                    </a:xfrm>
                    <a:prstGeom prst="rect">
                      <a:avLst/>
                    </a:prstGeom>
                    <a:noFill/>
                  </pic:spPr>
                </pic:pic>
              </a:graphicData>
            </a:graphic>
          </wp:anchor>
        </w:drawing>
      </w:r>
    </w:p>
    <w:p>
      <w:pPr>
        <w:spacing w:after="0" w:line="192"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Member, Compensation Committee.</w:t>
      </w:r>
    </w:p>
    <w:p>
      <w:pPr>
        <w:spacing w:after="0" w:line="196" w:lineRule="exact"/>
        <w:rPr>
          <w:sz w:val="20"/>
          <w:szCs w:val="20"/>
          <w:color w:val="auto"/>
        </w:rPr>
      </w:pPr>
    </w:p>
    <w:p>
      <w:pPr>
        <w:ind w:left="1760" w:right="160"/>
        <w:spacing w:after="0" w:line="250" w:lineRule="auto"/>
        <w:rPr>
          <w:sz w:val="20"/>
          <w:szCs w:val="20"/>
          <w:color w:val="auto"/>
        </w:rPr>
      </w:pPr>
      <w:r>
        <w:rPr>
          <w:rFonts w:ascii="Arial" w:cs="Arial" w:eastAsia="Arial" w:hAnsi="Arial"/>
          <w:sz w:val="16"/>
          <w:szCs w:val="16"/>
          <w:color w:val="auto"/>
        </w:rPr>
        <w:t>Director and president of The Whitman Strategy Group. Administrator of the Environmental Protection Agency, 2001-2003; Governor of New Jersey, 1994-2000. Director, Council on Foreign Relations, S.C. Johnson &amp; Son, Inc. and United Technologies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Retiring Director</w:t>
      </w:r>
    </w:p>
    <w:p>
      <w:pPr>
        <w:spacing w:after="0" w:line="216"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Thomas J. Engibous, a highly valued leader and member of the board, will retire as chairman immediately after the annual meeting and, therefore, is not standing for reelection. Mr. Engibous has been chairman since 1998 and president and chief executive officer of the company from 1996-2004. He is also a director of J.C. Penney Company, Inc.</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00"/>
          </w:cols>
          <w:pgMar w:left="240" w:top="1440" w:right="259" w:bottom="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148590</wp:posOffset>
            </wp:positionH>
            <wp:positionV relativeFrom="page">
              <wp:posOffset>88900</wp:posOffset>
            </wp:positionV>
            <wp:extent cx="7279640" cy="17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9640" cy="17780"/>
                    </a:xfrm>
                    <a:prstGeom prst="rect">
                      <a:avLst/>
                    </a:prstGeom>
                    <a:noFill/>
                  </pic:spPr>
                </pic:pic>
              </a:graphicData>
            </a:graphic>
          </wp:anchor>
        </w:drawing>
        <w:t>Director Nomination Process</w:t>
      </w:r>
    </w:p>
    <w:p>
      <w:pPr>
        <w:spacing w:after="0" w:line="216"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The board is responsible for approving nominees for election as directors. To assist in this task, the board has designated a standing committee, the Governance and Stockholder Relations Committee (the Committee), which is responsible for reviewing and recommending nominees to the board. The Committee is comprised solely of independent directors as defined by the rules of the New York Stock Exchange (NYSE) and the board’s corporate governance guidelines. Our board of directors has adopted a written charter for the Committee. The charter can be found on our web site at www.ti.com/corporategovernance.</w:t>
      </w:r>
    </w:p>
    <w:p>
      <w:pPr>
        <w:spacing w:after="0" w:line="172" w:lineRule="exact"/>
        <w:rPr>
          <w:sz w:val="20"/>
          <w:szCs w:val="20"/>
          <w:color w:val="auto"/>
        </w:rPr>
      </w:pPr>
    </w:p>
    <w:p>
      <w:pPr>
        <w:ind w:right="480"/>
        <w:spacing w:after="0" w:line="243" w:lineRule="auto"/>
        <w:rPr>
          <w:sz w:val="20"/>
          <w:szCs w:val="20"/>
          <w:color w:val="auto"/>
        </w:rPr>
      </w:pPr>
      <w:r>
        <w:rPr>
          <w:rFonts w:ascii="Arial" w:cs="Arial" w:eastAsia="Arial" w:hAnsi="Arial"/>
          <w:sz w:val="16"/>
          <w:szCs w:val="16"/>
          <w:color w:val="auto"/>
        </w:rPr>
        <w:t>It is a long-standing policy of the board to consider prospective board nominees recommended by stockholders. A stockholder who wishes to recommend a prospective board nominee for the Committee’s consideration can write to the Secretary of the Governance and Stockholder Relations Committee, Texas Instruments Incorporated, Post Office Box 655936, MS 8658, Dallas, Texas 75265-5936. The Committee will evaluate the stockholder’s prospective board nominee in the same manner as it evaluates other nominees.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In evaluating prospective nominees, the Committee looks for the following minimum qualifications, qualities and skills:</w:t>
      </w:r>
    </w:p>
    <w:p>
      <w:pPr>
        <w:spacing w:after="0" w:line="22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Outstanding achievement in the individual’s personal career.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Breadth of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Soundness of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Ability to make independent, analytical inquiries.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Ability to contribute to a diversity of viewpoints among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0" w:right="20"/>
        <w:spacing w:after="0" w:line="298" w:lineRule="auto"/>
        <w:rPr>
          <w:sz w:val="20"/>
          <w:szCs w:val="20"/>
          <w:color w:val="auto"/>
        </w:rPr>
      </w:pPr>
      <w:r>
        <w:rPr>
          <w:rFonts w:ascii="Arial" w:cs="Arial" w:eastAsia="Arial" w:hAnsi="Arial"/>
          <w:sz w:val="16"/>
          <w:szCs w:val="16"/>
          <w:color w:val="auto"/>
        </w:rPr>
        <w:t>Willingness and ability to devote the time required to perform board activities adequately (in this regard, the Committee will consider the number of other boards on which the individual serves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-265430</wp:posOffset>
            </wp:positionV>
            <wp:extent cx="64135" cy="641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85" w:lineRule="exact"/>
        <w:rPr>
          <w:sz w:val="20"/>
          <w:szCs w:val="20"/>
          <w:color w:val="auto"/>
        </w:rPr>
      </w:pPr>
    </w:p>
    <w:p>
      <w:pPr>
        <w:ind w:left="680" w:right="200"/>
        <w:spacing w:after="0" w:line="298" w:lineRule="auto"/>
        <w:rPr>
          <w:sz w:val="20"/>
          <w:szCs w:val="20"/>
          <w:color w:val="auto"/>
        </w:rPr>
      </w:pPr>
      <w:r>
        <w:rPr>
          <w:rFonts w:ascii="Arial" w:cs="Arial" w:eastAsia="Arial" w:hAnsi="Arial"/>
          <w:sz w:val="16"/>
          <w:szCs w:val="16"/>
          <w:color w:val="auto"/>
        </w:rPr>
        <w:t>Ability to represent the total corporate interests of TI (a director will not be selected to, nor will he or she be expected to, represent the interests of any particular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-265430</wp:posOffset>
            </wp:positionV>
            <wp:extent cx="64135" cy="641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36" w:lineRule="exact"/>
        <w:rPr>
          <w:sz w:val="20"/>
          <w:szCs w:val="20"/>
          <w:color w:val="auto"/>
        </w:rPr>
      </w:pPr>
    </w:p>
    <w:p>
      <w:pPr>
        <w:ind w:right="480"/>
        <w:spacing w:after="0" w:line="269" w:lineRule="auto"/>
        <w:rPr>
          <w:sz w:val="20"/>
          <w:szCs w:val="20"/>
          <w:color w:val="auto"/>
        </w:rPr>
      </w:pPr>
      <w:r>
        <w:rPr>
          <w:rFonts w:ascii="Arial" w:cs="Arial" w:eastAsia="Arial" w:hAnsi="Arial"/>
          <w:sz w:val="15"/>
          <w:szCs w:val="15"/>
          <w:color w:val="auto"/>
        </w:rPr>
        <w:t>Stockholders, non-management directors, management and others may submit recommendations to the Committee. The board prefers a mix of experience among its members to maintain a diversity of viewpoints. For example, some board members may have spent much of their careers in business, some in government and some in academia. The board’s current size is within the desired range as stated in the board’s corporate governance guidelines.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Communications with the Board</w:t>
      </w:r>
    </w:p>
    <w:p>
      <w:pPr>
        <w:spacing w:after="0" w:line="216"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Stockholders and others who wish to communicate with the board as a whole, or to individual directors, may write to them at: Post Office Box 655936, MS 8658, Dallas, Texas 75265-5936. All communications sent to this address will be shared with the board or the individual director, if so addressed.</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Meeting Attendance</w:t>
      </w:r>
    </w:p>
    <w:p>
      <w:pPr>
        <w:spacing w:after="0" w:line="216" w:lineRule="exact"/>
        <w:rPr>
          <w:sz w:val="20"/>
          <w:szCs w:val="20"/>
          <w:color w:val="auto"/>
        </w:rPr>
      </w:pPr>
    </w:p>
    <w:p>
      <w:pPr>
        <w:ind w:right="880"/>
        <w:spacing w:after="0" w:line="250" w:lineRule="auto"/>
        <w:rPr>
          <w:sz w:val="20"/>
          <w:szCs w:val="20"/>
          <w:color w:val="auto"/>
        </w:rPr>
      </w:pPr>
      <w:r>
        <w:rPr>
          <w:rFonts w:ascii="Arial" w:cs="Arial" w:eastAsia="Arial" w:hAnsi="Arial"/>
          <w:sz w:val="16"/>
          <w:szCs w:val="16"/>
          <w:color w:val="auto"/>
        </w:rPr>
        <w:t>It is a policy of the board to encourage directors to attend each annual meeting of stockholders. Such attendance allows for direct interaction between stockholders and members of the board. In 2007, all directors attended TI’s annual meeting of stockholders.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964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board has adopted the following standards for determining independence.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 In no event will a director be considered independent if:</w:t>
      </w:r>
    </w:p>
    <w:p>
      <w:pPr>
        <w:spacing w:after="0" w:line="208" w:lineRule="exact"/>
        <w:rPr>
          <w:sz w:val="20"/>
          <w:szCs w:val="20"/>
          <w:color w:val="auto"/>
        </w:rPr>
      </w:pPr>
    </w:p>
    <w:p>
      <w:pPr>
        <w:ind w:left="620" w:hanging="377"/>
        <w:spacing w:after="0"/>
        <w:tabs>
          <w:tab w:leader="none" w:pos="620" w:val="left"/>
        </w:tabs>
        <w:numPr>
          <w:ilvl w:val="1"/>
          <w:numId w:val="2"/>
        </w:numPr>
        <w:rPr>
          <w:rFonts w:ascii="Arial" w:cs="Arial" w:eastAsia="Arial" w:hAnsi="Arial"/>
          <w:sz w:val="16"/>
          <w:szCs w:val="16"/>
          <w:color w:val="auto"/>
        </w:rPr>
      </w:pPr>
      <w:r>
        <w:rPr>
          <w:rFonts w:ascii="Arial" w:cs="Arial" w:eastAsia="Arial" w:hAnsi="Arial"/>
          <w:sz w:val="16"/>
          <w:szCs w:val="16"/>
          <w:color w:val="auto"/>
        </w:rPr>
        <w:t>He or she is a current partner of or is employed by the company’s independent auditors; or</w:t>
      </w:r>
    </w:p>
    <w:p>
      <w:pPr>
        <w:spacing w:after="0" w:line="244" w:lineRule="exact"/>
        <w:rPr>
          <w:rFonts w:ascii="Arial" w:cs="Arial" w:eastAsia="Arial" w:hAnsi="Arial"/>
          <w:sz w:val="16"/>
          <w:szCs w:val="16"/>
          <w:color w:val="auto"/>
        </w:rPr>
      </w:pPr>
    </w:p>
    <w:p>
      <w:pPr>
        <w:ind w:left="620" w:right="200" w:hanging="377"/>
        <w:spacing w:after="0" w:line="250" w:lineRule="auto"/>
        <w:tabs>
          <w:tab w:leader="none" w:pos="620" w:val="left"/>
        </w:tabs>
        <w:numPr>
          <w:ilvl w:val="1"/>
          <w:numId w:val="2"/>
        </w:numPr>
        <w:rPr>
          <w:rFonts w:ascii="Arial" w:cs="Arial" w:eastAsia="Arial" w:hAnsi="Arial"/>
          <w:sz w:val="16"/>
          <w:szCs w:val="16"/>
          <w:color w:val="auto"/>
        </w:rPr>
      </w:pPr>
      <w:r>
        <w:rPr>
          <w:rFonts w:ascii="Arial" w:cs="Arial" w:eastAsia="Arial" w:hAnsi="Arial"/>
          <w:sz w:val="16"/>
          <w:szCs w:val="16"/>
          <w:color w:val="auto"/>
        </w:rPr>
        <w:t>An immediate family member of the director is (a) a current partner of the company’s independent auditors or (b) currently employed by the company’s independent auditors and participates in the auditors’ audit, assurance or tax compliance (but not tax planning) practice.</w:t>
      </w:r>
    </w:p>
    <w:p>
      <w:pPr>
        <w:spacing w:after="0" w:line="18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B. In no event will a director be considered independent if, within the preceding three years:</w:t>
      </w:r>
    </w:p>
    <w:p>
      <w:pPr>
        <w:spacing w:after="0" w:line="195" w:lineRule="exact"/>
        <w:rPr>
          <w:rFonts w:ascii="Arial" w:cs="Arial" w:eastAsia="Arial" w:hAnsi="Arial"/>
          <w:sz w:val="16"/>
          <w:szCs w:val="16"/>
          <w:color w:val="auto"/>
        </w:rPr>
      </w:pPr>
    </w:p>
    <w:p>
      <w:pPr>
        <w:ind w:left="620" w:hanging="377"/>
        <w:spacing w:after="0" w:line="250" w:lineRule="auto"/>
        <w:tabs>
          <w:tab w:leader="none" w:pos="620" w:val="left"/>
        </w:tabs>
        <w:numPr>
          <w:ilvl w:val="1"/>
          <w:numId w:val="3"/>
        </w:numPr>
        <w:rPr>
          <w:rFonts w:ascii="Arial" w:cs="Arial" w:eastAsia="Arial" w:hAnsi="Arial"/>
          <w:sz w:val="16"/>
          <w:szCs w:val="16"/>
          <w:color w:val="auto"/>
        </w:rPr>
      </w:pPr>
      <w:r>
        <w:rPr>
          <w:rFonts w:ascii="Arial" w:cs="Arial" w:eastAsia="Arial" w:hAnsi="Arial"/>
          <w:sz w:val="16"/>
          <w:szCs w:val="16"/>
          <w:color w:val="auto"/>
        </w:rPr>
        <w:t>He or she was employed by the company (except in the capacity of interim chairman of the board, chief executive officer or other executive officer) or any of its subsidiaries;</w:t>
      </w:r>
    </w:p>
    <w:p>
      <w:pPr>
        <w:spacing w:after="0" w:line="204" w:lineRule="exact"/>
        <w:rPr>
          <w:rFonts w:ascii="Arial" w:cs="Arial" w:eastAsia="Arial" w:hAnsi="Arial"/>
          <w:sz w:val="16"/>
          <w:szCs w:val="16"/>
          <w:color w:val="auto"/>
        </w:rPr>
      </w:pPr>
    </w:p>
    <w:p>
      <w:pPr>
        <w:jc w:val="both"/>
        <w:ind w:left="620" w:right="120" w:hanging="377"/>
        <w:spacing w:after="0" w:line="245" w:lineRule="auto"/>
        <w:tabs>
          <w:tab w:leader="none" w:pos="620" w:val="left"/>
        </w:tabs>
        <w:numPr>
          <w:ilvl w:val="1"/>
          <w:numId w:val="3"/>
        </w:numPr>
        <w:rPr>
          <w:rFonts w:ascii="Arial" w:cs="Arial" w:eastAsia="Arial" w:hAnsi="Arial"/>
          <w:sz w:val="16"/>
          <w:szCs w:val="16"/>
          <w:color w:val="auto"/>
        </w:rPr>
      </w:pPr>
      <w:r>
        <w:rPr>
          <w:rFonts w:ascii="Arial" w:cs="Arial" w:eastAsia="Arial" w:hAnsi="Arial"/>
          <w:sz w:val="16"/>
          <w:szCs w:val="16"/>
          <w:color w:val="auto"/>
        </w:rPr>
        <w:t>He or she received more than $100,000 during any twelve-month period in direct compensation from TI (other than (a) director and committee fees and pension or other forms of deferred compensation and (b) compensation received for former service as an interim chairman of the board, chief executive officer or other executive officer);</w:t>
      </w:r>
    </w:p>
    <w:p>
      <w:pPr>
        <w:spacing w:after="0" w:line="208" w:lineRule="exact"/>
        <w:rPr>
          <w:rFonts w:ascii="Arial" w:cs="Arial" w:eastAsia="Arial" w:hAnsi="Arial"/>
          <w:sz w:val="16"/>
          <w:szCs w:val="16"/>
          <w:color w:val="auto"/>
        </w:rPr>
      </w:pPr>
    </w:p>
    <w:p>
      <w:pPr>
        <w:ind w:left="620" w:hanging="377"/>
        <w:spacing w:after="0"/>
        <w:tabs>
          <w:tab w:leader="none" w:pos="620" w:val="left"/>
        </w:tabs>
        <w:numPr>
          <w:ilvl w:val="1"/>
          <w:numId w:val="3"/>
        </w:numPr>
        <w:rPr>
          <w:rFonts w:ascii="Arial" w:cs="Arial" w:eastAsia="Arial" w:hAnsi="Arial"/>
          <w:sz w:val="16"/>
          <w:szCs w:val="16"/>
          <w:color w:val="auto"/>
        </w:rPr>
      </w:pPr>
      <w:r>
        <w:rPr>
          <w:rFonts w:ascii="Arial" w:cs="Arial" w:eastAsia="Arial" w:hAnsi="Arial"/>
          <w:sz w:val="16"/>
          <w:szCs w:val="16"/>
          <w:color w:val="auto"/>
        </w:rPr>
        <w:t>An immediate family member of the director was employed as an executive officer by the company or any of its subsidiaries;</w:t>
      </w:r>
    </w:p>
    <w:p>
      <w:pPr>
        <w:spacing w:after="0" w:line="220" w:lineRule="exact"/>
        <w:rPr>
          <w:rFonts w:ascii="Arial" w:cs="Arial" w:eastAsia="Arial" w:hAnsi="Arial"/>
          <w:sz w:val="16"/>
          <w:szCs w:val="16"/>
          <w:color w:val="auto"/>
        </w:rPr>
      </w:pPr>
    </w:p>
    <w:p>
      <w:pPr>
        <w:ind w:left="620" w:right="360" w:hanging="377"/>
        <w:spacing w:after="0" w:line="250" w:lineRule="auto"/>
        <w:tabs>
          <w:tab w:leader="none" w:pos="620" w:val="left"/>
        </w:tabs>
        <w:numPr>
          <w:ilvl w:val="1"/>
          <w:numId w:val="3"/>
        </w:numPr>
        <w:rPr>
          <w:rFonts w:ascii="Arial" w:cs="Arial" w:eastAsia="Arial" w:hAnsi="Arial"/>
          <w:sz w:val="16"/>
          <w:szCs w:val="16"/>
          <w:color w:val="auto"/>
        </w:rPr>
      </w:pPr>
      <w:r>
        <w:rPr>
          <w:rFonts w:ascii="Arial" w:cs="Arial" w:eastAsia="Arial" w:hAnsi="Arial"/>
          <w:sz w:val="16"/>
          <w:szCs w:val="16"/>
          <w:color w:val="auto"/>
        </w:rPr>
        <w:t>An immediate family member of the director received more than $100,000 during any twelve-month period in direct compensation from TI (excluding compensation as a non-executive officer employee of the company);</w:t>
      </w:r>
    </w:p>
    <w:p>
      <w:pPr>
        <w:spacing w:after="0" w:line="204" w:lineRule="exact"/>
        <w:rPr>
          <w:rFonts w:ascii="Arial" w:cs="Arial" w:eastAsia="Arial" w:hAnsi="Arial"/>
          <w:sz w:val="16"/>
          <w:szCs w:val="16"/>
          <w:color w:val="auto"/>
        </w:rPr>
      </w:pPr>
    </w:p>
    <w:p>
      <w:pPr>
        <w:ind w:left="620" w:right="60" w:hanging="377"/>
        <w:spacing w:after="0" w:line="250" w:lineRule="auto"/>
        <w:tabs>
          <w:tab w:leader="none" w:pos="620" w:val="left"/>
        </w:tabs>
        <w:numPr>
          <w:ilvl w:val="1"/>
          <w:numId w:val="3"/>
        </w:numPr>
        <w:rPr>
          <w:rFonts w:ascii="Arial" w:cs="Arial" w:eastAsia="Arial" w:hAnsi="Arial"/>
          <w:sz w:val="16"/>
          <w:szCs w:val="16"/>
          <w:color w:val="auto"/>
        </w:rPr>
      </w:pPr>
      <w:r>
        <w:rPr>
          <w:rFonts w:ascii="Arial" w:cs="Arial" w:eastAsia="Arial" w:hAnsi="Arial"/>
          <w:sz w:val="16"/>
          <w:szCs w:val="16"/>
          <w:color w:val="auto"/>
        </w:rPr>
        <w:t>He or she was (but is no longer) a partner or employee of the company’s independent auditors and personally worked on the company’s audit within that time;</w:t>
      </w:r>
    </w:p>
    <w:p>
      <w:pPr>
        <w:spacing w:after="0" w:line="204" w:lineRule="exact"/>
        <w:rPr>
          <w:rFonts w:ascii="Arial" w:cs="Arial" w:eastAsia="Arial" w:hAnsi="Arial"/>
          <w:sz w:val="16"/>
          <w:szCs w:val="16"/>
          <w:color w:val="auto"/>
        </w:rPr>
      </w:pPr>
    </w:p>
    <w:p>
      <w:pPr>
        <w:ind w:left="620" w:right="120" w:hanging="377"/>
        <w:spacing w:after="0" w:line="250" w:lineRule="auto"/>
        <w:tabs>
          <w:tab w:leader="none" w:pos="620" w:val="left"/>
        </w:tabs>
        <w:numPr>
          <w:ilvl w:val="1"/>
          <w:numId w:val="3"/>
        </w:numPr>
        <w:rPr>
          <w:rFonts w:ascii="Arial" w:cs="Arial" w:eastAsia="Arial" w:hAnsi="Arial"/>
          <w:sz w:val="16"/>
          <w:szCs w:val="16"/>
          <w:color w:val="auto"/>
        </w:rPr>
      </w:pPr>
      <w:r>
        <w:rPr>
          <w:rFonts w:ascii="Arial" w:cs="Arial" w:eastAsia="Arial" w:hAnsi="Arial"/>
          <w:sz w:val="16"/>
          <w:szCs w:val="16"/>
          <w:color w:val="auto"/>
        </w:rPr>
        <w:t>An immediate family member of the director was (but is no longer) a partner or employee of the company’s independent auditors and personally worked on the company’s audit within that time;</w:t>
      </w:r>
    </w:p>
    <w:p>
      <w:pPr>
        <w:spacing w:after="0" w:line="204" w:lineRule="exact"/>
        <w:rPr>
          <w:rFonts w:ascii="Arial" w:cs="Arial" w:eastAsia="Arial" w:hAnsi="Arial"/>
          <w:sz w:val="16"/>
          <w:szCs w:val="16"/>
          <w:color w:val="auto"/>
        </w:rPr>
      </w:pPr>
    </w:p>
    <w:p>
      <w:pPr>
        <w:ind w:left="620" w:right="560" w:hanging="377"/>
        <w:spacing w:after="0" w:line="250" w:lineRule="auto"/>
        <w:tabs>
          <w:tab w:leader="none" w:pos="620" w:val="left"/>
        </w:tabs>
        <w:numPr>
          <w:ilvl w:val="1"/>
          <w:numId w:val="3"/>
        </w:numPr>
        <w:rPr>
          <w:rFonts w:ascii="Arial" w:cs="Arial" w:eastAsia="Arial" w:hAnsi="Arial"/>
          <w:sz w:val="16"/>
          <w:szCs w:val="16"/>
          <w:color w:val="auto"/>
        </w:rPr>
      </w:pPr>
      <w:r>
        <w:rPr>
          <w:rFonts w:ascii="Arial" w:cs="Arial" w:eastAsia="Arial" w:hAnsi="Arial"/>
          <w:sz w:val="16"/>
          <w:szCs w:val="16"/>
          <w:color w:val="auto"/>
        </w:rPr>
        <w:t>He or she was an executive officer of another company, at which any of TI’s current executive officers at the same time served on that company’s compensation committee;</w:t>
      </w:r>
    </w:p>
    <w:p>
      <w:pPr>
        <w:spacing w:after="0" w:line="204" w:lineRule="exact"/>
        <w:rPr>
          <w:rFonts w:ascii="Arial" w:cs="Arial" w:eastAsia="Arial" w:hAnsi="Arial"/>
          <w:sz w:val="16"/>
          <w:szCs w:val="16"/>
          <w:color w:val="auto"/>
        </w:rPr>
      </w:pPr>
    </w:p>
    <w:p>
      <w:pPr>
        <w:ind w:left="620" w:hanging="377"/>
        <w:spacing w:after="0"/>
        <w:tabs>
          <w:tab w:leader="none" w:pos="620" w:val="left"/>
        </w:tabs>
        <w:numPr>
          <w:ilvl w:val="1"/>
          <w:numId w:val="3"/>
        </w:numPr>
        <w:rPr>
          <w:rFonts w:ascii="Arial" w:cs="Arial" w:eastAsia="Arial" w:hAnsi="Arial"/>
          <w:sz w:val="16"/>
          <w:szCs w:val="16"/>
          <w:color w:val="auto"/>
        </w:rPr>
      </w:pPr>
      <w:r>
        <w:rPr>
          <w:rFonts w:ascii="Arial" w:cs="Arial" w:eastAsia="Arial" w:hAnsi="Arial"/>
          <w:sz w:val="16"/>
          <w:szCs w:val="16"/>
          <w:color w:val="auto"/>
        </w:rPr>
        <w:t>An immediate family member of the director was an executive officer of another company at which any of TI’s current executive officers at the same time</w:t>
      </w:r>
    </w:p>
    <w:p>
      <w:pPr>
        <w:sectPr>
          <w:pgSz w:w="11900" w:h="16838" w:orient="portrait"/>
          <w:cols w:equalWidth="0" w:num="1">
            <w:col w:w="11400"/>
          </w:cols>
          <w:pgMar w:left="240" w:top="343" w:right="259" w:bottom="0" w:gutter="0" w:footer="0" w:header="0"/>
        </w:sectPr>
      </w:pPr>
    </w:p>
    <w:bookmarkStart w:id="5" w:name="page6"/>
    <w:bookmarkEnd w:id="5"/>
    <w:p>
      <w:pPr>
        <w:spacing w:after="0" w:line="62" w:lineRule="exact"/>
        <w:rPr>
          <w:sz w:val="20"/>
          <w:szCs w:val="20"/>
          <w:color w:val="auto"/>
        </w:rPr>
      </w:pPr>
    </w:p>
    <w:p>
      <w:pPr>
        <w:ind w:left="620"/>
        <w:spacing w:after="0"/>
        <w:rPr>
          <w:sz w:val="20"/>
          <w:szCs w:val="20"/>
          <w:color w:val="auto"/>
        </w:rPr>
      </w:pPr>
      <w:r>
        <w:rPr>
          <w:rFonts w:ascii="Arial" w:cs="Arial" w:eastAsia="Arial" w:hAnsi="Arial"/>
          <w:sz w:val="16"/>
          <w:szCs w:val="16"/>
          <w:color w:val="auto"/>
        </w:rPr>
        <w:t>served on that company’s compensation committee;</w:t>
      </w:r>
    </w:p>
    <w:p>
      <w:pPr>
        <w:spacing w:after="0" w:line="220" w:lineRule="exact"/>
        <w:rPr>
          <w:sz w:val="20"/>
          <w:szCs w:val="20"/>
          <w:color w:val="auto"/>
        </w:rPr>
      </w:pPr>
    </w:p>
    <w:p>
      <w:pPr>
        <w:ind w:left="620" w:right="440" w:hanging="377"/>
        <w:spacing w:after="0" w:line="243" w:lineRule="auto"/>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He or she was, and remains at the time of the determination, an executive officer or employee of a company that made payments to, or received payments from, TI for property or services in an amount which, in any single fiscal year, exceeded the greater of $1 million or 2 percent of the other company’s consolidated gross revenues for its last completed fiscal year (for purposes of this standard, charitable contributions are not considered “payments”); or</w:t>
      </w:r>
    </w:p>
    <w:p>
      <w:pPr>
        <w:spacing w:after="0" w:line="210" w:lineRule="exact"/>
        <w:rPr>
          <w:rFonts w:ascii="Arial" w:cs="Arial" w:eastAsia="Arial" w:hAnsi="Arial"/>
          <w:sz w:val="16"/>
          <w:szCs w:val="16"/>
          <w:color w:val="auto"/>
        </w:rPr>
      </w:pPr>
    </w:p>
    <w:p>
      <w:pPr>
        <w:jc w:val="both"/>
        <w:ind w:left="620" w:hanging="377"/>
        <w:spacing w:after="0" w:line="243" w:lineRule="auto"/>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An immediate family member of the director was, and remains at the time of the determination, an executive officer of a company that made payments to, or received payments from, TI for property or services in an amount which, in any single fiscal year, exceeded the greater of $1 million or 2 percent of the other company’s consolidated gross revenues for its last completed fiscal year (for purposes of this standard, charitable contributions are not considered “payments”).</w:t>
      </w:r>
    </w:p>
    <w:p>
      <w:pPr>
        <w:spacing w:after="0" w:line="211" w:lineRule="exact"/>
        <w:rPr>
          <w:sz w:val="20"/>
          <w:szCs w:val="20"/>
          <w:color w:val="auto"/>
        </w:rPr>
      </w:pPr>
    </w:p>
    <w:p>
      <w:pPr>
        <w:ind w:left="200" w:right="20" w:hanging="207"/>
        <w:spacing w:after="0" w:line="245" w:lineRule="auto"/>
        <w:rPr>
          <w:sz w:val="20"/>
          <w:szCs w:val="20"/>
          <w:color w:val="auto"/>
        </w:rPr>
      </w:pPr>
      <w:r>
        <w:rPr>
          <w:rFonts w:ascii="Arial" w:cs="Arial" w:eastAsia="Arial" w:hAnsi="Arial"/>
          <w:sz w:val="16"/>
          <w:szCs w:val="16"/>
          <w:color w:val="auto"/>
        </w:rPr>
        <w:t>C. Audit Committee members may not accept any consulting, advisory or other compensatory fee from TI, other than in their capacity as members of the board or any board committee. Compensatory fees do not include the receipt of fixed amounts of compensation under a retirement plan (including deferred compensation) for prior service with TI (provided that such compensation is not contingent in any way on continued service).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964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D. The following relationships will not be considered material relationships with the company for the purpose of determining director independence:</w:t>
      </w:r>
    </w:p>
    <w:p>
      <w:pPr>
        <w:spacing w:after="0" w:line="257" w:lineRule="exact"/>
        <w:rPr>
          <w:sz w:val="20"/>
          <w:szCs w:val="20"/>
          <w:color w:val="auto"/>
        </w:rPr>
      </w:pPr>
    </w:p>
    <w:p>
      <w:pPr>
        <w:ind w:left="620" w:right="820" w:hanging="377"/>
        <w:spacing w:after="0" w:line="283" w:lineRule="auto"/>
        <w:tabs>
          <w:tab w:leader="none" w:pos="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A director is an employee, director or trustee of a charitable organization and TI or the TI Foundation makes discretionary contributions to that organization that are less than the greater of $50,000 or 2 percent of the organization’s latest publicly available consolidated gross revenue.</w:t>
      </w:r>
    </w:p>
    <w:p>
      <w:pPr>
        <w:spacing w:after="0" w:line="181" w:lineRule="exact"/>
        <w:rPr>
          <w:rFonts w:ascii="Arial" w:cs="Arial" w:eastAsia="Arial" w:hAnsi="Arial"/>
          <w:sz w:val="15"/>
          <w:szCs w:val="15"/>
          <w:color w:val="auto"/>
        </w:rPr>
      </w:pPr>
    </w:p>
    <w:p>
      <w:pPr>
        <w:ind w:left="620" w:right="120" w:hanging="377"/>
        <w:spacing w:after="0" w:line="283" w:lineRule="auto"/>
        <w:tabs>
          <w:tab w:leader="none" w:pos="620" w:val="left"/>
        </w:tabs>
        <w:numPr>
          <w:ilvl w:val="0"/>
          <w:numId w:val="5"/>
        </w:numPr>
        <w:rPr>
          <w:rFonts w:ascii="Arial" w:cs="Arial" w:eastAsia="Arial" w:hAnsi="Arial"/>
          <w:sz w:val="15"/>
          <w:szCs w:val="15"/>
          <w:color w:val="auto"/>
        </w:rPr>
      </w:pPr>
      <w:r>
        <w:rPr>
          <w:rFonts w:ascii="Arial" w:cs="Arial" w:eastAsia="Arial" w:hAnsi="Arial"/>
          <w:sz w:val="15"/>
          <w:szCs w:val="15"/>
          <w:color w:val="auto"/>
        </w:rPr>
        <w:t>A director is an employee, director or trustee of another entity that is indebted to TI or to which TI is indebted, and the total amount of either company’s indebtedness to the other is less than 2 percent of the total consolidated assets of the entity he or she serves as an executive officer, director or trustee.</w:t>
      </w:r>
    </w:p>
    <w:p>
      <w:pPr>
        <w:spacing w:after="0" w:line="377"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For any other relationship, the determination of whether the relationship is material, and consequently whether the director involved is independent, will be made by directors who satisfy the independence criteria set forth in this section.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these independence determinations, “immediate family member” will have the same meaning as under the NYSE rules.</w:t>
      </w:r>
    </w:p>
    <w:p>
      <w:pPr>
        <w:spacing w:after="0" w:line="196"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Applying these standards, the board has determined that the following directors have no material relationship with the company other than as a director and are, therefore, independent: Mr. Adams, Mr. Boren, Mr. Carp, Ms. Cox, Mr. Goode, Ms. Patsley, Mr. Sanders, Ms. Simmons and Ms. Whitman. In its deliberations, the board considered Mr. Adams’s employment by the company in the role of independent chairman of the board from 1996 to 1998, and noted that the board’s independence standards specifically permit employment of an independent director as interim chairman with no effect on that director’s status (please see B.1. above). The board also considered a charitable contribution the company made to an organization for which Ms. Patsley and Mr. Sanders serve as national trustees. The amount of the contribution was well within the “safe harbor” for charitable contributions contained in the independence standards (please see D.1. above). Gerald W. Fronterhouse, who served as a director of the company before reaching the age of 70 and becoming ineligible to stand for reelection in April 2007, also had been determined by the board to be independent.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964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Directors’ Ages, Service and Stock Ownership</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directors’ ages and beneficial ownership of common stock of the company and the year each became a director.</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rPr>
              <w:t>Common Stock</w:t>
            </w:r>
          </w:p>
        </w:tc>
      </w:tr>
      <w:tr>
        <w:trPr>
          <w:trHeight w:val="221"/>
        </w:trPr>
        <w:tc>
          <w:tcPr>
            <w:tcW w:w="7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2"/>
                <w:szCs w:val="12"/>
                <w:b w:val="1"/>
                <w:bCs w:val="1"/>
                <w:color w:val="auto"/>
              </w:rPr>
              <w:t>Director</w:t>
            </w:r>
          </w:p>
        </w:tc>
        <w:tc>
          <w:tcPr>
            <w:tcW w:w="24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rPr>
              <w:t>Ownership at</w:t>
            </w:r>
          </w:p>
        </w:tc>
      </w:tr>
      <w:tr>
        <w:trPr>
          <w:trHeight w:val="227"/>
        </w:trPr>
        <w:tc>
          <w:tcPr>
            <w:tcW w:w="7320" w:type="dxa"/>
            <w:vAlign w:val="bottom"/>
            <w:tcBorders>
              <w:bottom w:val="single" w:sz="8" w:color="auto"/>
            </w:tcBorders>
          </w:tcPr>
          <w:p>
            <w:pPr>
              <w:ind w:left="3420"/>
              <w:spacing w:after="0"/>
              <w:rPr>
                <w:sz w:val="20"/>
                <w:szCs w:val="20"/>
                <w:color w:val="auto"/>
              </w:rPr>
            </w:pPr>
            <w:r>
              <w:rPr>
                <w:rFonts w:ascii="Arial" w:cs="Arial" w:eastAsia="Arial" w:hAnsi="Arial"/>
                <w:sz w:val="12"/>
                <w:szCs w:val="12"/>
                <w:b w:val="1"/>
                <w:bCs w:val="1"/>
                <w:color w:val="auto"/>
              </w:rPr>
              <w:t>Director</w:t>
            </w:r>
          </w:p>
        </w:tc>
        <w:tc>
          <w:tcPr>
            <w:tcW w:w="240" w:type="dxa"/>
            <w:vAlign w:val="bottom"/>
          </w:tcPr>
          <w:p>
            <w:pPr>
              <w:spacing w:after="0"/>
              <w:rPr>
                <w:sz w:val="19"/>
                <w:szCs w:val="19"/>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Age</w:t>
            </w:r>
          </w:p>
        </w:tc>
        <w:tc>
          <w:tcPr>
            <w:tcW w:w="240" w:type="dxa"/>
            <w:vAlign w:val="bottom"/>
          </w:tcPr>
          <w:p>
            <w:pPr>
              <w:spacing w:after="0"/>
              <w:rPr>
                <w:sz w:val="19"/>
                <w:szCs w:val="19"/>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Since</w:t>
            </w:r>
          </w:p>
        </w:tc>
        <w:tc>
          <w:tcPr>
            <w:tcW w:w="24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December 31, 2007*</w:t>
            </w:r>
          </w:p>
        </w:tc>
      </w:tr>
      <w:tr>
        <w:trPr>
          <w:trHeight w:val="219"/>
        </w:trPr>
        <w:tc>
          <w:tcPr>
            <w:tcW w:w="7320" w:type="dxa"/>
            <w:vAlign w:val="bottom"/>
            <w:shd w:val="clear" w:color="auto" w:fill="C0C0C0"/>
          </w:tcPr>
          <w:p>
            <w:pPr>
              <w:spacing w:after="0"/>
              <w:rPr>
                <w:sz w:val="20"/>
                <w:szCs w:val="20"/>
                <w:color w:val="auto"/>
              </w:rPr>
            </w:pPr>
            <w:r>
              <w:rPr>
                <w:rFonts w:ascii="Arial" w:cs="Arial" w:eastAsia="Arial" w:hAnsi="Arial"/>
                <w:sz w:val="12"/>
                <w:szCs w:val="12"/>
                <w:color w:val="auto"/>
              </w:rPr>
              <w:t>J. R. Adams</w:t>
            </w:r>
          </w:p>
        </w:tc>
        <w:tc>
          <w:tcPr>
            <w:tcW w:w="660" w:type="dxa"/>
            <w:vAlign w:val="bottom"/>
            <w:gridSpan w:val="2"/>
            <w:shd w:val="clear" w:color="auto" w:fill="C0C0C0"/>
          </w:tcPr>
          <w:p>
            <w:pPr>
              <w:jc w:val="center"/>
              <w:ind w:left="179"/>
              <w:spacing w:after="0"/>
              <w:rPr>
                <w:sz w:val="20"/>
                <w:szCs w:val="20"/>
                <w:color w:val="auto"/>
              </w:rPr>
            </w:pPr>
            <w:r>
              <w:rPr>
                <w:rFonts w:ascii="Arial" w:cs="Arial" w:eastAsia="Arial" w:hAnsi="Arial"/>
                <w:sz w:val="12"/>
                <w:szCs w:val="12"/>
                <w:color w:val="auto"/>
              </w:rPr>
              <w:t>68</w:t>
            </w:r>
          </w:p>
        </w:tc>
        <w:tc>
          <w:tcPr>
            <w:tcW w:w="820" w:type="dxa"/>
            <w:vAlign w:val="bottom"/>
            <w:gridSpan w:val="2"/>
            <w:shd w:val="clear" w:color="auto" w:fill="C0C0C0"/>
          </w:tcPr>
          <w:p>
            <w:pPr>
              <w:jc w:val="center"/>
              <w:ind w:left="159"/>
              <w:spacing w:after="0"/>
              <w:rPr>
                <w:sz w:val="20"/>
                <w:szCs w:val="20"/>
                <w:color w:val="auto"/>
              </w:rPr>
            </w:pPr>
            <w:r>
              <w:rPr>
                <w:rFonts w:ascii="Arial" w:cs="Arial" w:eastAsia="Arial" w:hAnsi="Arial"/>
                <w:sz w:val="12"/>
                <w:szCs w:val="12"/>
                <w:color w:val="auto"/>
              </w:rPr>
              <w:t>1989</w:t>
            </w:r>
          </w:p>
        </w:tc>
        <w:tc>
          <w:tcPr>
            <w:tcW w:w="1480" w:type="dxa"/>
            <w:vAlign w:val="bottom"/>
            <w:gridSpan w:val="2"/>
            <w:shd w:val="clear" w:color="auto" w:fill="C0C0C0"/>
          </w:tcPr>
          <w:p>
            <w:pPr>
              <w:jc w:val="right"/>
              <w:ind w:right="259"/>
              <w:spacing w:after="0"/>
              <w:rPr>
                <w:sz w:val="20"/>
                <w:szCs w:val="20"/>
                <w:color w:val="auto"/>
              </w:rPr>
            </w:pPr>
            <w:r>
              <w:rPr>
                <w:rFonts w:ascii="Arial" w:cs="Arial" w:eastAsia="Arial" w:hAnsi="Arial"/>
                <w:sz w:val="12"/>
                <w:szCs w:val="12"/>
                <w:color w:val="auto"/>
              </w:rPr>
              <w:t>436,112</w:t>
            </w:r>
          </w:p>
        </w:tc>
      </w:tr>
      <w:tr>
        <w:trPr>
          <w:trHeight w:val="221"/>
        </w:trPr>
        <w:tc>
          <w:tcPr>
            <w:tcW w:w="7320" w:type="dxa"/>
            <w:vAlign w:val="bottom"/>
          </w:tcPr>
          <w:p>
            <w:pPr>
              <w:spacing w:after="0"/>
              <w:rPr>
                <w:sz w:val="20"/>
                <w:szCs w:val="20"/>
                <w:color w:val="auto"/>
              </w:rPr>
            </w:pPr>
            <w:r>
              <w:rPr>
                <w:rFonts w:ascii="Arial" w:cs="Arial" w:eastAsia="Arial" w:hAnsi="Arial"/>
                <w:sz w:val="12"/>
                <w:szCs w:val="12"/>
                <w:color w:val="auto"/>
              </w:rPr>
              <w:t>D. L. Boren</w:t>
            </w:r>
          </w:p>
        </w:tc>
        <w:tc>
          <w:tcPr>
            <w:tcW w:w="660" w:type="dxa"/>
            <w:vAlign w:val="bottom"/>
            <w:gridSpan w:val="2"/>
          </w:tcPr>
          <w:p>
            <w:pPr>
              <w:jc w:val="center"/>
              <w:ind w:left="179"/>
              <w:spacing w:after="0"/>
              <w:rPr>
                <w:sz w:val="20"/>
                <w:szCs w:val="20"/>
                <w:color w:val="auto"/>
              </w:rPr>
            </w:pPr>
            <w:r>
              <w:rPr>
                <w:rFonts w:ascii="Arial" w:cs="Arial" w:eastAsia="Arial" w:hAnsi="Arial"/>
                <w:sz w:val="12"/>
                <w:szCs w:val="12"/>
                <w:color w:val="auto"/>
              </w:rPr>
              <w:t>66</w:t>
            </w:r>
          </w:p>
        </w:tc>
        <w:tc>
          <w:tcPr>
            <w:tcW w:w="820" w:type="dxa"/>
            <w:vAlign w:val="bottom"/>
            <w:gridSpan w:val="2"/>
          </w:tcPr>
          <w:p>
            <w:pPr>
              <w:jc w:val="center"/>
              <w:ind w:left="159"/>
              <w:spacing w:after="0"/>
              <w:rPr>
                <w:sz w:val="20"/>
                <w:szCs w:val="20"/>
                <w:color w:val="auto"/>
              </w:rPr>
            </w:pPr>
            <w:r>
              <w:rPr>
                <w:rFonts w:ascii="Arial" w:cs="Arial" w:eastAsia="Arial" w:hAnsi="Arial"/>
                <w:sz w:val="12"/>
                <w:szCs w:val="12"/>
                <w:color w:val="auto"/>
              </w:rPr>
              <w:t>1995</w:t>
            </w:r>
          </w:p>
        </w:tc>
        <w:tc>
          <w:tcPr>
            <w:tcW w:w="1480" w:type="dxa"/>
            <w:vAlign w:val="bottom"/>
            <w:gridSpan w:val="2"/>
          </w:tcPr>
          <w:p>
            <w:pPr>
              <w:jc w:val="right"/>
              <w:ind w:right="259"/>
              <w:spacing w:after="0"/>
              <w:rPr>
                <w:sz w:val="20"/>
                <w:szCs w:val="20"/>
                <w:color w:val="auto"/>
              </w:rPr>
            </w:pPr>
            <w:r>
              <w:rPr>
                <w:rFonts w:ascii="Arial" w:cs="Arial" w:eastAsia="Arial" w:hAnsi="Arial"/>
                <w:sz w:val="12"/>
                <w:szCs w:val="12"/>
                <w:color w:val="auto"/>
              </w:rPr>
              <w:t>76,611</w:t>
            </w:r>
          </w:p>
        </w:tc>
      </w:tr>
      <w:tr>
        <w:trPr>
          <w:trHeight w:val="221"/>
        </w:trPr>
        <w:tc>
          <w:tcPr>
            <w:tcW w:w="7320" w:type="dxa"/>
            <w:vAlign w:val="bottom"/>
            <w:shd w:val="clear" w:color="auto" w:fill="C0C0C0"/>
          </w:tcPr>
          <w:p>
            <w:pPr>
              <w:spacing w:after="0"/>
              <w:rPr>
                <w:sz w:val="20"/>
                <w:szCs w:val="20"/>
                <w:color w:val="auto"/>
              </w:rPr>
            </w:pPr>
            <w:r>
              <w:rPr>
                <w:rFonts w:ascii="Arial" w:cs="Arial" w:eastAsia="Arial" w:hAnsi="Arial"/>
                <w:sz w:val="12"/>
                <w:szCs w:val="12"/>
                <w:color w:val="auto"/>
              </w:rPr>
              <w:t>D. A. Carp</w:t>
            </w:r>
          </w:p>
        </w:tc>
        <w:tc>
          <w:tcPr>
            <w:tcW w:w="660" w:type="dxa"/>
            <w:vAlign w:val="bottom"/>
            <w:gridSpan w:val="2"/>
            <w:shd w:val="clear" w:color="auto" w:fill="C0C0C0"/>
          </w:tcPr>
          <w:p>
            <w:pPr>
              <w:jc w:val="center"/>
              <w:ind w:left="179"/>
              <w:spacing w:after="0"/>
              <w:rPr>
                <w:sz w:val="20"/>
                <w:szCs w:val="20"/>
                <w:color w:val="auto"/>
              </w:rPr>
            </w:pPr>
            <w:r>
              <w:rPr>
                <w:rFonts w:ascii="Arial" w:cs="Arial" w:eastAsia="Arial" w:hAnsi="Arial"/>
                <w:sz w:val="12"/>
                <w:szCs w:val="12"/>
                <w:color w:val="auto"/>
              </w:rPr>
              <w:t>59</w:t>
            </w:r>
          </w:p>
        </w:tc>
        <w:tc>
          <w:tcPr>
            <w:tcW w:w="820" w:type="dxa"/>
            <w:vAlign w:val="bottom"/>
            <w:gridSpan w:val="2"/>
            <w:shd w:val="clear" w:color="auto" w:fill="C0C0C0"/>
          </w:tcPr>
          <w:p>
            <w:pPr>
              <w:jc w:val="center"/>
              <w:ind w:left="159"/>
              <w:spacing w:after="0"/>
              <w:rPr>
                <w:sz w:val="20"/>
                <w:szCs w:val="20"/>
                <w:color w:val="auto"/>
              </w:rPr>
            </w:pPr>
            <w:r>
              <w:rPr>
                <w:rFonts w:ascii="Arial" w:cs="Arial" w:eastAsia="Arial" w:hAnsi="Arial"/>
                <w:sz w:val="12"/>
                <w:szCs w:val="12"/>
                <w:color w:val="auto"/>
              </w:rPr>
              <w:t>1997</w:t>
            </w:r>
          </w:p>
        </w:tc>
        <w:tc>
          <w:tcPr>
            <w:tcW w:w="1480" w:type="dxa"/>
            <w:vAlign w:val="bottom"/>
            <w:gridSpan w:val="2"/>
            <w:shd w:val="clear" w:color="auto" w:fill="C0C0C0"/>
          </w:tcPr>
          <w:p>
            <w:pPr>
              <w:jc w:val="right"/>
              <w:ind w:right="259"/>
              <w:spacing w:after="0"/>
              <w:rPr>
                <w:sz w:val="20"/>
                <w:szCs w:val="20"/>
                <w:color w:val="auto"/>
              </w:rPr>
            </w:pPr>
            <w:r>
              <w:rPr>
                <w:rFonts w:ascii="Arial" w:cs="Arial" w:eastAsia="Arial" w:hAnsi="Arial"/>
                <w:sz w:val="12"/>
                <w:szCs w:val="12"/>
                <w:color w:val="auto"/>
              </w:rPr>
              <w:t>131,936</w:t>
            </w:r>
          </w:p>
        </w:tc>
      </w:tr>
      <w:tr>
        <w:trPr>
          <w:trHeight w:val="135"/>
        </w:trPr>
        <w:tc>
          <w:tcPr>
            <w:tcW w:w="7320" w:type="dxa"/>
            <w:vAlign w:val="bottom"/>
          </w:tcPr>
          <w:p>
            <w:pPr>
              <w:spacing w:after="0" w:line="135" w:lineRule="exact"/>
              <w:rPr>
                <w:sz w:val="20"/>
                <w:szCs w:val="20"/>
                <w:color w:val="auto"/>
              </w:rPr>
            </w:pPr>
            <w:r>
              <w:rPr>
                <w:rFonts w:ascii="Arial" w:cs="Arial" w:eastAsia="Arial" w:hAnsi="Arial"/>
                <w:sz w:val="12"/>
                <w:szCs w:val="12"/>
                <w:color w:val="auto"/>
              </w:rPr>
              <w:t>C. S. Cox</w:t>
            </w:r>
          </w:p>
        </w:tc>
        <w:tc>
          <w:tcPr>
            <w:tcW w:w="660" w:type="dxa"/>
            <w:vAlign w:val="bottom"/>
            <w:gridSpan w:val="2"/>
          </w:tcPr>
          <w:p>
            <w:pPr>
              <w:jc w:val="center"/>
              <w:ind w:left="179"/>
              <w:spacing w:after="0" w:line="135" w:lineRule="exact"/>
              <w:rPr>
                <w:sz w:val="20"/>
                <w:szCs w:val="20"/>
                <w:color w:val="auto"/>
              </w:rPr>
            </w:pPr>
            <w:r>
              <w:rPr>
                <w:rFonts w:ascii="Arial" w:cs="Arial" w:eastAsia="Arial" w:hAnsi="Arial"/>
                <w:sz w:val="12"/>
                <w:szCs w:val="12"/>
                <w:color w:val="auto"/>
              </w:rPr>
              <w:t>50</w:t>
            </w:r>
          </w:p>
        </w:tc>
        <w:tc>
          <w:tcPr>
            <w:tcW w:w="820" w:type="dxa"/>
            <w:vAlign w:val="bottom"/>
            <w:gridSpan w:val="2"/>
          </w:tcPr>
          <w:p>
            <w:pPr>
              <w:jc w:val="center"/>
              <w:ind w:left="159"/>
              <w:spacing w:after="0" w:line="135" w:lineRule="exact"/>
              <w:rPr>
                <w:sz w:val="20"/>
                <w:szCs w:val="20"/>
                <w:color w:val="auto"/>
              </w:rPr>
            </w:pPr>
            <w:r>
              <w:rPr>
                <w:rFonts w:ascii="Arial" w:cs="Arial" w:eastAsia="Arial" w:hAnsi="Arial"/>
                <w:sz w:val="12"/>
                <w:szCs w:val="12"/>
                <w:color w:val="auto"/>
              </w:rPr>
              <w:t>2004</w:t>
            </w:r>
          </w:p>
        </w:tc>
        <w:tc>
          <w:tcPr>
            <w:tcW w:w="1480" w:type="dxa"/>
            <w:vAlign w:val="bottom"/>
            <w:gridSpan w:val="2"/>
          </w:tcPr>
          <w:p>
            <w:pPr>
              <w:jc w:val="right"/>
              <w:ind w:right="259"/>
              <w:spacing w:after="0" w:line="135" w:lineRule="exact"/>
              <w:rPr>
                <w:sz w:val="20"/>
                <w:szCs w:val="20"/>
                <w:color w:val="auto"/>
              </w:rPr>
            </w:pPr>
            <w:r>
              <w:rPr>
                <w:rFonts w:ascii="Arial" w:cs="Arial" w:eastAsia="Arial" w:hAnsi="Arial"/>
                <w:sz w:val="12"/>
                <w:szCs w:val="12"/>
                <w:color w:val="auto"/>
              </w:rPr>
              <w:t>26,465</w:t>
            </w:r>
          </w:p>
        </w:tc>
      </w:tr>
      <w:tr>
        <w:trPr>
          <w:trHeight w:val="135"/>
        </w:trPr>
        <w:tc>
          <w:tcPr>
            <w:tcW w:w="7320" w:type="dxa"/>
            <w:vAlign w:val="bottom"/>
            <w:shd w:val="clear" w:color="auto" w:fill="C0C0C0"/>
          </w:tcPr>
          <w:p>
            <w:pPr>
              <w:spacing w:after="0" w:line="135" w:lineRule="exact"/>
              <w:rPr>
                <w:sz w:val="20"/>
                <w:szCs w:val="20"/>
                <w:color w:val="auto"/>
              </w:rPr>
            </w:pPr>
            <w:r>
              <w:rPr>
                <w:rFonts w:ascii="Arial" w:cs="Arial" w:eastAsia="Arial" w:hAnsi="Arial"/>
                <w:sz w:val="12"/>
                <w:szCs w:val="12"/>
                <w:color w:val="auto"/>
              </w:rPr>
              <w:t>T. J. Engibous</w:t>
            </w:r>
          </w:p>
        </w:tc>
        <w:tc>
          <w:tcPr>
            <w:tcW w:w="660" w:type="dxa"/>
            <w:vAlign w:val="bottom"/>
            <w:gridSpan w:val="2"/>
            <w:shd w:val="clear" w:color="auto" w:fill="C0C0C0"/>
          </w:tcPr>
          <w:p>
            <w:pPr>
              <w:jc w:val="center"/>
              <w:ind w:left="179"/>
              <w:spacing w:after="0" w:line="135" w:lineRule="exact"/>
              <w:rPr>
                <w:sz w:val="20"/>
                <w:szCs w:val="20"/>
                <w:color w:val="auto"/>
              </w:rPr>
            </w:pPr>
            <w:r>
              <w:rPr>
                <w:rFonts w:ascii="Arial" w:cs="Arial" w:eastAsia="Arial" w:hAnsi="Arial"/>
                <w:sz w:val="12"/>
                <w:szCs w:val="12"/>
                <w:color w:val="auto"/>
              </w:rPr>
              <w:t>55</w:t>
            </w:r>
          </w:p>
        </w:tc>
        <w:tc>
          <w:tcPr>
            <w:tcW w:w="820" w:type="dxa"/>
            <w:vAlign w:val="bottom"/>
            <w:gridSpan w:val="2"/>
            <w:shd w:val="clear" w:color="auto" w:fill="C0C0C0"/>
          </w:tcPr>
          <w:p>
            <w:pPr>
              <w:jc w:val="center"/>
              <w:ind w:left="159"/>
              <w:spacing w:after="0" w:line="135" w:lineRule="exact"/>
              <w:rPr>
                <w:sz w:val="20"/>
                <w:szCs w:val="20"/>
                <w:color w:val="auto"/>
              </w:rPr>
            </w:pPr>
            <w:r>
              <w:rPr>
                <w:rFonts w:ascii="Arial" w:cs="Arial" w:eastAsia="Arial" w:hAnsi="Arial"/>
                <w:sz w:val="12"/>
                <w:szCs w:val="12"/>
                <w:color w:val="auto"/>
              </w:rPr>
              <w:t>1996</w:t>
            </w:r>
          </w:p>
        </w:tc>
        <w:tc>
          <w:tcPr>
            <w:tcW w:w="1480" w:type="dxa"/>
            <w:vAlign w:val="bottom"/>
            <w:gridSpan w:val="2"/>
            <w:shd w:val="clear" w:color="auto" w:fill="C0C0C0"/>
          </w:tcPr>
          <w:p>
            <w:pPr>
              <w:jc w:val="right"/>
              <w:ind w:right="259"/>
              <w:spacing w:after="0" w:line="135" w:lineRule="exact"/>
              <w:rPr>
                <w:sz w:val="20"/>
                <w:szCs w:val="20"/>
                <w:color w:val="auto"/>
              </w:rPr>
            </w:pPr>
            <w:r>
              <w:rPr>
                <w:rFonts w:ascii="Arial" w:cs="Arial" w:eastAsia="Arial" w:hAnsi="Arial"/>
                <w:sz w:val="12"/>
                <w:szCs w:val="12"/>
                <w:color w:val="auto"/>
              </w:rPr>
              <w:t>5,681,496</w:t>
            </w:r>
          </w:p>
        </w:tc>
      </w:tr>
      <w:tr>
        <w:trPr>
          <w:trHeight w:val="135"/>
        </w:trPr>
        <w:tc>
          <w:tcPr>
            <w:tcW w:w="7320" w:type="dxa"/>
            <w:vAlign w:val="bottom"/>
          </w:tcPr>
          <w:p>
            <w:pPr>
              <w:spacing w:after="0" w:line="135" w:lineRule="exact"/>
              <w:rPr>
                <w:sz w:val="20"/>
                <w:szCs w:val="20"/>
                <w:color w:val="auto"/>
              </w:rPr>
            </w:pPr>
            <w:r>
              <w:rPr>
                <w:rFonts w:ascii="Arial" w:cs="Arial" w:eastAsia="Arial" w:hAnsi="Arial"/>
                <w:sz w:val="12"/>
                <w:szCs w:val="12"/>
                <w:color w:val="auto"/>
              </w:rPr>
              <w:t>D. R. Goode</w:t>
            </w:r>
          </w:p>
        </w:tc>
        <w:tc>
          <w:tcPr>
            <w:tcW w:w="660" w:type="dxa"/>
            <w:vAlign w:val="bottom"/>
            <w:gridSpan w:val="2"/>
          </w:tcPr>
          <w:p>
            <w:pPr>
              <w:jc w:val="center"/>
              <w:ind w:left="179"/>
              <w:spacing w:after="0" w:line="135" w:lineRule="exact"/>
              <w:rPr>
                <w:sz w:val="20"/>
                <w:szCs w:val="20"/>
                <w:color w:val="auto"/>
              </w:rPr>
            </w:pPr>
            <w:r>
              <w:rPr>
                <w:rFonts w:ascii="Arial" w:cs="Arial" w:eastAsia="Arial" w:hAnsi="Arial"/>
                <w:sz w:val="12"/>
                <w:szCs w:val="12"/>
                <w:color w:val="auto"/>
              </w:rPr>
              <w:t>67</w:t>
            </w:r>
          </w:p>
        </w:tc>
        <w:tc>
          <w:tcPr>
            <w:tcW w:w="820" w:type="dxa"/>
            <w:vAlign w:val="bottom"/>
            <w:gridSpan w:val="2"/>
          </w:tcPr>
          <w:p>
            <w:pPr>
              <w:jc w:val="center"/>
              <w:ind w:left="159"/>
              <w:spacing w:after="0" w:line="135" w:lineRule="exact"/>
              <w:rPr>
                <w:sz w:val="20"/>
                <w:szCs w:val="20"/>
                <w:color w:val="auto"/>
              </w:rPr>
            </w:pPr>
            <w:r>
              <w:rPr>
                <w:rFonts w:ascii="Arial" w:cs="Arial" w:eastAsia="Arial" w:hAnsi="Arial"/>
                <w:sz w:val="12"/>
                <w:szCs w:val="12"/>
                <w:color w:val="auto"/>
              </w:rPr>
              <w:t>1996</w:t>
            </w:r>
          </w:p>
        </w:tc>
        <w:tc>
          <w:tcPr>
            <w:tcW w:w="1480" w:type="dxa"/>
            <w:vAlign w:val="bottom"/>
            <w:gridSpan w:val="2"/>
          </w:tcPr>
          <w:p>
            <w:pPr>
              <w:jc w:val="right"/>
              <w:ind w:right="259"/>
              <w:spacing w:after="0" w:line="135" w:lineRule="exact"/>
              <w:rPr>
                <w:sz w:val="20"/>
                <w:szCs w:val="20"/>
                <w:color w:val="auto"/>
              </w:rPr>
            </w:pPr>
            <w:r>
              <w:rPr>
                <w:rFonts w:ascii="Arial" w:cs="Arial" w:eastAsia="Arial" w:hAnsi="Arial"/>
                <w:sz w:val="12"/>
                <w:szCs w:val="12"/>
                <w:color w:val="auto"/>
              </w:rPr>
              <w:t>130,550</w:t>
            </w:r>
          </w:p>
        </w:tc>
      </w:tr>
      <w:tr>
        <w:trPr>
          <w:trHeight w:val="135"/>
        </w:trPr>
        <w:tc>
          <w:tcPr>
            <w:tcW w:w="7320" w:type="dxa"/>
            <w:vAlign w:val="bottom"/>
            <w:shd w:val="clear" w:color="auto" w:fill="C0C0C0"/>
          </w:tcPr>
          <w:p>
            <w:pPr>
              <w:spacing w:after="0" w:line="135" w:lineRule="exact"/>
              <w:rPr>
                <w:sz w:val="20"/>
                <w:szCs w:val="20"/>
                <w:color w:val="auto"/>
              </w:rPr>
            </w:pPr>
            <w:r>
              <w:rPr>
                <w:rFonts w:ascii="Arial" w:cs="Arial" w:eastAsia="Arial" w:hAnsi="Arial"/>
                <w:sz w:val="12"/>
                <w:szCs w:val="12"/>
                <w:color w:val="auto"/>
              </w:rPr>
              <w:t>P. H. Patsley</w:t>
            </w:r>
          </w:p>
        </w:tc>
        <w:tc>
          <w:tcPr>
            <w:tcW w:w="660" w:type="dxa"/>
            <w:vAlign w:val="bottom"/>
            <w:gridSpan w:val="2"/>
            <w:shd w:val="clear" w:color="auto" w:fill="C0C0C0"/>
          </w:tcPr>
          <w:p>
            <w:pPr>
              <w:jc w:val="center"/>
              <w:ind w:left="179"/>
              <w:spacing w:after="0" w:line="135" w:lineRule="exact"/>
              <w:rPr>
                <w:sz w:val="20"/>
                <w:szCs w:val="20"/>
                <w:color w:val="auto"/>
              </w:rPr>
            </w:pPr>
            <w:r>
              <w:rPr>
                <w:rFonts w:ascii="Arial" w:cs="Arial" w:eastAsia="Arial" w:hAnsi="Arial"/>
                <w:sz w:val="12"/>
                <w:szCs w:val="12"/>
                <w:color w:val="auto"/>
              </w:rPr>
              <w:t>51</w:t>
            </w:r>
          </w:p>
        </w:tc>
        <w:tc>
          <w:tcPr>
            <w:tcW w:w="820" w:type="dxa"/>
            <w:vAlign w:val="bottom"/>
            <w:gridSpan w:val="2"/>
            <w:shd w:val="clear" w:color="auto" w:fill="C0C0C0"/>
          </w:tcPr>
          <w:p>
            <w:pPr>
              <w:jc w:val="center"/>
              <w:ind w:left="159"/>
              <w:spacing w:after="0" w:line="135" w:lineRule="exact"/>
              <w:rPr>
                <w:sz w:val="20"/>
                <w:szCs w:val="20"/>
                <w:color w:val="auto"/>
              </w:rPr>
            </w:pPr>
            <w:r>
              <w:rPr>
                <w:rFonts w:ascii="Arial" w:cs="Arial" w:eastAsia="Arial" w:hAnsi="Arial"/>
                <w:sz w:val="12"/>
                <w:szCs w:val="12"/>
                <w:color w:val="auto"/>
              </w:rPr>
              <w:t>2004</w:t>
            </w:r>
          </w:p>
        </w:tc>
        <w:tc>
          <w:tcPr>
            <w:tcW w:w="1480" w:type="dxa"/>
            <w:vAlign w:val="bottom"/>
            <w:gridSpan w:val="2"/>
            <w:shd w:val="clear" w:color="auto" w:fill="C0C0C0"/>
          </w:tcPr>
          <w:p>
            <w:pPr>
              <w:jc w:val="right"/>
              <w:ind w:right="259"/>
              <w:spacing w:after="0" w:line="135" w:lineRule="exact"/>
              <w:rPr>
                <w:sz w:val="20"/>
                <w:szCs w:val="20"/>
                <w:color w:val="auto"/>
              </w:rPr>
            </w:pPr>
            <w:r>
              <w:rPr>
                <w:rFonts w:ascii="Arial" w:cs="Arial" w:eastAsia="Arial" w:hAnsi="Arial"/>
                <w:sz w:val="12"/>
                <w:szCs w:val="12"/>
                <w:color w:val="auto"/>
              </w:rPr>
              <w:t>33,110</w:t>
            </w:r>
          </w:p>
        </w:tc>
      </w:tr>
      <w:tr>
        <w:trPr>
          <w:trHeight w:val="135"/>
        </w:trPr>
        <w:tc>
          <w:tcPr>
            <w:tcW w:w="7320" w:type="dxa"/>
            <w:vAlign w:val="bottom"/>
          </w:tcPr>
          <w:p>
            <w:pPr>
              <w:spacing w:after="0" w:line="135" w:lineRule="exact"/>
              <w:rPr>
                <w:sz w:val="20"/>
                <w:szCs w:val="20"/>
                <w:color w:val="auto"/>
              </w:rPr>
            </w:pPr>
            <w:r>
              <w:rPr>
                <w:rFonts w:ascii="Arial" w:cs="Arial" w:eastAsia="Arial" w:hAnsi="Arial"/>
                <w:sz w:val="12"/>
                <w:szCs w:val="12"/>
                <w:color w:val="auto"/>
              </w:rPr>
              <w:t>W. R. Sanders</w:t>
            </w:r>
          </w:p>
        </w:tc>
        <w:tc>
          <w:tcPr>
            <w:tcW w:w="660" w:type="dxa"/>
            <w:vAlign w:val="bottom"/>
            <w:gridSpan w:val="2"/>
          </w:tcPr>
          <w:p>
            <w:pPr>
              <w:jc w:val="center"/>
              <w:ind w:left="179"/>
              <w:spacing w:after="0" w:line="135" w:lineRule="exact"/>
              <w:rPr>
                <w:sz w:val="20"/>
                <w:szCs w:val="20"/>
                <w:color w:val="auto"/>
              </w:rPr>
            </w:pPr>
            <w:r>
              <w:rPr>
                <w:rFonts w:ascii="Arial" w:cs="Arial" w:eastAsia="Arial" w:hAnsi="Arial"/>
                <w:sz w:val="12"/>
                <w:szCs w:val="12"/>
                <w:color w:val="auto"/>
              </w:rPr>
              <w:t>60</w:t>
            </w:r>
          </w:p>
        </w:tc>
        <w:tc>
          <w:tcPr>
            <w:tcW w:w="820" w:type="dxa"/>
            <w:vAlign w:val="bottom"/>
            <w:gridSpan w:val="2"/>
          </w:tcPr>
          <w:p>
            <w:pPr>
              <w:jc w:val="center"/>
              <w:ind w:left="159"/>
              <w:spacing w:after="0" w:line="135" w:lineRule="exact"/>
              <w:rPr>
                <w:sz w:val="20"/>
                <w:szCs w:val="20"/>
                <w:color w:val="auto"/>
              </w:rPr>
            </w:pPr>
            <w:r>
              <w:rPr>
                <w:rFonts w:ascii="Arial" w:cs="Arial" w:eastAsia="Arial" w:hAnsi="Arial"/>
                <w:sz w:val="12"/>
                <w:szCs w:val="12"/>
                <w:color w:val="auto"/>
              </w:rPr>
              <w:t>1997</w:t>
            </w:r>
          </w:p>
        </w:tc>
        <w:tc>
          <w:tcPr>
            <w:tcW w:w="1480" w:type="dxa"/>
            <w:vAlign w:val="bottom"/>
            <w:gridSpan w:val="2"/>
          </w:tcPr>
          <w:p>
            <w:pPr>
              <w:jc w:val="right"/>
              <w:ind w:right="259"/>
              <w:spacing w:after="0" w:line="135" w:lineRule="exact"/>
              <w:rPr>
                <w:sz w:val="20"/>
                <w:szCs w:val="20"/>
                <w:color w:val="auto"/>
              </w:rPr>
            </w:pPr>
            <w:r>
              <w:rPr>
                <w:rFonts w:ascii="Arial" w:cs="Arial" w:eastAsia="Arial" w:hAnsi="Arial"/>
                <w:sz w:val="12"/>
                <w:szCs w:val="12"/>
                <w:color w:val="auto"/>
              </w:rPr>
              <w:t>114,515</w:t>
            </w:r>
          </w:p>
        </w:tc>
      </w:tr>
      <w:tr>
        <w:trPr>
          <w:trHeight w:val="135"/>
        </w:trPr>
        <w:tc>
          <w:tcPr>
            <w:tcW w:w="7320" w:type="dxa"/>
            <w:vAlign w:val="bottom"/>
            <w:shd w:val="clear" w:color="auto" w:fill="C0C0C0"/>
          </w:tcPr>
          <w:p>
            <w:pPr>
              <w:spacing w:after="0" w:line="135" w:lineRule="exact"/>
              <w:rPr>
                <w:sz w:val="20"/>
                <w:szCs w:val="20"/>
                <w:color w:val="auto"/>
              </w:rPr>
            </w:pPr>
            <w:r>
              <w:rPr>
                <w:rFonts w:ascii="Arial" w:cs="Arial" w:eastAsia="Arial" w:hAnsi="Arial"/>
                <w:sz w:val="12"/>
                <w:szCs w:val="12"/>
                <w:color w:val="auto"/>
              </w:rPr>
              <w:t>R. J. Simmons</w:t>
            </w:r>
          </w:p>
        </w:tc>
        <w:tc>
          <w:tcPr>
            <w:tcW w:w="660" w:type="dxa"/>
            <w:vAlign w:val="bottom"/>
            <w:gridSpan w:val="2"/>
            <w:shd w:val="clear" w:color="auto" w:fill="C0C0C0"/>
          </w:tcPr>
          <w:p>
            <w:pPr>
              <w:jc w:val="center"/>
              <w:ind w:left="179"/>
              <w:spacing w:after="0" w:line="135" w:lineRule="exact"/>
              <w:rPr>
                <w:sz w:val="20"/>
                <w:szCs w:val="20"/>
                <w:color w:val="auto"/>
              </w:rPr>
            </w:pPr>
            <w:r>
              <w:rPr>
                <w:rFonts w:ascii="Arial" w:cs="Arial" w:eastAsia="Arial" w:hAnsi="Arial"/>
                <w:sz w:val="12"/>
                <w:szCs w:val="12"/>
                <w:color w:val="auto"/>
              </w:rPr>
              <w:t>62</w:t>
            </w:r>
          </w:p>
        </w:tc>
        <w:tc>
          <w:tcPr>
            <w:tcW w:w="820" w:type="dxa"/>
            <w:vAlign w:val="bottom"/>
            <w:gridSpan w:val="2"/>
            <w:shd w:val="clear" w:color="auto" w:fill="C0C0C0"/>
          </w:tcPr>
          <w:p>
            <w:pPr>
              <w:jc w:val="center"/>
              <w:ind w:left="159"/>
              <w:spacing w:after="0" w:line="135" w:lineRule="exact"/>
              <w:rPr>
                <w:sz w:val="20"/>
                <w:szCs w:val="20"/>
                <w:color w:val="auto"/>
              </w:rPr>
            </w:pPr>
            <w:r>
              <w:rPr>
                <w:rFonts w:ascii="Arial" w:cs="Arial" w:eastAsia="Arial" w:hAnsi="Arial"/>
                <w:sz w:val="12"/>
                <w:szCs w:val="12"/>
                <w:color w:val="auto"/>
              </w:rPr>
              <w:t>1999</w:t>
            </w:r>
          </w:p>
        </w:tc>
        <w:tc>
          <w:tcPr>
            <w:tcW w:w="1480" w:type="dxa"/>
            <w:vAlign w:val="bottom"/>
            <w:gridSpan w:val="2"/>
            <w:shd w:val="clear" w:color="auto" w:fill="C0C0C0"/>
          </w:tcPr>
          <w:p>
            <w:pPr>
              <w:jc w:val="right"/>
              <w:ind w:right="259"/>
              <w:spacing w:after="0" w:line="135" w:lineRule="exact"/>
              <w:rPr>
                <w:sz w:val="20"/>
                <w:szCs w:val="20"/>
                <w:color w:val="auto"/>
              </w:rPr>
            </w:pPr>
            <w:r>
              <w:rPr>
                <w:rFonts w:ascii="Arial" w:cs="Arial" w:eastAsia="Arial" w:hAnsi="Arial"/>
                <w:sz w:val="12"/>
                <w:szCs w:val="12"/>
                <w:color w:val="auto"/>
              </w:rPr>
              <w:t>99,651</w:t>
            </w:r>
          </w:p>
        </w:tc>
      </w:tr>
      <w:tr>
        <w:trPr>
          <w:trHeight w:val="221"/>
        </w:trPr>
        <w:tc>
          <w:tcPr>
            <w:tcW w:w="7320" w:type="dxa"/>
            <w:vAlign w:val="bottom"/>
          </w:tcPr>
          <w:p>
            <w:pPr>
              <w:spacing w:after="0"/>
              <w:rPr>
                <w:sz w:val="20"/>
                <w:szCs w:val="20"/>
                <w:color w:val="auto"/>
              </w:rPr>
            </w:pPr>
            <w:r>
              <w:rPr>
                <w:rFonts w:ascii="Arial" w:cs="Arial" w:eastAsia="Arial" w:hAnsi="Arial"/>
                <w:sz w:val="12"/>
                <w:szCs w:val="12"/>
                <w:color w:val="auto"/>
              </w:rPr>
              <w:t>R. K. Templeton</w:t>
            </w:r>
          </w:p>
        </w:tc>
        <w:tc>
          <w:tcPr>
            <w:tcW w:w="660" w:type="dxa"/>
            <w:vAlign w:val="bottom"/>
            <w:gridSpan w:val="2"/>
          </w:tcPr>
          <w:p>
            <w:pPr>
              <w:jc w:val="center"/>
              <w:ind w:left="179"/>
              <w:spacing w:after="0"/>
              <w:rPr>
                <w:sz w:val="20"/>
                <w:szCs w:val="20"/>
                <w:color w:val="auto"/>
              </w:rPr>
            </w:pPr>
            <w:r>
              <w:rPr>
                <w:rFonts w:ascii="Arial" w:cs="Arial" w:eastAsia="Arial" w:hAnsi="Arial"/>
                <w:sz w:val="12"/>
                <w:szCs w:val="12"/>
                <w:color w:val="auto"/>
              </w:rPr>
              <w:t>49</w:t>
            </w:r>
          </w:p>
        </w:tc>
        <w:tc>
          <w:tcPr>
            <w:tcW w:w="820" w:type="dxa"/>
            <w:vAlign w:val="bottom"/>
            <w:gridSpan w:val="2"/>
          </w:tcPr>
          <w:p>
            <w:pPr>
              <w:jc w:val="center"/>
              <w:ind w:left="159"/>
              <w:spacing w:after="0"/>
              <w:rPr>
                <w:sz w:val="20"/>
                <w:szCs w:val="20"/>
                <w:color w:val="auto"/>
              </w:rPr>
            </w:pPr>
            <w:r>
              <w:rPr>
                <w:rFonts w:ascii="Arial" w:cs="Arial" w:eastAsia="Arial" w:hAnsi="Arial"/>
                <w:sz w:val="12"/>
                <w:szCs w:val="12"/>
                <w:color w:val="auto"/>
              </w:rPr>
              <w:t>2003</w:t>
            </w:r>
          </w:p>
        </w:tc>
        <w:tc>
          <w:tcPr>
            <w:tcW w:w="1480" w:type="dxa"/>
            <w:vAlign w:val="bottom"/>
            <w:gridSpan w:val="2"/>
          </w:tcPr>
          <w:p>
            <w:pPr>
              <w:jc w:val="right"/>
              <w:ind w:right="259"/>
              <w:spacing w:after="0"/>
              <w:rPr>
                <w:sz w:val="20"/>
                <w:szCs w:val="20"/>
                <w:color w:val="auto"/>
              </w:rPr>
            </w:pPr>
            <w:r>
              <w:rPr>
                <w:rFonts w:ascii="Arial" w:cs="Arial" w:eastAsia="Arial" w:hAnsi="Arial"/>
                <w:sz w:val="12"/>
                <w:szCs w:val="12"/>
                <w:color w:val="auto"/>
              </w:rPr>
              <w:t>5,110,403</w:t>
            </w:r>
          </w:p>
        </w:tc>
      </w:tr>
      <w:tr>
        <w:trPr>
          <w:trHeight w:val="135"/>
        </w:trPr>
        <w:tc>
          <w:tcPr>
            <w:tcW w:w="7320" w:type="dxa"/>
            <w:vAlign w:val="bottom"/>
            <w:shd w:val="clear" w:color="auto" w:fill="C0C0C0"/>
          </w:tcPr>
          <w:p>
            <w:pPr>
              <w:spacing w:after="0" w:line="135" w:lineRule="exact"/>
              <w:rPr>
                <w:sz w:val="20"/>
                <w:szCs w:val="20"/>
                <w:color w:val="auto"/>
              </w:rPr>
            </w:pPr>
            <w:r>
              <w:rPr>
                <w:rFonts w:ascii="Arial" w:cs="Arial" w:eastAsia="Arial" w:hAnsi="Arial"/>
                <w:sz w:val="12"/>
                <w:szCs w:val="12"/>
                <w:color w:val="auto"/>
              </w:rPr>
              <w:t>C. T. Whitman</w:t>
            </w:r>
          </w:p>
        </w:tc>
        <w:tc>
          <w:tcPr>
            <w:tcW w:w="660" w:type="dxa"/>
            <w:vAlign w:val="bottom"/>
            <w:gridSpan w:val="2"/>
            <w:shd w:val="clear" w:color="auto" w:fill="C0C0C0"/>
          </w:tcPr>
          <w:p>
            <w:pPr>
              <w:jc w:val="center"/>
              <w:ind w:left="179"/>
              <w:spacing w:after="0" w:line="135" w:lineRule="exact"/>
              <w:rPr>
                <w:sz w:val="20"/>
                <w:szCs w:val="20"/>
                <w:color w:val="auto"/>
              </w:rPr>
            </w:pPr>
            <w:r>
              <w:rPr>
                <w:rFonts w:ascii="Arial" w:cs="Arial" w:eastAsia="Arial" w:hAnsi="Arial"/>
                <w:sz w:val="12"/>
                <w:szCs w:val="12"/>
                <w:color w:val="auto"/>
              </w:rPr>
              <w:t>61</w:t>
            </w:r>
          </w:p>
        </w:tc>
        <w:tc>
          <w:tcPr>
            <w:tcW w:w="820" w:type="dxa"/>
            <w:vAlign w:val="bottom"/>
            <w:gridSpan w:val="2"/>
            <w:shd w:val="clear" w:color="auto" w:fill="C0C0C0"/>
          </w:tcPr>
          <w:p>
            <w:pPr>
              <w:jc w:val="center"/>
              <w:ind w:left="159"/>
              <w:spacing w:after="0" w:line="135" w:lineRule="exact"/>
              <w:rPr>
                <w:sz w:val="20"/>
                <w:szCs w:val="20"/>
                <w:color w:val="auto"/>
              </w:rPr>
            </w:pPr>
            <w:r>
              <w:rPr>
                <w:rFonts w:ascii="Arial" w:cs="Arial" w:eastAsia="Arial" w:hAnsi="Arial"/>
                <w:sz w:val="12"/>
                <w:szCs w:val="12"/>
                <w:color w:val="auto"/>
              </w:rPr>
              <w:t>2003</w:t>
            </w:r>
          </w:p>
        </w:tc>
        <w:tc>
          <w:tcPr>
            <w:tcW w:w="1480" w:type="dxa"/>
            <w:vAlign w:val="bottom"/>
            <w:gridSpan w:val="2"/>
            <w:shd w:val="clear" w:color="auto" w:fill="C0C0C0"/>
          </w:tcPr>
          <w:p>
            <w:pPr>
              <w:jc w:val="right"/>
              <w:ind w:right="259"/>
              <w:spacing w:after="0" w:line="135" w:lineRule="exact"/>
              <w:rPr>
                <w:sz w:val="20"/>
                <w:szCs w:val="20"/>
                <w:color w:val="auto"/>
              </w:rPr>
            </w:pPr>
            <w:r>
              <w:rPr>
                <w:rFonts w:ascii="Arial" w:cs="Arial" w:eastAsia="Arial" w:hAnsi="Arial"/>
                <w:sz w:val="12"/>
                <w:szCs w:val="12"/>
                <w:color w:val="auto"/>
              </w:rPr>
              <w:t>41,887</w:t>
            </w:r>
          </w:p>
        </w:tc>
      </w:tr>
    </w:tbl>
    <w:p>
      <w:pPr>
        <w:spacing w:after="0" w:line="397"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 Included in the common stock ownership shown above are:</w:t>
      </w:r>
    </w:p>
    <w:p>
      <w:pPr>
        <w:spacing w:after="0" w:line="240"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Shares Credited</w:t>
            </w: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rPr>
              <w:t>Shares Credited</w:t>
            </w:r>
          </w:p>
        </w:tc>
      </w:tr>
      <w:tr>
        <w:trPr>
          <w:trHeight w:val="196"/>
        </w:trPr>
        <w:tc>
          <w:tcPr>
            <w:tcW w:w="4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w w:val="99"/>
              </w:rPr>
              <w:t>Shares</w:t>
            </w:r>
          </w:p>
        </w:tc>
        <w:tc>
          <w:tcPr>
            <w:tcW w:w="3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To 401(k) and</w:t>
            </w:r>
          </w:p>
        </w:tc>
        <w:tc>
          <w:tcPr>
            <w:tcW w:w="3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rPr>
              <w:t>Restricted</w:t>
            </w:r>
          </w:p>
        </w:tc>
        <w:tc>
          <w:tcPr>
            <w:tcW w:w="24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rPr>
              <w:t>To Deferred</w:t>
            </w:r>
          </w:p>
        </w:tc>
      </w:tr>
      <w:tr>
        <w:trPr>
          <w:trHeight w:val="245"/>
        </w:trPr>
        <w:tc>
          <w:tcPr>
            <w:tcW w:w="4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12"/>
                <w:szCs w:val="12"/>
                <w:b w:val="1"/>
                <w:bCs w:val="1"/>
                <w:color w:val="auto"/>
              </w:rPr>
              <w:t>Obtainable</w:t>
            </w:r>
          </w:p>
        </w:tc>
        <w:tc>
          <w:tcPr>
            <w:tcW w:w="300" w:type="dxa"/>
            <w:vAlign w:val="bottom"/>
          </w:tcPr>
          <w:p>
            <w:pPr>
              <w:spacing w:after="0"/>
              <w:rPr>
                <w:sz w:val="21"/>
                <w:szCs w:val="21"/>
                <w:color w:val="auto"/>
              </w:rPr>
            </w:pPr>
          </w:p>
        </w:tc>
        <w:tc>
          <w:tcPr>
            <w:tcW w:w="1020" w:type="dxa"/>
            <w:vAlign w:val="bottom"/>
          </w:tcPr>
          <w:p>
            <w:pPr>
              <w:jc w:val="center"/>
              <w:spacing w:after="0"/>
              <w:rPr>
                <w:sz w:val="20"/>
                <w:szCs w:val="20"/>
                <w:color w:val="auto"/>
              </w:rPr>
            </w:pPr>
            <w:r>
              <w:rPr>
                <w:rFonts w:ascii="Arial" w:cs="Arial" w:eastAsia="Arial" w:hAnsi="Arial"/>
                <w:sz w:val="12"/>
                <w:szCs w:val="12"/>
                <w:b w:val="1"/>
                <w:bCs w:val="1"/>
                <w:color w:val="auto"/>
              </w:rPr>
              <w:t>Profit Sharing</w:t>
            </w:r>
          </w:p>
        </w:tc>
        <w:tc>
          <w:tcPr>
            <w:tcW w:w="3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2"/>
                <w:szCs w:val="12"/>
                <w:b w:val="1"/>
                <w:bCs w:val="1"/>
                <w:color w:val="auto"/>
                <w:w w:val="99"/>
              </w:rPr>
              <w:t>Stock Units</w:t>
            </w:r>
          </w:p>
        </w:tc>
        <w:tc>
          <w:tcPr>
            <w:tcW w:w="24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rPr>
              <w:t>Compensation</w:t>
            </w:r>
          </w:p>
        </w:tc>
      </w:tr>
      <w:tr>
        <w:trPr>
          <w:trHeight w:val="209"/>
        </w:trPr>
        <w:tc>
          <w:tcPr>
            <w:tcW w:w="4860" w:type="dxa"/>
            <w:vAlign w:val="bottom"/>
            <w:tcBorders>
              <w:bottom w:val="single" w:sz="8" w:color="auto"/>
            </w:tcBorders>
          </w:tcPr>
          <w:p>
            <w:pPr>
              <w:ind w:left="2200"/>
              <w:spacing w:after="0"/>
              <w:rPr>
                <w:sz w:val="20"/>
                <w:szCs w:val="20"/>
                <w:color w:val="auto"/>
              </w:rPr>
            </w:pPr>
            <w:r>
              <w:rPr>
                <w:rFonts w:ascii="Arial" w:cs="Arial" w:eastAsia="Arial" w:hAnsi="Arial"/>
                <w:sz w:val="12"/>
                <w:szCs w:val="12"/>
                <w:b w:val="1"/>
                <w:bCs w:val="1"/>
                <w:color w:val="auto"/>
              </w:rPr>
              <w:t>Director</w:t>
            </w:r>
          </w:p>
        </w:tc>
        <w:tc>
          <w:tcPr>
            <w:tcW w:w="240" w:type="dxa"/>
            <w:vAlign w:val="bottom"/>
          </w:tcPr>
          <w:p>
            <w:pPr>
              <w:spacing w:after="0"/>
              <w:rPr>
                <w:sz w:val="18"/>
                <w:szCs w:val="18"/>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Within 60 Days</w:t>
            </w:r>
          </w:p>
        </w:tc>
        <w:tc>
          <w:tcPr>
            <w:tcW w:w="300" w:type="dxa"/>
            <w:vAlign w:val="bottom"/>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8"/>
              </w:rPr>
              <w:t>Accounts</w:t>
            </w:r>
          </w:p>
        </w:tc>
        <w:tc>
          <w:tcPr>
            <w:tcW w:w="30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(in shares) (1)</w:t>
            </w:r>
          </w:p>
        </w:tc>
        <w:tc>
          <w:tcPr>
            <w:tcW w:w="240" w:type="dxa"/>
            <w:vAlign w:val="bottom"/>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Account (2)</w:t>
            </w:r>
          </w:p>
        </w:tc>
      </w:tr>
      <w:tr>
        <w:trPr>
          <w:trHeight w:val="213"/>
        </w:trPr>
        <w:tc>
          <w:tcPr>
            <w:tcW w:w="4860" w:type="dxa"/>
            <w:vAlign w:val="bottom"/>
            <w:shd w:val="clear" w:color="auto" w:fill="C0C0C0"/>
          </w:tcPr>
          <w:p>
            <w:pPr>
              <w:spacing w:after="0"/>
              <w:rPr>
                <w:sz w:val="20"/>
                <w:szCs w:val="20"/>
                <w:color w:val="auto"/>
              </w:rPr>
            </w:pPr>
            <w:r>
              <w:rPr>
                <w:rFonts w:ascii="Arial" w:cs="Arial" w:eastAsia="Arial" w:hAnsi="Arial"/>
                <w:sz w:val="12"/>
                <w:szCs w:val="12"/>
                <w:color w:val="auto"/>
              </w:rPr>
              <w:t>J. R. Adams</w:t>
            </w:r>
          </w:p>
        </w:tc>
        <w:tc>
          <w:tcPr>
            <w:tcW w:w="1400" w:type="dxa"/>
            <w:vAlign w:val="bottom"/>
            <w:gridSpan w:val="2"/>
            <w:shd w:val="clear" w:color="auto" w:fill="C0C0C0"/>
          </w:tcPr>
          <w:p>
            <w:pPr>
              <w:jc w:val="right"/>
              <w:ind w:right="179"/>
              <w:spacing w:after="0"/>
              <w:rPr>
                <w:sz w:val="20"/>
                <w:szCs w:val="20"/>
                <w:color w:val="auto"/>
              </w:rPr>
            </w:pPr>
            <w:r>
              <w:rPr>
                <w:rFonts w:ascii="Arial" w:cs="Arial" w:eastAsia="Arial" w:hAnsi="Arial"/>
                <w:sz w:val="12"/>
                <w:szCs w:val="12"/>
                <w:color w:val="auto"/>
              </w:rPr>
              <w:t>95,500</w:t>
            </w:r>
          </w:p>
        </w:tc>
        <w:tc>
          <w:tcPr>
            <w:tcW w:w="1320" w:type="dxa"/>
            <w:vAlign w:val="bottom"/>
            <w:gridSpan w:val="2"/>
            <w:shd w:val="clear" w:color="auto" w:fill="C0C0C0"/>
          </w:tcPr>
          <w:p>
            <w:pPr>
              <w:jc w:val="right"/>
              <w:ind w:right="239"/>
              <w:spacing w:after="0"/>
              <w:rPr>
                <w:sz w:val="20"/>
                <w:szCs w:val="20"/>
                <w:color w:val="auto"/>
              </w:rPr>
            </w:pPr>
            <w:r>
              <w:rPr>
                <w:rFonts w:ascii="Arial" w:cs="Arial" w:eastAsia="Arial" w:hAnsi="Arial"/>
                <w:sz w:val="12"/>
                <w:szCs w:val="12"/>
                <w:color w:val="auto"/>
              </w:rPr>
              <w:t>3,482</w:t>
            </w:r>
          </w:p>
        </w:tc>
        <w:tc>
          <w:tcPr>
            <w:tcW w:w="1420" w:type="dxa"/>
            <w:vAlign w:val="bottom"/>
            <w:gridSpan w:val="2"/>
            <w:shd w:val="clear" w:color="auto" w:fill="C0C0C0"/>
          </w:tcPr>
          <w:p>
            <w:pPr>
              <w:jc w:val="right"/>
              <w:ind w:right="179"/>
              <w:spacing w:after="0"/>
              <w:rPr>
                <w:sz w:val="20"/>
                <w:szCs w:val="20"/>
                <w:color w:val="auto"/>
              </w:rPr>
            </w:pPr>
            <w:r>
              <w:rPr>
                <w:rFonts w:ascii="Arial" w:cs="Arial" w:eastAsia="Arial" w:hAnsi="Arial"/>
                <w:sz w:val="12"/>
                <w:szCs w:val="12"/>
                <w:color w:val="auto"/>
              </w:rPr>
              <w:t>21,012</w:t>
            </w:r>
          </w:p>
        </w:tc>
        <w:tc>
          <w:tcPr>
            <w:tcW w:w="1280" w:type="dxa"/>
            <w:vAlign w:val="bottom"/>
            <w:gridSpan w:val="2"/>
            <w:shd w:val="clear" w:color="auto" w:fill="C0C0C0"/>
          </w:tcPr>
          <w:p>
            <w:pPr>
              <w:jc w:val="right"/>
              <w:ind w:right="279"/>
              <w:spacing w:after="0"/>
              <w:rPr>
                <w:sz w:val="20"/>
                <w:szCs w:val="20"/>
                <w:color w:val="auto"/>
              </w:rPr>
            </w:pPr>
            <w:r>
              <w:rPr>
                <w:rFonts w:ascii="Arial" w:cs="Arial" w:eastAsia="Arial" w:hAnsi="Arial"/>
                <w:sz w:val="12"/>
                <w:szCs w:val="12"/>
                <w:color w:val="auto"/>
              </w:rPr>
              <w:t>24,219</w:t>
            </w:r>
          </w:p>
        </w:tc>
      </w:tr>
      <w:tr>
        <w:trPr>
          <w:trHeight w:val="221"/>
        </w:trPr>
        <w:tc>
          <w:tcPr>
            <w:tcW w:w="4860" w:type="dxa"/>
            <w:vAlign w:val="bottom"/>
          </w:tcPr>
          <w:p>
            <w:pPr>
              <w:spacing w:after="0"/>
              <w:rPr>
                <w:sz w:val="20"/>
                <w:szCs w:val="20"/>
                <w:color w:val="auto"/>
              </w:rPr>
            </w:pPr>
            <w:r>
              <w:rPr>
                <w:rFonts w:ascii="Arial" w:cs="Arial" w:eastAsia="Arial" w:hAnsi="Arial"/>
                <w:sz w:val="12"/>
                <w:szCs w:val="12"/>
                <w:color w:val="auto"/>
              </w:rPr>
              <w:t>D. L. Boren</w:t>
            </w:r>
          </w:p>
        </w:tc>
        <w:tc>
          <w:tcPr>
            <w:tcW w:w="1400" w:type="dxa"/>
            <w:vAlign w:val="bottom"/>
            <w:gridSpan w:val="2"/>
          </w:tcPr>
          <w:p>
            <w:pPr>
              <w:jc w:val="right"/>
              <w:ind w:right="179"/>
              <w:spacing w:after="0"/>
              <w:rPr>
                <w:sz w:val="20"/>
                <w:szCs w:val="20"/>
                <w:color w:val="auto"/>
              </w:rPr>
            </w:pPr>
            <w:r>
              <w:rPr>
                <w:rFonts w:ascii="Arial" w:cs="Arial" w:eastAsia="Arial" w:hAnsi="Arial"/>
                <w:sz w:val="12"/>
                <w:szCs w:val="12"/>
                <w:color w:val="auto"/>
              </w:rPr>
              <w:t>48,000</w:t>
            </w:r>
          </w:p>
        </w:tc>
        <w:tc>
          <w:tcPr>
            <w:tcW w:w="1320" w:type="dxa"/>
            <w:vAlign w:val="bottom"/>
            <w:gridSpan w:val="2"/>
          </w:tcPr>
          <w:p>
            <w:pPr>
              <w:jc w:val="right"/>
              <w:ind w:right="239"/>
              <w:spacing w:after="0"/>
              <w:rPr>
                <w:sz w:val="20"/>
                <w:szCs w:val="20"/>
                <w:color w:val="auto"/>
              </w:rPr>
            </w:pPr>
            <w:r>
              <w:rPr>
                <w:rFonts w:ascii="Arial" w:cs="Arial" w:eastAsia="Arial" w:hAnsi="Arial"/>
                <w:sz w:val="12"/>
                <w:szCs w:val="12"/>
                <w:color w:val="auto"/>
              </w:rPr>
              <w:t>0</w:t>
            </w:r>
          </w:p>
        </w:tc>
        <w:tc>
          <w:tcPr>
            <w:tcW w:w="1420" w:type="dxa"/>
            <w:vAlign w:val="bottom"/>
            <w:gridSpan w:val="2"/>
          </w:tcPr>
          <w:p>
            <w:pPr>
              <w:jc w:val="right"/>
              <w:ind w:right="179"/>
              <w:spacing w:after="0"/>
              <w:rPr>
                <w:sz w:val="20"/>
                <w:szCs w:val="20"/>
                <w:color w:val="auto"/>
              </w:rPr>
            </w:pPr>
            <w:r>
              <w:rPr>
                <w:rFonts w:ascii="Arial" w:cs="Arial" w:eastAsia="Arial" w:hAnsi="Arial"/>
                <w:sz w:val="12"/>
                <w:szCs w:val="12"/>
                <w:color w:val="auto"/>
              </w:rPr>
              <w:t>25,380</w:t>
            </w:r>
          </w:p>
        </w:tc>
        <w:tc>
          <w:tcPr>
            <w:tcW w:w="1280" w:type="dxa"/>
            <w:vAlign w:val="bottom"/>
            <w:gridSpan w:val="2"/>
          </w:tcPr>
          <w:p>
            <w:pPr>
              <w:jc w:val="right"/>
              <w:ind w:right="279"/>
              <w:spacing w:after="0"/>
              <w:rPr>
                <w:sz w:val="20"/>
                <w:szCs w:val="20"/>
                <w:color w:val="auto"/>
              </w:rPr>
            </w:pPr>
            <w:r>
              <w:rPr>
                <w:rFonts w:ascii="Arial" w:cs="Arial" w:eastAsia="Arial" w:hAnsi="Arial"/>
                <w:sz w:val="12"/>
                <w:szCs w:val="12"/>
                <w:color w:val="auto"/>
              </w:rPr>
              <w:t>3,231</w:t>
            </w:r>
          </w:p>
        </w:tc>
      </w:tr>
      <w:tr>
        <w:trPr>
          <w:trHeight w:val="221"/>
        </w:trPr>
        <w:tc>
          <w:tcPr>
            <w:tcW w:w="4860" w:type="dxa"/>
            <w:vAlign w:val="bottom"/>
            <w:shd w:val="clear" w:color="auto" w:fill="C0C0C0"/>
          </w:tcPr>
          <w:p>
            <w:pPr>
              <w:spacing w:after="0"/>
              <w:rPr>
                <w:sz w:val="20"/>
                <w:szCs w:val="20"/>
                <w:color w:val="auto"/>
              </w:rPr>
            </w:pPr>
            <w:r>
              <w:rPr>
                <w:rFonts w:ascii="Arial" w:cs="Arial" w:eastAsia="Arial" w:hAnsi="Arial"/>
                <w:sz w:val="12"/>
                <w:szCs w:val="12"/>
                <w:color w:val="auto"/>
              </w:rPr>
              <w:t>D. A. Carp</w:t>
            </w:r>
          </w:p>
        </w:tc>
        <w:tc>
          <w:tcPr>
            <w:tcW w:w="1400" w:type="dxa"/>
            <w:vAlign w:val="bottom"/>
            <w:gridSpan w:val="2"/>
            <w:shd w:val="clear" w:color="auto" w:fill="C0C0C0"/>
          </w:tcPr>
          <w:p>
            <w:pPr>
              <w:jc w:val="right"/>
              <w:ind w:right="179"/>
              <w:spacing w:after="0"/>
              <w:rPr>
                <w:sz w:val="20"/>
                <w:szCs w:val="20"/>
                <w:color w:val="auto"/>
              </w:rPr>
            </w:pPr>
            <w:r>
              <w:rPr>
                <w:rFonts w:ascii="Arial" w:cs="Arial" w:eastAsia="Arial" w:hAnsi="Arial"/>
                <w:sz w:val="12"/>
                <w:szCs w:val="12"/>
                <w:color w:val="auto"/>
              </w:rPr>
              <w:t>95,500</w:t>
            </w:r>
          </w:p>
        </w:tc>
        <w:tc>
          <w:tcPr>
            <w:tcW w:w="1320" w:type="dxa"/>
            <w:vAlign w:val="bottom"/>
            <w:gridSpan w:val="2"/>
            <w:shd w:val="clear" w:color="auto" w:fill="C0C0C0"/>
          </w:tcPr>
          <w:p>
            <w:pPr>
              <w:jc w:val="right"/>
              <w:ind w:right="239"/>
              <w:spacing w:after="0"/>
              <w:rPr>
                <w:sz w:val="20"/>
                <w:szCs w:val="20"/>
                <w:color w:val="auto"/>
              </w:rPr>
            </w:pPr>
            <w:r>
              <w:rPr>
                <w:rFonts w:ascii="Arial" w:cs="Arial" w:eastAsia="Arial" w:hAnsi="Arial"/>
                <w:sz w:val="12"/>
                <w:szCs w:val="12"/>
                <w:color w:val="auto"/>
              </w:rPr>
              <w:t>0</w:t>
            </w:r>
          </w:p>
        </w:tc>
        <w:tc>
          <w:tcPr>
            <w:tcW w:w="1420" w:type="dxa"/>
            <w:vAlign w:val="bottom"/>
            <w:gridSpan w:val="2"/>
            <w:shd w:val="clear" w:color="auto" w:fill="C0C0C0"/>
          </w:tcPr>
          <w:p>
            <w:pPr>
              <w:jc w:val="right"/>
              <w:ind w:right="179"/>
              <w:spacing w:after="0"/>
              <w:rPr>
                <w:sz w:val="20"/>
                <w:szCs w:val="20"/>
                <w:color w:val="auto"/>
              </w:rPr>
            </w:pPr>
            <w:r>
              <w:rPr>
                <w:rFonts w:ascii="Arial" w:cs="Arial" w:eastAsia="Arial" w:hAnsi="Arial"/>
                <w:sz w:val="12"/>
                <w:szCs w:val="12"/>
                <w:color w:val="auto"/>
              </w:rPr>
              <w:t>11,164</w:t>
            </w:r>
          </w:p>
        </w:tc>
        <w:tc>
          <w:tcPr>
            <w:tcW w:w="1280" w:type="dxa"/>
            <w:vAlign w:val="bottom"/>
            <w:gridSpan w:val="2"/>
            <w:shd w:val="clear" w:color="auto" w:fill="C0C0C0"/>
          </w:tcPr>
          <w:p>
            <w:pPr>
              <w:jc w:val="right"/>
              <w:ind w:right="279"/>
              <w:spacing w:after="0"/>
              <w:rPr>
                <w:sz w:val="20"/>
                <w:szCs w:val="20"/>
                <w:color w:val="auto"/>
              </w:rPr>
            </w:pPr>
            <w:r>
              <w:rPr>
                <w:rFonts w:ascii="Arial" w:cs="Arial" w:eastAsia="Arial" w:hAnsi="Arial"/>
                <w:sz w:val="12"/>
                <w:szCs w:val="12"/>
                <w:color w:val="auto"/>
              </w:rPr>
              <w:t>25,272</w:t>
            </w:r>
          </w:p>
        </w:tc>
      </w:tr>
      <w:tr>
        <w:trPr>
          <w:trHeight w:val="221"/>
        </w:trPr>
        <w:tc>
          <w:tcPr>
            <w:tcW w:w="4860" w:type="dxa"/>
            <w:vAlign w:val="bottom"/>
          </w:tcPr>
          <w:p>
            <w:pPr>
              <w:spacing w:after="0"/>
              <w:rPr>
                <w:sz w:val="20"/>
                <w:szCs w:val="20"/>
                <w:color w:val="auto"/>
              </w:rPr>
            </w:pPr>
            <w:r>
              <w:rPr>
                <w:rFonts w:ascii="Arial" w:cs="Arial" w:eastAsia="Arial" w:hAnsi="Arial"/>
                <w:sz w:val="12"/>
                <w:szCs w:val="12"/>
                <w:color w:val="auto"/>
              </w:rPr>
              <w:t>C. S. Cox</w:t>
            </w:r>
          </w:p>
        </w:tc>
        <w:tc>
          <w:tcPr>
            <w:tcW w:w="1400" w:type="dxa"/>
            <w:vAlign w:val="bottom"/>
            <w:gridSpan w:val="2"/>
          </w:tcPr>
          <w:p>
            <w:pPr>
              <w:jc w:val="right"/>
              <w:ind w:right="179"/>
              <w:spacing w:after="0"/>
              <w:rPr>
                <w:sz w:val="20"/>
                <w:szCs w:val="20"/>
                <w:color w:val="auto"/>
              </w:rPr>
            </w:pPr>
            <w:r>
              <w:rPr>
                <w:rFonts w:ascii="Arial" w:cs="Arial" w:eastAsia="Arial" w:hAnsi="Arial"/>
                <w:sz w:val="12"/>
                <w:szCs w:val="12"/>
                <w:color w:val="auto"/>
              </w:rPr>
              <w:t>20,500</w:t>
            </w:r>
          </w:p>
        </w:tc>
        <w:tc>
          <w:tcPr>
            <w:tcW w:w="1320" w:type="dxa"/>
            <w:vAlign w:val="bottom"/>
            <w:gridSpan w:val="2"/>
          </w:tcPr>
          <w:p>
            <w:pPr>
              <w:jc w:val="right"/>
              <w:ind w:right="239"/>
              <w:spacing w:after="0"/>
              <w:rPr>
                <w:sz w:val="20"/>
                <w:szCs w:val="20"/>
                <w:color w:val="auto"/>
              </w:rPr>
            </w:pPr>
            <w:r>
              <w:rPr>
                <w:rFonts w:ascii="Arial" w:cs="Arial" w:eastAsia="Arial" w:hAnsi="Arial"/>
                <w:sz w:val="12"/>
                <w:szCs w:val="12"/>
                <w:color w:val="auto"/>
              </w:rPr>
              <w:t>0</w:t>
            </w:r>
          </w:p>
        </w:tc>
        <w:tc>
          <w:tcPr>
            <w:tcW w:w="1420" w:type="dxa"/>
            <w:vAlign w:val="bottom"/>
            <w:gridSpan w:val="2"/>
          </w:tcPr>
          <w:p>
            <w:pPr>
              <w:jc w:val="right"/>
              <w:ind w:right="179"/>
              <w:spacing w:after="0"/>
              <w:rPr>
                <w:sz w:val="20"/>
                <w:szCs w:val="20"/>
                <w:color w:val="auto"/>
              </w:rPr>
            </w:pPr>
            <w:r>
              <w:rPr>
                <w:rFonts w:ascii="Arial" w:cs="Arial" w:eastAsia="Arial" w:hAnsi="Arial"/>
                <w:sz w:val="12"/>
                <w:szCs w:val="12"/>
                <w:color w:val="auto"/>
              </w:rPr>
              <w:t>4,500</w:t>
            </w:r>
          </w:p>
        </w:tc>
        <w:tc>
          <w:tcPr>
            <w:tcW w:w="1280" w:type="dxa"/>
            <w:vAlign w:val="bottom"/>
            <w:gridSpan w:val="2"/>
          </w:tcPr>
          <w:p>
            <w:pPr>
              <w:jc w:val="right"/>
              <w:ind w:right="279"/>
              <w:spacing w:after="0"/>
              <w:rPr>
                <w:sz w:val="20"/>
                <w:szCs w:val="20"/>
                <w:color w:val="auto"/>
              </w:rPr>
            </w:pPr>
            <w:r>
              <w:rPr>
                <w:rFonts w:ascii="Arial" w:cs="Arial" w:eastAsia="Arial" w:hAnsi="Arial"/>
                <w:sz w:val="12"/>
                <w:szCs w:val="12"/>
                <w:color w:val="auto"/>
              </w:rPr>
              <w:t>0</w:t>
            </w:r>
          </w:p>
        </w:tc>
      </w:tr>
      <w:tr>
        <w:trPr>
          <w:trHeight w:val="221"/>
        </w:trPr>
        <w:tc>
          <w:tcPr>
            <w:tcW w:w="4860" w:type="dxa"/>
            <w:vAlign w:val="bottom"/>
            <w:shd w:val="clear" w:color="auto" w:fill="C0C0C0"/>
          </w:tcPr>
          <w:p>
            <w:pPr>
              <w:spacing w:after="0"/>
              <w:rPr>
                <w:sz w:val="20"/>
                <w:szCs w:val="20"/>
                <w:color w:val="auto"/>
              </w:rPr>
            </w:pPr>
            <w:r>
              <w:rPr>
                <w:rFonts w:ascii="Arial" w:cs="Arial" w:eastAsia="Arial" w:hAnsi="Arial"/>
                <w:sz w:val="12"/>
                <w:szCs w:val="12"/>
                <w:color w:val="auto"/>
              </w:rPr>
              <w:t>T. J. Engibous</w:t>
            </w:r>
          </w:p>
        </w:tc>
        <w:tc>
          <w:tcPr>
            <w:tcW w:w="1400" w:type="dxa"/>
            <w:vAlign w:val="bottom"/>
            <w:gridSpan w:val="2"/>
            <w:shd w:val="clear" w:color="auto" w:fill="C0C0C0"/>
          </w:tcPr>
          <w:p>
            <w:pPr>
              <w:jc w:val="right"/>
              <w:ind w:right="179"/>
              <w:spacing w:after="0"/>
              <w:rPr>
                <w:sz w:val="20"/>
                <w:szCs w:val="20"/>
                <w:color w:val="auto"/>
              </w:rPr>
            </w:pPr>
            <w:r>
              <w:rPr>
                <w:rFonts w:ascii="Arial" w:cs="Arial" w:eastAsia="Arial" w:hAnsi="Arial"/>
                <w:sz w:val="12"/>
                <w:szCs w:val="12"/>
                <w:color w:val="auto"/>
              </w:rPr>
              <w:t>5,559,697</w:t>
            </w:r>
          </w:p>
        </w:tc>
        <w:tc>
          <w:tcPr>
            <w:tcW w:w="1320" w:type="dxa"/>
            <w:vAlign w:val="bottom"/>
            <w:gridSpan w:val="2"/>
            <w:shd w:val="clear" w:color="auto" w:fill="C0C0C0"/>
          </w:tcPr>
          <w:p>
            <w:pPr>
              <w:jc w:val="right"/>
              <w:ind w:right="239"/>
              <w:spacing w:after="0"/>
              <w:rPr>
                <w:sz w:val="20"/>
                <w:szCs w:val="20"/>
                <w:color w:val="auto"/>
              </w:rPr>
            </w:pPr>
            <w:r>
              <w:rPr>
                <w:rFonts w:ascii="Arial" w:cs="Arial" w:eastAsia="Arial" w:hAnsi="Arial"/>
                <w:sz w:val="12"/>
                <w:szCs w:val="12"/>
                <w:color w:val="auto"/>
              </w:rPr>
              <w:t>18,296</w:t>
            </w:r>
          </w:p>
        </w:tc>
        <w:tc>
          <w:tcPr>
            <w:tcW w:w="1420" w:type="dxa"/>
            <w:vAlign w:val="bottom"/>
            <w:gridSpan w:val="2"/>
            <w:shd w:val="clear" w:color="auto" w:fill="C0C0C0"/>
          </w:tcPr>
          <w:p>
            <w:pPr>
              <w:jc w:val="right"/>
              <w:ind w:right="179"/>
              <w:spacing w:after="0"/>
              <w:rPr>
                <w:sz w:val="20"/>
                <w:szCs w:val="20"/>
                <w:color w:val="auto"/>
              </w:rPr>
            </w:pPr>
            <w:r>
              <w:rPr>
                <w:rFonts w:ascii="Arial" w:cs="Arial" w:eastAsia="Arial" w:hAnsi="Arial"/>
                <w:sz w:val="12"/>
                <w:szCs w:val="12"/>
                <w:color w:val="auto"/>
              </w:rPr>
              <w:t>0</w:t>
            </w:r>
          </w:p>
        </w:tc>
        <w:tc>
          <w:tcPr>
            <w:tcW w:w="1280" w:type="dxa"/>
            <w:vAlign w:val="bottom"/>
            <w:gridSpan w:val="2"/>
            <w:shd w:val="clear" w:color="auto" w:fill="C0C0C0"/>
          </w:tcPr>
          <w:p>
            <w:pPr>
              <w:jc w:val="right"/>
              <w:ind w:right="279"/>
              <w:spacing w:after="0"/>
              <w:rPr>
                <w:sz w:val="20"/>
                <w:szCs w:val="20"/>
                <w:color w:val="auto"/>
              </w:rPr>
            </w:pPr>
            <w:r>
              <w:rPr>
                <w:rFonts w:ascii="Arial" w:cs="Arial" w:eastAsia="Arial" w:hAnsi="Arial"/>
                <w:sz w:val="12"/>
                <w:szCs w:val="12"/>
                <w:color w:val="auto"/>
              </w:rPr>
              <w:t>0</w:t>
            </w:r>
          </w:p>
        </w:tc>
      </w:tr>
      <w:tr>
        <w:trPr>
          <w:trHeight w:val="221"/>
        </w:trPr>
        <w:tc>
          <w:tcPr>
            <w:tcW w:w="4860" w:type="dxa"/>
            <w:vAlign w:val="bottom"/>
          </w:tcPr>
          <w:p>
            <w:pPr>
              <w:spacing w:after="0"/>
              <w:rPr>
                <w:sz w:val="20"/>
                <w:szCs w:val="20"/>
                <w:color w:val="auto"/>
              </w:rPr>
            </w:pPr>
            <w:r>
              <w:rPr>
                <w:rFonts w:ascii="Arial" w:cs="Arial" w:eastAsia="Arial" w:hAnsi="Arial"/>
                <w:sz w:val="12"/>
                <w:szCs w:val="12"/>
                <w:color w:val="auto"/>
              </w:rPr>
              <w:t>D. R. Goode</w:t>
            </w:r>
          </w:p>
        </w:tc>
        <w:tc>
          <w:tcPr>
            <w:tcW w:w="1400" w:type="dxa"/>
            <w:vAlign w:val="bottom"/>
            <w:gridSpan w:val="2"/>
          </w:tcPr>
          <w:p>
            <w:pPr>
              <w:jc w:val="right"/>
              <w:ind w:right="179"/>
              <w:spacing w:after="0"/>
              <w:rPr>
                <w:sz w:val="20"/>
                <w:szCs w:val="20"/>
                <w:color w:val="auto"/>
              </w:rPr>
            </w:pPr>
            <w:r>
              <w:rPr>
                <w:rFonts w:ascii="Arial" w:cs="Arial" w:eastAsia="Arial" w:hAnsi="Arial"/>
                <w:sz w:val="12"/>
                <w:szCs w:val="12"/>
                <w:color w:val="auto"/>
              </w:rPr>
              <w:t>95,500</w:t>
            </w:r>
          </w:p>
        </w:tc>
        <w:tc>
          <w:tcPr>
            <w:tcW w:w="1320" w:type="dxa"/>
            <w:vAlign w:val="bottom"/>
            <w:gridSpan w:val="2"/>
          </w:tcPr>
          <w:p>
            <w:pPr>
              <w:jc w:val="right"/>
              <w:ind w:right="239"/>
              <w:spacing w:after="0"/>
              <w:rPr>
                <w:sz w:val="20"/>
                <w:szCs w:val="20"/>
                <w:color w:val="auto"/>
              </w:rPr>
            </w:pPr>
            <w:r>
              <w:rPr>
                <w:rFonts w:ascii="Arial" w:cs="Arial" w:eastAsia="Arial" w:hAnsi="Arial"/>
                <w:sz w:val="12"/>
                <w:szCs w:val="12"/>
                <w:color w:val="auto"/>
              </w:rPr>
              <w:t>0</w:t>
            </w:r>
          </w:p>
        </w:tc>
        <w:tc>
          <w:tcPr>
            <w:tcW w:w="1420" w:type="dxa"/>
            <w:vAlign w:val="bottom"/>
            <w:gridSpan w:val="2"/>
          </w:tcPr>
          <w:p>
            <w:pPr>
              <w:jc w:val="right"/>
              <w:ind w:right="179"/>
              <w:spacing w:after="0"/>
              <w:rPr>
                <w:sz w:val="20"/>
                <w:szCs w:val="20"/>
                <w:color w:val="auto"/>
              </w:rPr>
            </w:pPr>
            <w:r>
              <w:rPr>
                <w:rFonts w:ascii="Arial" w:cs="Arial" w:eastAsia="Arial" w:hAnsi="Arial"/>
                <w:sz w:val="12"/>
                <w:szCs w:val="12"/>
                <w:color w:val="auto"/>
              </w:rPr>
              <w:t>16,132</w:t>
            </w:r>
          </w:p>
        </w:tc>
        <w:tc>
          <w:tcPr>
            <w:tcW w:w="1280" w:type="dxa"/>
            <w:vAlign w:val="bottom"/>
            <w:gridSpan w:val="2"/>
          </w:tcPr>
          <w:p>
            <w:pPr>
              <w:jc w:val="right"/>
              <w:ind w:right="279"/>
              <w:spacing w:after="0"/>
              <w:rPr>
                <w:sz w:val="20"/>
                <w:szCs w:val="20"/>
                <w:color w:val="auto"/>
              </w:rPr>
            </w:pPr>
            <w:r>
              <w:rPr>
                <w:rFonts w:ascii="Arial" w:cs="Arial" w:eastAsia="Arial" w:hAnsi="Arial"/>
                <w:sz w:val="12"/>
                <w:szCs w:val="12"/>
                <w:color w:val="auto"/>
              </w:rPr>
              <w:t>18,918</w:t>
            </w:r>
          </w:p>
        </w:tc>
      </w:tr>
      <w:tr>
        <w:trPr>
          <w:trHeight w:val="221"/>
        </w:trPr>
        <w:tc>
          <w:tcPr>
            <w:tcW w:w="4860" w:type="dxa"/>
            <w:vAlign w:val="bottom"/>
            <w:shd w:val="clear" w:color="auto" w:fill="C0C0C0"/>
          </w:tcPr>
          <w:p>
            <w:pPr>
              <w:spacing w:after="0"/>
              <w:rPr>
                <w:sz w:val="20"/>
                <w:szCs w:val="20"/>
                <w:color w:val="auto"/>
              </w:rPr>
            </w:pPr>
            <w:r>
              <w:rPr>
                <w:rFonts w:ascii="Arial" w:cs="Arial" w:eastAsia="Arial" w:hAnsi="Arial"/>
                <w:sz w:val="12"/>
                <w:szCs w:val="12"/>
                <w:color w:val="auto"/>
              </w:rPr>
              <w:t>P. H. Patsley</w:t>
            </w:r>
          </w:p>
        </w:tc>
        <w:tc>
          <w:tcPr>
            <w:tcW w:w="1400" w:type="dxa"/>
            <w:vAlign w:val="bottom"/>
            <w:gridSpan w:val="2"/>
            <w:shd w:val="clear" w:color="auto" w:fill="C0C0C0"/>
          </w:tcPr>
          <w:p>
            <w:pPr>
              <w:jc w:val="right"/>
              <w:ind w:right="179"/>
              <w:spacing w:after="0"/>
              <w:rPr>
                <w:sz w:val="20"/>
                <w:szCs w:val="20"/>
                <w:color w:val="auto"/>
              </w:rPr>
            </w:pPr>
            <w:r>
              <w:rPr>
                <w:rFonts w:ascii="Arial" w:cs="Arial" w:eastAsia="Arial" w:hAnsi="Arial"/>
                <w:sz w:val="12"/>
                <w:szCs w:val="12"/>
                <w:color w:val="auto"/>
              </w:rPr>
              <w:t>20,500</w:t>
            </w:r>
          </w:p>
        </w:tc>
        <w:tc>
          <w:tcPr>
            <w:tcW w:w="1320" w:type="dxa"/>
            <w:vAlign w:val="bottom"/>
            <w:gridSpan w:val="2"/>
            <w:shd w:val="clear" w:color="auto" w:fill="C0C0C0"/>
          </w:tcPr>
          <w:p>
            <w:pPr>
              <w:jc w:val="right"/>
              <w:ind w:right="239"/>
              <w:spacing w:after="0"/>
              <w:rPr>
                <w:sz w:val="20"/>
                <w:szCs w:val="20"/>
                <w:color w:val="auto"/>
              </w:rPr>
            </w:pPr>
            <w:r>
              <w:rPr>
                <w:rFonts w:ascii="Arial" w:cs="Arial" w:eastAsia="Arial" w:hAnsi="Arial"/>
                <w:sz w:val="12"/>
                <w:szCs w:val="12"/>
                <w:color w:val="auto"/>
              </w:rPr>
              <w:t>0</w:t>
            </w:r>
          </w:p>
        </w:tc>
        <w:tc>
          <w:tcPr>
            <w:tcW w:w="1420" w:type="dxa"/>
            <w:vAlign w:val="bottom"/>
            <w:gridSpan w:val="2"/>
            <w:shd w:val="clear" w:color="auto" w:fill="C0C0C0"/>
          </w:tcPr>
          <w:p>
            <w:pPr>
              <w:jc w:val="right"/>
              <w:ind w:right="179"/>
              <w:spacing w:after="0"/>
              <w:rPr>
                <w:sz w:val="20"/>
                <w:szCs w:val="20"/>
                <w:color w:val="auto"/>
              </w:rPr>
            </w:pPr>
            <w:r>
              <w:rPr>
                <w:rFonts w:ascii="Arial" w:cs="Arial" w:eastAsia="Arial" w:hAnsi="Arial"/>
                <w:sz w:val="12"/>
                <w:szCs w:val="12"/>
                <w:color w:val="auto"/>
              </w:rPr>
              <w:t>4,500</w:t>
            </w:r>
          </w:p>
        </w:tc>
        <w:tc>
          <w:tcPr>
            <w:tcW w:w="1280" w:type="dxa"/>
            <w:vAlign w:val="bottom"/>
            <w:gridSpan w:val="2"/>
            <w:shd w:val="clear" w:color="auto" w:fill="C0C0C0"/>
          </w:tcPr>
          <w:p>
            <w:pPr>
              <w:jc w:val="right"/>
              <w:ind w:right="279"/>
              <w:spacing w:after="0"/>
              <w:rPr>
                <w:sz w:val="20"/>
                <w:szCs w:val="20"/>
                <w:color w:val="auto"/>
              </w:rPr>
            </w:pPr>
            <w:r>
              <w:rPr>
                <w:rFonts w:ascii="Arial" w:cs="Arial" w:eastAsia="Arial" w:hAnsi="Arial"/>
                <w:sz w:val="12"/>
                <w:szCs w:val="12"/>
                <w:color w:val="auto"/>
              </w:rPr>
              <w:t>8,110</w:t>
            </w:r>
          </w:p>
        </w:tc>
      </w:tr>
      <w:tr>
        <w:trPr>
          <w:trHeight w:val="221"/>
        </w:trPr>
        <w:tc>
          <w:tcPr>
            <w:tcW w:w="4860" w:type="dxa"/>
            <w:vAlign w:val="bottom"/>
          </w:tcPr>
          <w:p>
            <w:pPr>
              <w:spacing w:after="0"/>
              <w:rPr>
                <w:sz w:val="20"/>
                <w:szCs w:val="20"/>
                <w:color w:val="auto"/>
              </w:rPr>
            </w:pPr>
            <w:r>
              <w:rPr>
                <w:rFonts w:ascii="Arial" w:cs="Arial" w:eastAsia="Arial" w:hAnsi="Arial"/>
                <w:sz w:val="12"/>
                <w:szCs w:val="12"/>
                <w:color w:val="auto"/>
              </w:rPr>
              <w:t>W. R. Sanders</w:t>
            </w:r>
          </w:p>
        </w:tc>
        <w:tc>
          <w:tcPr>
            <w:tcW w:w="1400" w:type="dxa"/>
            <w:vAlign w:val="bottom"/>
            <w:gridSpan w:val="2"/>
          </w:tcPr>
          <w:p>
            <w:pPr>
              <w:jc w:val="right"/>
              <w:ind w:right="179"/>
              <w:spacing w:after="0"/>
              <w:rPr>
                <w:sz w:val="20"/>
                <w:szCs w:val="20"/>
                <w:color w:val="auto"/>
              </w:rPr>
            </w:pPr>
            <w:r>
              <w:rPr>
                <w:rFonts w:ascii="Arial" w:cs="Arial" w:eastAsia="Arial" w:hAnsi="Arial"/>
                <w:sz w:val="12"/>
                <w:szCs w:val="12"/>
                <w:color w:val="auto"/>
              </w:rPr>
              <w:t>95,500</w:t>
            </w:r>
          </w:p>
        </w:tc>
        <w:tc>
          <w:tcPr>
            <w:tcW w:w="1320" w:type="dxa"/>
            <w:vAlign w:val="bottom"/>
            <w:gridSpan w:val="2"/>
          </w:tcPr>
          <w:p>
            <w:pPr>
              <w:jc w:val="right"/>
              <w:ind w:right="239"/>
              <w:spacing w:after="0"/>
              <w:rPr>
                <w:sz w:val="20"/>
                <w:szCs w:val="20"/>
                <w:color w:val="auto"/>
              </w:rPr>
            </w:pPr>
            <w:r>
              <w:rPr>
                <w:rFonts w:ascii="Arial" w:cs="Arial" w:eastAsia="Arial" w:hAnsi="Arial"/>
                <w:sz w:val="12"/>
                <w:szCs w:val="12"/>
                <w:color w:val="auto"/>
              </w:rPr>
              <w:t>0</w:t>
            </w:r>
          </w:p>
        </w:tc>
        <w:tc>
          <w:tcPr>
            <w:tcW w:w="1420" w:type="dxa"/>
            <w:vAlign w:val="bottom"/>
            <w:gridSpan w:val="2"/>
          </w:tcPr>
          <w:p>
            <w:pPr>
              <w:jc w:val="right"/>
              <w:ind w:right="179"/>
              <w:spacing w:after="0"/>
              <w:rPr>
                <w:sz w:val="20"/>
                <w:szCs w:val="20"/>
                <w:color w:val="auto"/>
              </w:rPr>
            </w:pPr>
            <w:r>
              <w:rPr>
                <w:rFonts w:ascii="Arial" w:cs="Arial" w:eastAsia="Arial" w:hAnsi="Arial"/>
                <w:sz w:val="12"/>
                <w:szCs w:val="12"/>
                <w:color w:val="auto"/>
              </w:rPr>
              <w:t>12,100</w:t>
            </w:r>
          </w:p>
        </w:tc>
        <w:tc>
          <w:tcPr>
            <w:tcW w:w="1280" w:type="dxa"/>
            <w:vAlign w:val="bottom"/>
            <w:gridSpan w:val="2"/>
          </w:tcPr>
          <w:p>
            <w:pPr>
              <w:jc w:val="right"/>
              <w:ind w:right="279"/>
              <w:spacing w:after="0"/>
              <w:rPr>
                <w:sz w:val="20"/>
                <w:szCs w:val="20"/>
                <w:color w:val="auto"/>
              </w:rPr>
            </w:pPr>
            <w:r>
              <w:rPr>
                <w:rFonts w:ascii="Arial" w:cs="Arial" w:eastAsia="Arial" w:hAnsi="Arial"/>
                <w:sz w:val="12"/>
                <w:szCs w:val="12"/>
                <w:color w:val="auto"/>
              </w:rPr>
              <w:t>1,315</w:t>
            </w:r>
          </w:p>
        </w:tc>
      </w:tr>
      <w:tr>
        <w:trPr>
          <w:trHeight w:val="221"/>
        </w:trPr>
        <w:tc>
          <w:tcPr>
            <w:tcW w:w="4860" w:type="dxa"/>
            <w:vAlign w:val="bottom"/>
            <w:shd w:val="clear" w:color="auto" w:fill="C0C0C0"/>
          </w:tcPr>
          <w:p>
            <w:pPr>
              <w:spacing w:after="0"/>
              <w:rPr>
                <w:sz w:val="20"/>
                <w:szCs w:val="20"/>
                <w:color w:val="auto"/>
              </w:rPr>
            </w:pPr>
            <w:r>
              <w:rPr>
                <w:rFonts w:ascii="Arial" w:cs="Arial" w:eastAsia="Arial" w:hAnsi="Arial"/>
                <w:sz w:val="12"/>
                <w:szCs w:val="12"/>
                <w:color w:val="auto"/>
              </w:rPr>
              <w:t>R. J. Simmons</w:t>
            </w:r>
          </w:p>
        </w:tc>
        <w:tc>
          <w:tcPr>
            <w:tcW w:w="1400" w:type="dxa"/>
            <w:vAlign w:val="bottom"/>
            <w:gridSpan w:val="2"/>
            <w:shd w:val="clear" w:color="auto" w:fill="C0C0C0"/>
          </w:tcPr>
          <w:p>
            <w:pPr>
              <w:jc w:val="right"/>
              <w:ind w:right="179"/>
              <w:spacing w:after="0"/>
              <w:rPr>
                <w:sz w:val="20"/>
                <w:szCs w:val="20"/>
                <w:color w:val="auto"/>
              </w:rPr>
            </w:pPr>
            <w:r>
              <w:rPr>
                <w:rFonts w:ascii="Arial" w:cs="Arial" w:eastAsia="Arial" w:hAnsi="Arial"/>
                <w:sz w:val="12"/>
                <w:szCs w:val="12"/>
                <w:color w:val="auto"/>
              </w:rPr>
              <w:t>75,500</w:t>
            </w:r>
          </w:p>
        </w:tc>
        <w:tc>
          <w:tcPr>
            <w:tcW w:w="1320" w:type="dxa"/>
            <w:vAlign w:val="bottom"/>
            <w:gridSpan w:val="2"/>
            <w:shd w:val="clear" w:color="auto" w:fill="C0C0C0"/>
          </w:tcPr>
          <w:p>
            <w:pPr>
              <w:jc w:val="right"/>
              <w:ind w:right="239"/>
              <w:spacing w:after="0"/>
              <w:rPr>
                <w:sz w:val="20"/>
                <w:szCs w:val="20"/>
                <w:color w:val="auto"/>
              </w:rPr>
            </w:pPr>
            <w:r>
              <w:rPr>
                <w:rFonts w:ascii="Arial" w:cs="Arial" w:eastAsia="Arial" w:hAnsi="Arial"/>
                <w:sz w:val="12"/>
                <w:szCs w:val="12"/>
                <w:color w:val="auto"/>
              </w:rPr>
              <w:t>0</w:t>
            </w:r>
          </w:p>
        </w:tc>
        <w:tc>
          <w:tcPr>
            <w:tcW w:w="1420" w:type="dxa"/>
            <w:vAlign w:val="bottom"/>
            <w:gridSpan w:val="2"/>
            <w:shd w:val="clear" w:color="auto" w:fill="C0C0C0"/>
          </w:tcPr>
          <w:p>
            <w:pPr>
              <w:jc w:val="right"/>
              <w:ind w:right="179"/>
              <w:spacing w:after="0"/>
              <w:rPr>
                <w:sz w:val="20"/>
                <w:szCs w:val="20"/>
                <w:color w:val="auto"/>
              </w:rPr>
            </w:pPr>
            <w:r>
              <w:rPr>
                <w:rFonts w:ascii="Arial" w:cs="Arial" w:eastAsia="Arial" w:hAnsi="Arial"/>
                <w:sz w:val="12"/>
                <w:szCs w:val="12"/>
                <w:color w:val="auto"/>
              </w:rPr>
              <w:t>10,500</w:t>
            </w:r>
          </w:p>
        </w:tc>
        <w:tc>
          <w:tcPr>
            <w:tcW w:w="1280" w:type="dxa"/>
            <w:vAlign w:val="bottom"/>
            <w:gridSpan w:val="2"/>
            <w:shd w:val="clear" w:color="auto" w:fill="C0C0C0"/>
          </w:tcPr>
          <w:p>
            <w:pPr>
              <w:jc w:val="right"/>
              <w:ind w:right="279"/>
              <w:spacing w:after="0"/>
              <w:rPr>
                <w:sz w:val="20"/>
                <w:szCs w:val="20"/>
                <w:color w:val="auto"/>
              </w:rPr>
            </w:pPr>
            <w:r>
              <w:rPr>
                <w:rFonts w:ascii="Arial" w:cs="Arial" w:eastAsia="Arial" w:hAnsi="Arial"/>
                <w:sz w:val="12"/>
                <w:szCs w:val="12"/>
                <w:color w:val="auto"/>
              </w:rPr>
              <w:t>13,651</w:t>
            </w:r>
          </w:p>
        </w:tc>
      </w:tr>
      <w:tr>
        <w:trPr>
          <w:trHeight w:val="221"/>
        </w:trPr>
        <w:tc>
          <w:tcPr>
            <w:tcW w:w="4860" w:type="dxa"/>
            <w:vAlign w:val="bottom"/>
          </w:tcPr>
          <w:p>
            <w:pPr>
              <w:spacing w:after="0"/>
              <w:rPr>
                <w:sz w:val="20"/>
                <w:szCs w:val="20"/>
                <w:color w:val="auto"/>
              </w:rPr>
            </w:pPr>
            <w:r>
              <w:rPr>
                <w:rFonts w:ascii="Arial" w:cs="Arial" w:eastAsia="Arial" w:hAnsi="Arial"/>
                <w:sz w:val="12"/>
                <w:szCs w:val="12"/>
                <w:color w:val="auto"/>
              </w:rPr>
              <w:t>R. K. Templeton</w:t>
            </w:r>
          </w:p>
        </w:tc>
        <w:tc>
          <w:tcPr>
            <w:tcW w:w="1400" w:type="dxa"/>
            <w:vAlign w:val="bottom"/>
            <w:gridSpan w:val="2"/>
          </w:tcPr>
          <w:p>
            <w:pPr>
              <w:jc w:val="right"/>
              <w:ind w:right="179"/>
              <w:spacing w:after="0"/>
              <w:rPr>
                <w:sz w:val="20"/>
                <w:szCs w:val="20"/>
                <w:color w:val="auto"/>
              </w:rPr>
            </w:pPr>
            <w:r>
              <w:rPr>
                <w:rFonts w:ascii="Arial" w:cs="Arial" w:eastAsia="Arial" w:hAnsi="Arial"/>
                <w:sz w:val="12"/>
                <w:szCs w:val="12"/>
                <w:color w:val="auto"/>
              </w:rPr>
              <w:t>4,477,697</w:t>
            </w:r>
          </w:p>
        </w:tc>
        <w:tc>
          <w:tcPr>
            <w:tcW w:w="1320" w:type="dxa"/>
            <w:vAlign w:val="bottom"/>
            <w:gridSpan w:val="2"/>
          </w:tcPr>
          <w:p>
            <w:pPr>
              <w:jc w:val="right"/>
              <w:ind w:right="239"/>
              <w:spacing w:after="0"/>
              <w:rPr>
                <w:sz w:val="20"/>
                <w:szCs w:val="20"/>
                <w:color w:val="auto"/>
              </w:rPr>
            </w:pPr>
            <w:r>
              <w:rPr>
                <w:rFonts w:ascii="Arial" w:cs="Arial" w:eastAsia="Arial" w:hAnsi="Arial"/>
                <w:sz w:val="12"/>
                <w:szCs w:val="12"/>
                <w:color w:val="auto"/>
              </w:rPr>
              <w:t>11,198</w:t>
            </w:r>
          </w:p>
        </w:tc>
        <w:tc>
          <w:tcPr>
            <w:tcW w:w="1420" w:type="dxa"/>
            <w:vAlign w:val="bottom"/>
            <w:gridSpan w:val="2"/>
          </w:tcPr>
          <w:p>
            <w:pPr>
              <w:jc w:val="right"/>
              <w:ind w:right="179"/>
              <w:spacing w:after="0"/>
              <w:rPr>
                <w:sz w:val="20"/>
                <w:szCs w:val="20"/>
                <w:color w:val="auto"/>
              </w:rPr>
            </w:pPr>
            <w:r>
              <w:rPr>
                <w:rFonts w:ascii="Arial" w:cs="Arial" w:eastAsia="Arial" w:hAnsi="Arial"/>
                <w:sz w:val="12"/>
                <w:szCs w:val="12"/>
                <w:color w:val="auto"/>
              </w:rPr>
              <w:t>620,000</w:t>
            </w:r>
          </w:p>
        </w:tc>
        <w:tc>
          <w:tcPr>
            <w:tcW w:w="1280" w:type="dxa"/>
            <w:vAlign w:val="bottom"/>
            <w:gridSpan w:val="2"/>
          </w:tcPr>
          <w:p>
            <w:pPr>
              <w:jc w:val="right"/>
              <w:ind w:right="279"/>
              <w:spacing w:after="0"/>
              <w:rPr>
                <w:sz w:val="20"/>
                <w:szCs w:val="20"/>
                <w:color w:val="auto"/>
              </w:rPr>
            </w:pPr>
            <w:r>
              <w:rPr>
                <w:rFonts w:ascii="Arial" w:cs="Arial" w:eastAsia="Arial" w:hAnsi="Arial"/>
                <w:sz w:val="12"/>
                <w:szCs w:val="12"/>
                <w:color w:val="auto"/>
              </w:rPr>
              <w:t>0</w:t>
            </w:r>
          </w:p>
        </w:tc>
      </w:tr>
      <w:tr>
        <w:trPr>
          <w:trHeight w:val="147"/>
        </w:trPr>
        <w:tc>
          <w:tcPr>
            <w:tcW w:w="4860" w:type="dxa"/>
            <w:vAlign w:val="bottom"/>
            <w:shd w:val="clear" w:color="auto" w:fill="C0C0C0"/>
          </w:tcPr>
          <w:p>
            <w:pPr>
              <w:spacing w:after="0"/>
              <w:rPr>
                <w:sz w:val="20"/>
                <w:szCs w:val="20"/>
                <w:color w:val="auto"/>
              </w:rPr>
            </w:pPr>
            <w:r>
              <w:rPr>
                <w:rFonts w:ascii="Arial" w:cs="Arial" w:eastAsia="Arial" w:hAnsi="Arial"/>
                <w:sz w:val="12"/>
                <w:szCs w:val="12"/>
                <w:color w:val="auto"/>
              </w:rPr>
              <w:t>C. T. Whitman</w:t>
            </w:r>
          </w:p>
        </w:tc>
        <w:tc>
          <w:tcPr>
            <w:tcW w:w="1400" w:type="dxa"/>
            <w:vAlign w:val="bottom"/>
            <w:gridSpan w:val="2"/>
            <w:shd w:val="clear" w:color="auto" w:fill="C0C0C0"/>
          </w:tcPr>
          <w:p>
            <w:pPr>
              <w:jc w:val="right"/>
              <w:ind w:right="179"/>
              <w:spacing w:after="0"/>
              <w:rPr>
                <w:sz w:val="20"/>
                <w:szCs w:val="20"/>
                <w:color w:val="auto"/>
              </w:rPr>
            </w:pPr>
            <w:r>
              <w:rPr>
                <w:rFonts w:ascii="Arial" w:cs="Arial" w:eastAsia="Arial" w:hAnsi="Arial"/>
                <w:sz w:val="12"/>
                <w:szCs w:val="12"/>
                <w:color w:val="auto"/>
              </w:rPr>
              <w:t>35,500</w:t>
            </w:r>
          </w:p>
        </w:tc>
        <w:tc>
          <w:tcPr>
            <w:tcW w:w="1320" w:type="dxa"/>
            <w:vAlign w:val="bottom"/>
            <w:gridSpan w:val="2"/>
            <w:shd w:val="clear" w:color="auto" w:fill="C0C0C0"/>
          </w:tcPr>
          <w:p>
            <w:pPr>
              <w:jc w:val="right"/>
              <w:ind w:right="239"/>
              <w:spacing w:after="0"/>
              <w:rPr>
                <w:sz w:val="20"/>
                <w:szCs w:val="20"/>
                <w:color w:val="auto"/>
              </w:rPr>
            </w:pPr>
            <w:r>
              <w:rPr>
                <w:rFonts w:ascii="Arial" w:cs="Arial" w:eastAsia="Arial" w:hAnsi="Arial"/>
                <w:sz w:val="12"/>
                <w:szCs w:val="12"/>
                <w:color w:val="auto"/>
              </w:rPr>
              <w:t>0</w:t>
            </w:r>
          </w:p>
        </w:tc>
        <w:tc>
          <w:tcPr>
            <w:tcW w:w="1420" w:type="dxa"/>
            <w:vAlign w:val="bottom"/>
            <w:gridSpan w:val="2"/>
            <w:shd w:val="clear" w:color="auto" w:fill="C0C0C0"/>
          </w:tcPr>
          <w:p>
            <w:pPr>
              <w:jc w:val="right"/>
              <w:ind w:right="179"/>
              <w:spacing w:after="0"/>
              <w:rPr>
                <w:sz w:val="20"/>
                <w:szCs w:val="20"/>
                <w:color w:val="auto"/>
              </w:rPr>
            </w:pPr>
            <w:r>
              <w:rPr>
                <w:rFonts w:ascii="Arial" w:cs="Arial" w:eastAsia="Arial" w:hAnsi="Arial"/>
                <w:sz w:val="12"/>
                <w:szCs w:val="12"/>
                <w:color w:val="auto"/>
              </w:rPr>
              <w:t>4,500</w:t>
            </w:r>
          </w:p>
        </w:tc>
        <w:tc>
          <w:tcPr>
            <w:tcW w:w="1280" w:type="dxa"/>
            <w:vAlign w:val="bottom"/>
            <w:gridSpan w:val="2"/>
            <w:shd w:val="clear" w:color="auto" w:fill="C0C0C0"/>
          </w:tcPr>
          <w:p>
            <w:pPr>
              <w:jc w:val="right"/>
              <w:ind w:right="279"/>
              <w:spacing w:after="0"/>
              <w:rPr>
                <w:sz w:val="20"/>
                <w:szCs w:val="20"/>
                <w:color w:val="auto"/>
              </w:rPr>
            </w:pPr>
            <w:r>
              <w:rPr>
                <w:rFonts w:ascii="Arial" w:cs="Arial" w:eastAsia="Arial" w:hAnsi="Arial"/>
                <w:sz w:val="12"/>
                <w:szCs w:val="12"/>
                <w:color w:val="auto"/>
              </w:rPr>
              <w:t>1,887</w:t>
            </w:r>
          </w:p>
        </w:tc>
      </w:tr>
      <w:tr>
        <w:trPr>
          <w:trHeight w:val="31"/>
        </w:trPr>
        <w:tc>
          <w:tcPr>
            <w:tcW w:w="4860" w:type="dxa"/>
            <w:vAlign w:val="bottom"/>
            <w:shd w:val="clear" w:color="auto" w:fill="C0C0C0"/>
          </w:tcPr>
          <w:p>
            <w:pPr>
              <w:spacing w:after="0"/>
              <w:rPr>
                <w:sz w:val="2"/>
                <w:szCs w:val="2"/>
                <w:color w:val="auto"/>
              </w:rPr>
            </w:pPr>
          </w:p>
        </w:tc>
        <w:tc>
          <w:tcPr>
            <w:tcW w:w="240" w:type="dxa"/>
            <w:vAlign w:val="bottom"/>
            <w:shd w:val="clear" w:color="auto" w:fill="C0C0C0"/>
          </w:tcPr>
          <w:p>
            <w:pPr>
              <w:spacing w:after="0"/>
              <w:rPr>
                <w:sz w:val="2"/>
                <w:szCs w:val="2"/>
                <w:color w:val="auto"/>
              </w:rPr>
            </w:pPr>
          </w:p>
        </w:tc>
        <w:tc>
          <w:tcPr>
            <w:tcW w:w="1160" w:type="dxa"/>
            <w:vAlign w:val="bottom"/>
            <w:shd w:val="clear" w:color="auto" w:fill="C0C0C0"/>
          </w:tcPr>
          <w:p>
            <w:pPr>
              <w:spacing w:after="0"/>
              <w:rPr>
                <w:sz w:val="2"/>
                <w:szCs w:val="2"/>
                <w:color w:val="auto"/>
              </w:rPr>
            </w:pPr>
          </w:p>
        </w:tc>
        <w:tc>
          <w:tcPr>
            <w:tcW w:w="300" w:type="dxa"/>
            <w:vAlign w:val="bottom"/>
            <w:shd w:val="clear" w:color="auto" w:fill="C0C0C0"/>
          </w:tcPr>
          <w:p>
            <w:pPr>
              <w:spacing w:after="0"/>
              <w:rPr>
                <w:sz w:val="2"/>
                <w:szCs w:val="2"/>
                <w:color w:val="auto"/>
              </w:rPr>
            </w:pPr>
          </w:p>
        </w:tc>
        <w:tc>
          <w:tcPr>
            <w:tcW w:w="1020" w:type="dxa"/>
            <w:vAlign w:val="bottom"/>
            <w:shd w:val="clear" w:color="auto" w:fill="C0C0C0"/>
          </w:tcPr>
          <w:p>
            <w:pPr>
              <w:spacing w:after="0"/>
              <w:rPr>
                <w:sz w:val="2"/>
                <w:szCs w:val="2"/>
                <w:color w:val="auto"/>
              </w:rPr>
            </w:pPr>
          </w:p>
        </w:tc>
        <w:tc>
          <w:tcPr>
            <w:tcW w:w="300" w:type="dxa"/>
            <w:vAlign w:val="bottom"/>
            <w:shd w:val="clear" w:color="auto" w:fill="C0C0C0"/>
          </w:tcPr>
          <w:p>
            <w:pPr>
              <w:spacing w:after="0"/>
              <w:rPr>
                <w:sz w:val="2"/>
                <w:szCs w:val="2"/>
                <w:color w:val="auto"/>
              </w:rPr>
            </w:pPr>
          </w:p>
        </w:tc>
        <w:tc>
          <w:tcPr>
            <w:tcW w:w="1120" w:type="dxa"/>
            <w:vAlign w:val="bottom"/>
            <w:shd w:val="clear" w:color="auto" w:fill="C0C0C0"/>
          </w:tcPr>
          <w:p>
            <w:pPr>
              <w:spacing w:after="0"/>
              <w:rPr>
                <w:sz w:val="2"/>
                <w:szCs w:val="2"/>
                <w:color w:val="auto"/>
              </w:rPr>
            </w:pPr>
          </w:p>
        </w:tc>
        <w:tc>
          <w:tcPr>
            <w:tcW w:w="240" w:type="dxa"/>
            <w:vAlign w:val="bottom"/>
            <w:shd w:val="clear" w:color="auto" w:fill="C0C0C0"/>
          </w:tcPr>
          <w:p>
            <w:pPr>
              <w:spacing w:after="0"/>
              <w:rPr>
                <w:sz w:val="2"/>
                <w:szCs w:val="2"/>
                <w:color w:val="auto"/>
              </w:rPr>
            </w:pPr>
          </w:p>
        </w:tc>
        <w:tc>
          <w:tcPr>
            <w:tcW w:w="1040" w:type="dxa"/>
            <w:vAlign w:val="bottom"/>
            <w:shd w:val="clear" w:color="auto" w:fill="C0C0C0"/>
          </w:tcPr>
          <w:p>
            <w:pPr>
              <w:spacing w:after="0"/>
              <w:rPr>
                <w:sz w:val="2"/>
                <w:szCs w:val="2"/>
                <w:color w:val="auto"/>
              </w:rPr>
            </w:pPr>
          </w:p>
        </w:tc>
      </w:tr>
    </w:tbl>
    <w:p>
      <w:pPr>
        <w:sectPr>
          <w:pgSz w:w="11900" w:h="16900" w:orient="portrait"/>
          <w:cols w:equalWidth="0" w:num="1">
            <w:col w:w="11400"/>
          </w:cols>
          <w:pgMar w:left="240" w:top="142" w:right="259" w:bottom="0" w:gutter="0" w:footer="0" w:header="0"/>
        </w:sectPr>
      </w:pPr>
    </w:p>
    <w:bookmarkStart w:id="6" w:name="page7"/>
    <w:bookmarkEnd w:id="6"/>
    <w:p>
      <w:pPr>
        <w:ind w:left="2"/>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516890</wp:posOffset>
            </wp:positionH>
            <wp:positionV relativeFrom="page">
              <wp:posOffset>88900</wp:posOffset>
            </wp:positionV>
            <wp:extent cx="6527800" cy="140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27800" cy="140335"/>
                    </a:xfrm>
                    <a:prstGeom prst="rect">
                      <a:avLst/>
                    </a:prstGeom>
                    <a:noFill/>
                  </pic:spPr>
                </pic:pic>
              </a:graphicData>
            </a:graphic>
          </wp:anchor>
        </w:drawing>
        <w:t>____________________</w:t>
      </w:r>
    </w:p>
    <w:p>
      <w:pPr>
        <w:spacing w:after="0" w:line="233" w:lineRule="exact"/>
        <w:rPr>
          <w:sz w:val="20"/>
          <w:szCs w:val="20"/>
          <w:color w:val="auto"/>
        </w:rPr>
      </w:pPr>
    </w:p>
    <w:p>
      <w:pPr>
        <w:ind w:left="442" w:right="80" w:hanging="442"/>
        <w:spacing w:after="0" w:line="245" w:lineRule="auto"/>
        <w:tabs>
          <w:tab w:leader="none" w:pos="442"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non-employee directors’ restricted stock units granted before 2007 are settled in TI stock generally upon the director’s termination of service provided he or she has served at least eight years or has reached the company’s retirement age for directors. Restricted stock units granted after 2006 are settled in TI stock generally upon the fourth anniversary of the grant date.</w:t>
      </w:r>
    </w:p>
    <w:p>
      <w:pPr>
        <w:spacing w:after="0" w:line="208" w:lineRule="exact"/>
        <w:rPr>
          <w:rFonts w:ascii="Arial" w:cs="Arial" w:eastAsia="Arial" w:hAnsi="Arial"/>
          <w:sz w:val="16"/>
          <w:szCs w:val="16"/>
          <w:color w:val="auto"/>
        </w:rPr>
      </w:pPr>
    </w:p>
    <w:p>
      <w:pPr>
        <w:ind w:left="442" w:hanging="442"/>
        <w:spacing w:after="0"/>
        <w:tabs>
          <w:tab w:leader="none" w:pos="442"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shares in deferred compensation accounts are issued following the director’s termination of service.</w:t>
      </w:r>
    </w:p>
    <w:p>
      <w:pPr>
        <w:spacing w:after="0" w:line="200" w:lineRule="exact"/>
        <w:rPr>
          <w:sz w:val="20"/>
          <w:szCs w:val="20"/>
          <w:color w:val="auto"/>
        </w:rPr>
      </w:pPr>
    </w:p>
    <w:p>
      <w:pPr>
        <w:spacing w:after="0" w:line="216" w:lineRule="exact"/>
        <w:rPr>
          <w:sz w:val="20"/>
          <w:szCs w:val="20"/>
          <w:color w:val="auto"/>
        </w:rPr>
      </w:pPr>
    </w:p>
    <w:p>
      <w:pPr>
        <w:ind w:left="2" w:right="380"/>
        <w:spacing w:after="0" w:line="250" w:lineRule="auto"/>
        <w:rPr>
          <w:sz w:val="20"/>
          <w:szCs w:val="20"/>
          <w:color w:val="auto"/>
        </w:rPr>
      </w:pPr>
      <w:r>
        <w:rPr>
          <w:rFonts w:ascii="Arial" w:cs="Arial" w:eastAsia="Arial" w:hAnsi="Arial"/>
          <w:sz w:val="16"/>
          <w:szCs w:val="16"/>
          <w:color w:val="auto"/>
        </w:rPr>
        <w:t>Excludes shares held by a family member if a director has disclaimed beneficial ownership. Each director owns less than 1 percent of TI’s common stock. No director has pledged shares of TI common stock.</w:t>
      </w:r>
    </w:p>
    <w:p>
      <w:pPr>
        <w:spacing w:after="0" w:line="18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76"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color w:val="auto"/>
        </w:rPr>
        <w:t>CORPORATE GOVERNANCE</w:t>
      </w:r>
    </w:p>
    <w:p>
      <w:pPr>
        <w:spacing w:after="0" w:line="216" w:lineRule="exact"/>
        <w:rPr>
          <w:sz w:val="20"/>
          <w:szCs w:val="20"/>
          <w:color w:val="auto"/>
        </w:rPr>
      </w:pPr>
    </w:p>
    <w:p>
      <w:pPr>
        <w:ind w:left="2" w:right="60"/>
        <w:spacing w:after="0" w:line="250" w:lineRule="auto"/>
        <w:rPr>
          <w:sz w:val="20"/>
          <w:szCs w:val="20"/>
          <w:color w:val="auto"/>
        </w:rPr>
      </w:pPr>
      <w:r>
        <w:rPr>
          <w:rFonts w:ascii="Arial" w:cs="Arial" w:eastAsia="Arial" w:hAnsi="Arial"/>
          <w:sz w:val="16"/>
          <w:szCs w:val="16"/>
          <w:color w:val="auto"/>
        </w:rPr>
        <w:t>The board has a long-standing commitment to responsible and effective corporate governance. A full description of our board’s corporate governance practices is available at www.ti.com/corporategovernance.</w:t>
      </w:r>
    </w:p>
    <w:p>
      <w:pPr>
        <w:spacing w:after="0" w:line="180" w:lineRule="exact"/>
        <w:rPr>
          <w:sz w:val="20"/>
          <w:szCs w:val="20"/>
          <w:color w:val="auto"/>
        </w:rPr>
      </w:pPr>
    </w:p>
    <w:p>
      <w:pPr>
        <w:ind w:left="2" w:right="160"/>
        <w:spacing w:after="0" w:line="241" w:lineRule="auto"/>
        <w:rPr>
          <w:sz w:val="20"/>
          <w:szCs w:val="20"/>
          <w:color w:val="auto"/>
        </w:rPr>
      </w:pPr>
      <w:r>
        <w:rPr>
          <w:rFonts w:ascii="Arial" w:cs="Arial" w:eastAsia="Arial" w:hAnsi="Arial"/>
          <w:sz w:val="16"/>
          <w:szCs w:val="16"/>
          <w:color w:val="auto"/>
        </w:rPr>
        <w:t>TI’s board of directors first adopted written governance guidelines and committee charters in 1973. Its policies and practices have evolved over time, adapting to meet the needs of TI and our stockholders, although some practices, such as maintaining a majority of independent directors, are of long standing. Our board’s commitment to governance is evidenced by the time members devote to TI matters. Historically the board has met at least eight times a year. TI directors have also long participated in strategic planning conferences in addition to the regular board meetings. Directors interact directly with managers other than the chief executive officer at board meetings and the strategic planning conferences. This practice facilitates the directors’ oversight efforts and also gives directors opportunities to evaluate those managers, aiding directors in succession planning considerations. The board and each of its committees conduct evaluations annually; changes to processes such as agenda setting, and expanded presentations to the board on certain topics, are examples of improvements that have resulted from those evaluations.</w:t>
      </w:r>
    </w:p>
    <w:p>
      <w:pPr>
        <w:spacing w:after="0" w:line="188" w:lineRule="exact"/>
        <w:rPr>
          <w:sz w:val="20"/>
          <w:szCs w:val="20"/>
          <w:color w:val="auto"/>
        </w:rPr>
      </w:pPr>
    </w:p>
    <w:p>
      <w:pPr>
        <w:ind w:left="2" w:right="60"/>
        <w:spacing w:after="0" w:line="245" w:lineRule="auto"/>
        <w:rPr>
          <w:sz w:val="20"/>
          <w:szCs w:val="20"/>
          <w:color w:val="auto"/>
        </w:rPr>
      </w:pPr>
      <w:r>
        <w:rPr>
          <w:rFonts w:ascii="Arial" w:cs="Arial" w:eastAsia="Arial" w:hAnsi="Arial"/>
          <w:sz w:val="16"/>
          <w:szCs w:val="16"/>
          <w:color w:val="auto"/>
        </w:rPr>
        <w:t>The Governance and Stockholder Relations Committee typically considers and makes recommendations to our board on governance matters. Membership of the committee is determined by our board and the committee consists entirely of independent directors. On page 13 of this proxy statement is a summary of the committee’s responsibilities.</w:t>
      </w:r>
    </w:p>
    <w:p>
      <w:pPr>
        <w:spacing w:after="0" w:line="184" w:lineRule="exact"/>
        <w:rPr>
          <w:sz w:val="20"/>
          <w:szCs w:val="20"/>
          <w:color w:val="auto"/>
        </w:rPr>
      </w:pPr>
    </w:p>
    <w:p>
      <w:pPr>
        <w:ind w:left="2"/>
        <w:spacing w:after="0"/>
        <w:rPr>
          <w:sz w:val="20"/>
          <w:szCs w:val="20"/>
          <w:color w:val="auto"/>
        </w:rPr>
      </w:pPr>
      <w:r>
        <w:rPr>
          <w:rFonts w:ascii="Arial" w:cs="Arial" w:eastAsia="Arial" w:hAnsi="Arial"/>
          <w:sz w:val="16"/>
          <w:szCs w:val="16"/>
          <w:color w:val="auto"/>
        </w:rPr>
        <w:t>Our board regularly undertakes an assessment of its governance practices. Following are examples of significant governance practices at TI:</w:t>
      </w:r>
    </w:p>
    <w:p>
      <w:pPr>
        <w:spacing w:after="0" w:line="220" w:lineRule="exact"/>
        <w:rPr>
          <w:sz w:val="20"/>
          <w:szCs w:val="20"/>
          <w:color w:val="auto"/>
        </w:rPr>
      </w:pPr>
    </w:p>
    <w:p>
      <w:pPr>
        <w:ind w:left="682" w:right="60"/>
        <w:spacing w:after="0" w:line="289" w:lineRule="auto"/>
        <w:rPr>
          <w:sz w:val="20"/>
          <w:szCs w:val="20"/>
          <w:color w:val="auto"/>
        </w:rPr>
      </w:pPr>
      <w:r>
        <w:rPr>
          <w:rFonts w:ascii="Arial" w:cs="Arial" w:eastAsia="Arial" w:hAnsi="Arial"/>
          <w:sz w:val="16"/>
          <w:szCs w:val="16"/>
          <w:u w:val="single" w:color="auto"/>
          <w:color w:val="auto"/>
        </w:rPr>
        <w:t>Majority voting</w:t>
      </w:r>
      <w:r>
        <w:rPr>
          <w:rFonts w:ascii="Arial" w:cs="Arial" w:eastAsia="Arial" w:hAnsi="Arial"/>
          <w:sz w:val="16"/>
          <w:szCs w:val="16"/>
          <w:color w:val="auto"/>
        </w:rPr>
        <w:t>. Under TI’s by-laws, a director nominee must receive an affirmative vote from a majority of the shares present at the company’s annual meeting of stockholders in order to be elected. The board believes this majority vote standard appropriately gives stockholders a greater voice in the election of directors than does plurality voting. Under Delaware law, an incumbent director who fails to receive the required vote “holds over,” or continues to serve as a director, until his or her successor is elected and qualified. In order to address this “holdover” issue, board policy requires an incumbent nominee who fails to receive the required vote to tender a resignation. Following receipt of such a resignation, the board is required to act on it within 90 days of the certification of the vote. In considering whether to accept or reject the resignation, the board will consider all factors it deems relevant, including the underlying reason for the vote result, the director’s contributions to the company during his or her tenure, and the director’s qualifications. The board may accept or reject the resignation. Only independent directors will participate in the deliberations regarding a tendered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-1241425</wp:posOffset>
            </wp:positionV>
            <wp:extent cx="64135" cy="641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92" w:lineRule="exact"/>
        <w:rPr>
          <w:sz w:val="20"/>
          <w:szCs w:val="20"/>
          <w:color w:val="auto"/>
        </w:rPr>
      </w:pPr>
    </w:p>
    <w:p>
      <w:pPr>
        <w:ind w:left="682" w:right="160"/>
        <w:spacing w:after="0" w:line="290" w:lineRule="auto"/>
        <w:rPr>
          <w:sz w:val="20"/>
          <w:szCs w:val="20"/>
          <w:color w:val="auto"/>
        </w:rPr>
      </w:pPr>
      <w:r>
        <w:rPr>
          <w:rFonts w:ascii="Arial" w:cs="Arial" w:eastAsia="Arial" w:hAnsi="Arial"/>
          <w:sz w:val="16"/>
          <w:szCs w:val="16"/>
          <w:u w:val="single" w:color="auto"/>
          <w:color w:val="auto"/>
        </w:rPr>
        <w:t>The roles of chairman and chief executive officer</w:t>
      </w:r>
      <w:r>
        <w:rPr>
          <w:rFonts w:ascii="Arial" w:cs="Arial" w:eastAsia="Arial" w:hAnsi="Arial"/>
          <w:sz w:val="16"/>
          <w:szCs w:val="16"/>
          <w:color w:val="auto"/>
        </w:rPr>
        <w:t>. The board has no fixed policy on whether the roles of chairman and chief executive officer should be separated or held by the same person. Instead, the board prefers to maintain the flexibility to determine the leadership structure that serves the company best at any given time. As a result, the board has at times separated the roles of chief executive officer and chairman, and at times it has preferred that the chief executive officer simultaneously serve as chairman. Factors that can influence the board’s determination include the chief executive officer’s tenure in that position and his level of experience with the board and its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-680720</wp:posOffset>
            </wp:positionV>
            <wp:extent cx="64135" cy="641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92" w:lineRule="exact"/>
        <w:rPr>
          <w:sz w:val="20"/>
          <w:szCs w:val="20"/>
          <w:color w:val="auto"/>
        </w:rPr>
      </w:pPr>
    </w:p>
    <w:p>
      <w:pPr>
        <w:jc w:val="both"/>
        <w:ind w:left="682" w:right="160"/>
        <w:spacing w:after="0" w:line="293" w:lineRule="auto"/>
        <w:rPr>
          <w:sz w:val="20"/>
          <w:szCs w:val="20"/>
          <w:color w:val="auto"/>
        </w:rPr>
      </w:pPr>
      <w:r>
        <w:rPr>
          <w:rFonts w:ascii="Arial" w:cs="Arial" w:eastAsia="Arial" w:hAnsi="Arial"/>
          <w:sz w:val="16"/>
          <w:szCs w:val="16"/>
          <w:u w:val="single" w:color="auto"/>
          <w:color w:val="auto"/>
        </w:rPr>
        <w:t>Retirement age and term limits</w:t>
      </w:r>
      <w:r>
        <w:rPr>
          <w:rFonts w:ascii="Arial" w:cs="Arial" w:eastAsia="Arial" w:hAnsi="Arial"/>
          <w:sz w:val="16"/>
          <w:szCs w:val="16"/>
          <w:color w:val="auto"/>
        </w:rPr>
        <w:t>. Our board maintains a retirement age of 70 for directors. The board has considered whether to institute term limits but concluded that term limits can result in the loss of directors who have developed, over a period of time, an in-depth understanding of the company and its strategic objectives, operations and challenges and, therefore, provide a valuable contribution to the board as a whole.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-402590</wp:posOffset>
            </wp:positionV>
            <wp:extent cx="64135" cy="641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88" w:lineRule="exact"/>
        <w:rPr>
          <w:sz w:val="20"/>
          <w:szCs w:val="20"/>
          <w:color w:val="auto"/>
        </w:rPr>
      </w:pPr>
    </w:p>
    <w:p>
      <w:pPr>
        <w:ind w:left="682" w:right="20"/>
        <w:spacing w:after="0" w:line="289" w:lineRule="auto"/>
        <w:rPr>
          <w:sz w:val="20"/>
          <w:szCs w:val="20"/>
          <w:color w:val="auto"/>
        </w:rPr>
      </w:pPr>
      <w:r>
        <w:rPr>
          <w:rFonts w:ascii="Arial" w:cs="Arial" w:eastAsia="Arial" w:hAnsi="Arial"/>
          <w:sz w:val="16"/>
          <w:szCs w:val="16"/>
          <w:u w:val="single" w:color="auto"/>
          <w:color w:val="auto"/>
        </w:rPr>
        <w:t>Executive sessions and “lead director</w:t>
      </w:r>
      <w:r>
        <w:rPr>
          <w:rFonts w:ascii="Arial" w:cs="Arial" w:eastAsia="Arial" w:hAnsi="Arial"/>
          <w:sz w:val="16"/>
          <w:szCs w:val="16"/>
          <w:color w:val="auto"/>
        </w:rPr>
        <w:t>.” Non-management directors of the board meet in executive session at each regularly scheduled meeting and at such other times as the committee recommends. Any management director, such as the chief executive officer, is excluded from these executive sessions. The chair of the appropriate board committee acts as chair at executive sessions at which the principal item to be considered is within the scope of authority of his or her committee or, if there is no single principal item, the chair of the Governance and Stockholder Relations Committee. This practice, by providing opportunities for leadership to more than one independent director, more fully engages the board members. Our board prefers this approach to the selection of one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-819150</wp:posOffset>
            </wp:positionV>
            <wp:extent cx="64135" cy="641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46"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2" w:right="620"/>
        <w:spacing w:after="0" w:line="334" w:lineRule="auto"/>
        <w:rPr>
          <w:sz w:val="20"/>
          <w:szCs w:val="20"/>
          <w:color w:val="auto"/>
        </w:rPr>
      </w:pPr>
      <w:r>
        <w:rPr>
          <w:rFonts w:ascii="Arial" w:cs="Arial" w:eastAsia="Arial" w:hAnsi="Arial"/>
          <w:sz w:val="15"/>
          <w:szCs w:val="15"/>
          <w:u w:val="single" w:color="auto"/>
          <w:color w:val="auto"/>
        </w:rPr>
        <w:t>Director independence</w:t>
      </w:r>
      <w:r>
        <w:rPr>
          <w:rFonts w:ascii="Arial" w:cs="Arial" w:eastAsia="Arial" w:hAnsi="Arial"/>
          <w:sz w:val="15"/>
          <w:szCs w:val="15"/>
          <w:color w:val="auto"/>
        </w:rPr>
        <w:t>. Our board has historically been comprised almost entirely of independent directors. In accordance with the NYSE listing standards, the committee has developed specified standards for determining independence. Those standards are listed beginning on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-280035</wp:posOffset>
            </wp:positionV>
            <wp:extent cx="64135" cy="641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93"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Governance Documents</w:t>
      </w:r>
    </w:p>
    <w:p>
      <w:pPr>
        <w:spacing w:after="0" w:line="216" w:lineRule="exact"/>
        <w:rPr>
          <w:sz w:val="20"/>
          <w:szCs w:val="20"/>
          <w:color w:val="auto"/>
        </w:rPr>
      </w:pPr>
    </w:p>
    <w:p>
      <w:pPr>
        <w:ind w:left="2"/>
        <w:spacing w:after="0" w:line="245" w:lineRule="auto"/>
        <w:rPr>
          <w:sz w:val="20"/>
          <w:szCs w:val="20"/>
          <w:color w:val="auto"/>
        </w:rPr>
      </w:pPr>
      <w:r>
        <w:rPr>
          <w:rFonts w:ascii="Arial" w:cs="Arial" w:eastAsia="Arial" w:hAnsi="Arial"/>
          <w:sz w:val="16"/>
          <w:szCs w:val="16"/>
          <w:color w:val="auto"/>
        </w:rPr>
        <w:t>The board’s corporate governance guidelines, the charters of the board’s committees, TI’s code of business conduct and our code of ethics for its chief executive officer and senior financial officers are available on our web site at www.ti.com/corporategovernance. Stockholders may request copies of these documents free of charge by writing to Texas Instruments Incorporated, P.O. Box 660199, MS 8657, Dallas, Texas, 75266-0199, Attn: Investor Relations.</w:t>
      </w:r>
    </w:p>
    <w:p>
      <w:pPr>
        <w:spacing w:after="0" w:line="164"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color w:val="auto"/>
        </w:rPr>
        <w:t>BOARD ORGANIZATION</w:t>
      </w:r>
    </w:p>
    <w:p>
      <w:pPr>
        <w:spacing w:after="0" w:line="19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Board and Committee Meetings</w:t>
      </w:r>
    </w:p>
    <w:p>
      <w:pPr>
        <w:spacing w:after="0" w:line="216" w:lineRule="exact"/>
        <w:rPr>
          <w:sz w:val="20"/>
          <w:szCs w:val="20"/>
          <w:color w:val="auto"/>
        </w:rPr>
      </w:pPr>
    </w:p>
    <w:p>
      <w:pPr>
        <w:ind w:left="2"/>
        <w:spacing w:after="0" w:line="250" w:lineRule="auto"/>
        <w:rPr>
          <w:sz w:val="20"/>
          <w:szCs w:val="20"/>
          <w:color w:val="auto"/>
        </w:rPr>
      </w:pPr>
      <w:r>
        <w:rPr>
          <w:rFonts w:ascii="Arial" w:cs="Arial" w:eastAsia="Arial" w:hAnsi="Arial"/>
          <w:sz w:val="16"/>
          <w:szCs w:val="16"/>
          <w:color w:val="auto"/>
        </w:rPr>
        <w:t>During 2007, the board held nine meetings. The board has three standing committees described below. The committees of the board collectively held 24 meetings in 2007. Overall attendance at board and committee meetings was approximately 99 percent.</w:t>
      </w:r>
    </w:p>
    <w:p>
      <w:pPr>
        <w:sectPr>
          <w:pgSz w:w="11900" w:h="16838" w:orient="portrait"/>
          <w:cols w:equalWidth="0" w:num="1">
            <w:col w:w="11422"/>
          </w:cols>
          <w:pgMar w:left="238" w:top="341" w:right="239" w:bottom="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Committees of the Board</w:t>
      </w:r>
    </w:p>
    <w:p>
      <w:pPr>
        <w:spacing w:after="0" w:line="196" w:lineRule="exact"/>
        <w:rPr>
          <w:sz w:val="20"/>
          <w:szCs w:val="20"/>
          <w:color w:val="auto"/>
        </w:rPr>
      </w:pPr>
    </w:p>
    <w:p>
      <w:pPr>
        <w:ind w:right="280"/>
        <w:spacing w:after="0" w:line="269" w:lineRule="auto"/>
        <w:rPr>
          <w:sz w:val="20"/>
          <w:szCs w:val="20"/>
          <w:color w:val="auto"/>
        </w:rPr>
      </w:pPr>
      <w:r>
        <w:rPr>
          <w:rFonts w:ascii="Arial" w:cs="Arial" w:eastAsia="Arial" w:hAnsi="Arial"/>
          <w:sz w:val="15"/>
          <w:szCs w:val="15"/>
          <w:b w:val="1"/>
          <w:bCs w:val="1"/>
          <w:color w:val="auto"/>
        </w:rPr>
        <w:t xml:space="preserve">Audit Committee. </w:t>
      </w:r>
      <w:r>
        <w:rPr>
          <w:rFonts w:ascii="Arial" w:cs="Arial" w:eastAsia="Arial" w:hAnsi="Arial"/>
          <w:sz w:val="15"/>
          <w:szCs w:val="15"/>
          <w:color w:val="auto"/>
        </w:rPr>
        <w:t>The Audit Committee is a separately designated standing committee established in accordance with Section 3(a)(58)(A) of the Securities</w:t>
      </w:r>
      <w:r>
        <w:rPr>
          <w:rFonts w:ascii="Arial" w:cs="Arial" w:eastAsia="Arial" w:hAnsi="Arial"/>
          <w:sz w:val="15"/>
          <w:szCs w:val="15"/>
          <w:b w:val="1"/>
          <w:bCs w:val="1"/>
          <w:color w:val="auto"/>
        </w:rPr>
        <w:t xml:space="preserve"> </w:t>
      </w:r>
      <w:r>
        <w:rPr>
          <w:rFonts w:ascii="Arial" w:cs="Arial" w:eastAsia="Arial" w:hAnsi="Arial"/>
          <w:sz w:val="15"/>
          <w:szCs w:val="15"/>
          <w:color w:val="auto"/>
        </w:rPr>
        <w:t>Exchange Act of 1934, as amended. All members of the Audit Committee are independent under the rules of the NYSE and the board’s corporate governance guidelines. From January 1, 2007, to April 19, 2007, the Committee members were Ms. Patsley (Chair), Ms. Cox, Mr. Fronterhouse and Mr. Sanders. Mr. Fronterhouse, having reached the age of 70, was ineligible under the company’s by-laws to stand for reelection at the company’s 2007 annual meeting. Since April 19, 2007, the members of the Committee have been Ms. Patsley (Chair), Ms. Cox and Mr. Sanders. The Audit Committee is generally responsible for:</w:t>
      </w:r>
    </w:p>
    <w:p>
      <w:pPr>
        <w:spacing w:after="0" w:line="19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Appointing, compensating, retaining and overseeing TI’s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Reviewing the annual report of TI’s independent registered public accounting firm related to quality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0" w:right="120"/>
        <w:spacing w:after="0" w:line="298" w:lineRule="auto"/>
        <w:rPr>
          <w:sz w:val="20"/>
          <w:szCs w:val="20"/>
          <w:color w:val="auto"/>
        </w:rPr>
      </w:pPr>
      <w:r>
        <w:rPr>
          <w:rFonts w:ascii="Arial" w:cs="Arial" w:eastAsia="Arial" w:hAnsi="Arial"/>
          <w:sz w:val="16"/>
          <w:szCs w:val="16"/>
          <w:color w:val="auto"/>
        </w:rPr>
        <w:t>Reviewing TI’s annual reports to the SEC, including the financial statements and the “Management’s Discussion and Analysis” portion of those reports, and recommending appropriate action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-265430</wp:posOffset>
            </wp:positionV>
            <wp:extent cx="64135" cy="641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Reviewing TI’s audit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0" w:right="340"/>
        <w:spacing w:after="0" w:line="298" w:lineRule="auto"/>
        <w:rPr>
          <w:sz w:val="20"/>
          <w:szCs w:val="20"/>
          <w:color w:val="auto"/>
        </w:rPr>
      </w:pPr>
      <w:r>
        <w:rPr>
          <w:rFonts w:ascii="Arial" w:cs="Arial" w:eastAsia="Arial" w:hAnsi="Arial"/>
          <w:sz w:val="16"/>
          <w:szCs w:val="16"/>
          <w:color w:val="auto"/>
        </w:rPr>
        <w:t>Reviewing before issuance TI’s news releases regarding annual and interim financial results and discussing with management any related earnings guidance that may be provided to analysts and rating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-265430</wp:posOffset>
            </wp:positionV>
            <wp:extent cx="64135" cy="641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85" w:lineRule="exact"/>
        <w:rPr>
          <w:sz w:val="20"/>
          <w:szCs w:val="20"/>
          <w:color w:val="auto"/>
        </w:rPr>
      </w:pPr>
    </w:p>
    <w:p>
      <w:pPr>
        <w:ind w:left="680" w:right="260"/>
        <w:spacing w:after="0" w:line="298" w:lineRule="auto"/>
        <w:rPr>
          <w:sz w:val="20"/>
          <w:szCs w:val="20"/>
          <w:color w:val="auto"/>
        </w:rPr>
      </w:pPr>
      <w:r>
        <w:rPr>
          <w:rFonts w:ascii="Arial" w:cs="Arial" w:eastAsia="Arial" w:hAnsi="Arial"/>
          <w:sz w:val="16"/>
          <w:szCs w:val="16"/>
          <w:color w:val="auto"/>
        </w:rPr>
        <w:t>Discussing TI’s audited financial statements with management and the independent registered public accounting firm, including a discussion with the firm regarding the matters required to be discussed by Statement of Auditing Standards No.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-265430</wp:posOffset>
            </wp:positionV>
            <wp:extent cx="64135" cy="641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85" w:lineRule="exact"/>
        <w:rPr>
          <w:sz w:val="20"/>
          <w:szCs w:val="20"/>
          <w:color w:val="auto"/>
        </w:rPr>
      </w:pPr>
    </w:p>
    <w:p>
      <w:pPr>
        <w:ind w:left="680" w:right="20"/>
        <w:spacing w:after="0" w:line="298" w:lineRule="auto"/>
        <w:rPr>
          <w:sz w:val="20"/>
          <w:szCs w:val="20"/>
          <w:color w:val="auto"/>
        </w:rPr>
      </w:pPr>
      <w:r>
        <w:rPr>
          <w:rFonts w:ascii="Arial" w:cs="Arial" w:eastAsia="Arial" w:hAnsi="Arial"/>
          <w:sz w:val="16"/>
          <w:szCs w:val="16"/>
          <w:color w:val="auto"/>
        </w:rPr>
        <w:t>Reviewing relationships between the independent registered public accounting firm and TI in accordance with Independence Standards Board Standard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-265430</wp:posOffset>
            </wp:positionV>
            <wp:extent cx="64135" cy="641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85" w:lineRule="exact"/>
        <w:rPr>
          <w:sz w:val="20"/>
          <w:szCs w:val="20"/>
          <w:color w:val="auto"/>
        </w:rPr>
      </w:pPr>
    </w:p>
    <w:p>
      <w:pPr>
        <w:ind w:left="680" w:right="700"/>
        <w:spacing w:after="0" w:line="298" w:lineRule="auto"/>
        <w:rPr>
          <w:sz w:val="20"/>
          <w:szCs w:val="20"/>
          <w:color w:val="auto"/>
        </w:rPr>
      </w:pPr>
      <w:r>
        <w:rPr>
          <w:rFonts w:ascii="Arial" w:cs="Arial" w:eastAsia="Arial" w:hAnsi="Arial"/>
          <w:sz w:val="16"/>
          <w:szCs w:val="16"/>
          <w:color w:val="auto"/>
        </w:rPr>
        <w:t>Reviewing and discussing the adequacy of TI’s internal accounting controls and other factors affecting the integrity of TI’s financial reports with management and with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-265430</wp:posOffset>
            </wp:positionV>
            <wp:extent cx="64135" cy="641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8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Creating and periodically reviewing TI’s whistleblower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Reviewing TI’s risk assessment and risk management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9640"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680"/>
        <w:spacing w:after="0"/>
        <w:rPr>
          <w:sz w:val="20"/>
          <w:szCs w:val="20"/>
          <w:color w:val="auto"/>
        </w:rPr>
      </w:pPr>
      <w:r>
        <w:rPr>
          <w:rFonts w:ascii="Arial" w:cs="Arial" w:eastAsia="Arial" w:hAnsi="Arial"/>
          <w:sz w:val="16"/>
          <w:szCs w:val="16"/>
          <w:color w:val="auto"/>
        </w:rPr>
        <w:t>Reviewing TI’s compliance and ethics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Reviewing a report of compliance of management and operating personnel with TI’s code of business conduct, including TI’s conflict of interest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Reviewing TI’s non-employee-related insurance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Reviewing changes, if any, in major accounting policies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Reviewing trends in accounting policy changes that are relevant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Reviewing the company’s policy regarding investments and financial derivative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88" w:lineRule="exact"/>
        <w:rPr>
          <w:sz w:val="20"/>
          <w:szCs w:val="20"/>
          <w:color w:val="auto"/>
        </w:rPr>
      </w:pPr>
    </w:p>
    <w:p>
      <w:pPr>
        <w:jc w:val="both"/>
        <w:ind w:right="40"/>
        <w:spacing w:after="0" w:line="245" w:lineRule="auto"/>
        <w:rPr>
          <w:sz w:val="20"/>
          <w:szCs w:val="20"/>
          <w:color w:val="auto"/>
        </w:rPr>
      </w:pPr>
      <w:r>
        <w:rPr>
          <w:rFonts w:ascii="Arial" w:cs="Arial" w:eastAsia="Arial" w:hAnsi="Arial"/>
          <w:sz w:val="16"/>
          <w:szCs w:val="16"/>
          <w:color w:val="auto"/>
        </w:rPr>
        <w:t>The board has determined that all members of the Audit Committee are financially literate and have financial management expertise, as the board has interpreted such qualifications in its business judgment. In addition, the board has designated Ms. Patsley as the audit committee financial expert as defined in the Securities Exchange Act of 1934, as amended.</w:t>
      </w:r>
    </w:p>
    <w:p>
      <w:pPr>
        <w:spacing w:after="0" w:line="184"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The Audit Committee met six times in 2007. The Audit Committee holds regularly scheduled meetings and reports its activities to the board. The dates on which meetings will occur are generally set three years in advance to coincide with board meetings. The committee also continued its long-standing practice of meeting directly with our internal audit staff to discuss the audit plan and to allow for direct interaction between Audit Committee members and our internal auditors. Please see page 49 for a report of the committee.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Compensation Committee. </w:t>
      </w:r>
      <w:r>
        <w:rPr>
          <w:rFonts w:ascii="Arial" w:cs="Arial" w:eastAsia="Arial" w:hAnsi="Arial"/>
          <w:sz w:val="16"/>
          <w:szCs w:val="16"/>
          <w:color w:val="auto"/>
        </w:rPr>
        <w:t>The Compensation Committee consists of three independent directors. Since January 1, 2007, the committee members have been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Mr. Carp (Chair), Ms. Simmons and Ms. Whitman. The committee is responsible for:</w:t>
      </w:r>
    </w:p>
    <w:p>
      <w:pPr>
        <w:spacing w:after="0" w:line="22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Reviewing and approving company goals and objectives relevant to CEO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Evaluating the CEO’s performance in light of those goals and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Setting the compensation of the CEO and other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Overseeing administration of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Making recommendations to the board 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13" w:lineRule="exact"/>
        <w:rPr>
          <w:sz w:val="20"/>
          <w:szCs w:val="20"/>
          <w:color w:val="auto"/>
        </w:rPr>
      </w:pPr>
    </w:p>
    <w:p>
      <w:pPr>
        <w:ind w:left="480" w:right="520"/>
        <w:spacing w:after="0" w:line="293" w:lineRule="auto"/>
        <w:rPr>
          <w:sz w:val="20"/>
          <w:szCs w:val="20"/>
          <w:color w:val="auto"/>
        </w:rPr>
      </w:pPr>
      <w:r>
        <w:rPr>
          <w:rFonts w:ascii="Arial" w:cs="Arial" w:eastAsia="Arial" w:hAnsi="Arial"/>
          <w:sz w:val="16"/>
          <w:szCs w:val="16"/>
          <w:color w:val="auto"/>
        </w:rPr>
        <w:t>Institution and termination of, revisions in and actions under employee benefit plans that (i) increase benefits only for officers of the company or disproportionately increase benefits for officers of the company more than other employees of the company, (ii) require or permit the issuance of the company’s stock or (iii) the board must approve.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-402590</wp:posOffset>
            </wp:positionV>
            <wp:extent cx="64135" cy="641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8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Reservation of company stock for use as awards of grants under plans or as contributions or sales to any trustee of any employee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-92075</wp:posOffset>
            </wp:positionV>
            <wp:extent cx="64135" cy="641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Purchase of company stock in connection with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-92075</wp:posOffset>
            </wp:positionV>
            <wp:extent cx="64135" cy="641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ectPr>
          <w:pgSz w:w="11900" w:h="16838" w:orient="portrait"/>
          <w:cols w:equalWidth="0" w:num="1">
            <w:col w:w="11400"/>
          </w:cols>
          <w:pgMar w:left="240" w:top="122" w:right="259" w:bottom="0" w:gutter="0" w:footer="0" w:header="0"/>
        </w:sectPr>
      </w:pPr>
    </w:p>
    <w:bookmarkStart w:id="8" w:name="page9"/>
    <w:bookmarkEnd w:id="8"/>
    <w:p>
      <w:pPr>
        <w:ind w:left="680" w:right="180"/>
        <w:spacing w:after="0" w:line="298" w:lineRule="auto"/>
        <w:rPr>
          <w:sz w:val="20"/>
          <w:szCs w:val="20"/>
          <w:color w:val="auto"/>
        </w:rPr>
      </w:pPr>
      <w:r>
        <w:rPr>
          <w:rFonts w:ascii="Arial" w:cs="Arial" w:eastAsia="Arial" w:hAnsi="Arial"/>
          <w:sz w:val="16"/>
          <w:szCs w:val="16"/>
          <w:color w:val="auto"/>
        </w:rPr>
        <w:t>Taking action as appropriate regarding the institution and termination of, revisions in and actions under employee benefit plans that are not required to be approved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-265430</wp:posOffset>
            </wp:positionV>
            <wp:extent cx="64135" cy="641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36"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color w:val="auto"/>
        </w:rPr>
        <w:t>The Compensation Committee holds regularly scheduled meetings, reports its activities to the board, and consults with the board before setting annual executive compensation. The dates on which meetings will occur are generally set three years in advance to coincide with board meetings. During 2007, the committee met nine times. Please see page 30 for a report of the committee.</w:t>
      </w:r>
    </w:p>
    <w:p>
      <w:pPr>
        <w:spacing w:after="0" w:line="184"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In performing its functions, the committee is supported by the company’s Human Resources organization. The committee has the authority to retain any advisors it deems appropriate to carry out its responsibilities. The committee retained Pearl Meyer &amp; Partners as its compensation consultant for the 2007 compensation cycle. The committee instructed the consultant to advise it directly on executive compensation philosophy,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9640"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96" w:lineRule="exact"/>
        <w:rPr>
          <w:sz w:val="20"/>
          <w:szCs w:val="20"/>
          <w:color w:val="auto"/>
        </w:rPr>
      </w:pPr>
    </w:p>
    <w:p>
      <w:pPr>
        <w:ind w:right="480"/>
        <w:spacing w:after="0" w:line="245" w:lineRule="auto"/>
        <w:rPr>
          <w:sz w:val="20"/>
          <w:szCs w:val="20"/>
          <w:color w:val="auto"/>
        </w:rPr>
      </w:pPr>
      <w:r>
        <w:rPr>
          <w:rFonts w:ascii="Arial" w:cs="Arial" w:eastAsia="Arial" w:hAnsi="Arial"/>
          <w:sz w:val="16"/>
          <w:szCs w:val="16"/>
          <w:color w:val="auto"/>
        </w:rPr>
        <w:t>strategies, pay levels and decision-making processes. Additionally, the committee instructed the consultant to assist the company’s Human Resources organization in its support of the committee on such items as identifying peer-group companies, analyzing the market level of compensation and developing compensation recommendations relating to the CEO and other executive officers.</w:t>
      </w:r>
    </w:p>
    <w:p>
      <w:pPr>
        <w:spacing w:after="0" w:line="184" w:lineRule="exact"/>
        <w:rPr>
          <w:sz w:val="20"/>
          <w:szCs w:val="20"/>
          <w:color w:val="auto"/>
        </w:rPr>
      </w:pPr>
    </w:p>
    <w:p>
      <w:pPr>
        <w:jc w:val="both"/>
        <w:ind w:right="140"/>
        <w:spacing w:after="0" w:line="283" w:lineRule="auto"/>
        <w:rPr>
          <w:sz w:val="20"/>
          <w:szCs w:val="20"/>
          <w:color w:val="auto"/>
        </w:rPr>
      </w:pPr>
      <w:r>
        <w:rPr>
          <w:rFonts w:ascii="Arial" w:cs="Arial" w:eastAsia="Arial" w:hAnsi="Arial"/>
          <w:sz w:val="15"/>
          <w:szCs w:val="15"/>
          <w:color w:val="auto"/>
        </w:rPr>
        <w:t>The Compensation Committee considers it important that its compensation consultant’s objectivity not be compromised by other business engagements with the company or its management. In support of this belief, the committee adopted a policy in June 2007 on compensation consultants. In summary, the policy states:</w:t>
      </w:r>
    </w:p>
    <w:p>
      <w:pPr>
        <w:spacing w:after="0" w:line="181" w:lineRule="exact"/>
        <w:rPr>
          <w:sz w:val="20"/>
          <w:szCs w:val="20"/>
          <w:color w:val="auto"/>
        </w:rPr>
      </w:pPr>
    </w:p>
    <w:p>
      <w:pPr>
        <w:jc w:val="both"/>
        <w:ind w:left="480" w:right="360"/>
        <w:spacing w:after="0" w:line="320" w:lineRule="auto"/>
        <w:rPr>
          <w:sz w:val="20"/>
          <w:szCs w:val="20"/>
          <w:color w:val="auto"/>
        </w:rPr>
      </w:pPr>
      <w:r>
        <w:rPr>
          <w:rFonts w:ascii="Arial" w:cs="Arial" w:eastAsia="Arial" w:hAnsi="Arial"/>
          <w:sz w:val="15"/>
          <w:szCs w:val="15"/>
          <w:color w:val="auto"/>
        </w:rPr>
        <w:t>The committee’s executive compensation consultant will act pursuant to directions and instructions of the Compensation Committee, and be subject to retention and dismissal only by the committee. The committee will have sole authority to set the consultant’s fees and other terms of the engagement, although the committee Chair may approve increases in the budget for the engagement, subject to informing the committee of any such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-413385</wp:posOffset>
            </wp:positionV>
            <wp:extent cx="64135" cy="641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72" w:lineRule="exact"/>
        <w:rPr>
          <w:sz w:val="20"/>
          <w:szCs w:val="20"/>
          <w:color w:val="auto"/>
        </w:rPr>
      </w:pPr>
    </w:p>
    <w:p>
      <w:pPr>
        <w:ind w:left="480" w:right="80"/>
        <w:spacing w:after="0" w:line="293" w:lineRule="auto"/>
        <w:rPr>
          <w:sz w:val="20"/>
          <w:szCs w:val="20"/>
          <w:color w:val="auto"/>
        </w:rPr>
      </w:pPr>
      <w:r>
        <w:rPr>
          <w:rFonts w:ascii="Arial" w:cs="Arial" w:eastAsia="Arial" w:hAnsi="Arial"/>
          <w:sz w:val="16"/>
          <w:szCs w:val="16"/>
          <w:color w:val="auto"/>
        </w:rPr>
        <w:t>If it is proposed that the consultant (or any affiliate) perform services to TI beyond the engagement for the committee, then the proposal must be submitted to the committee or its Chair for approval before those services begin. Those services will be approved only if the committee or Chair, as applicable, is satisfied that they will not compromise the consultant’s objectivity and that a reasonable alternative does not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-402590</wp:posOffset>
            </wp:positionV>
            <wp:extent cx="64135" cy="641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88" w:lineRule="exact"/>
        <w:rPr>
          <w:sz w:val="20"/>
          <w:szCs w:val="20"/>
          <w:color w:val="auto"/>
        </w:rPr>
      </w:pPr>
    </w:p>
    <w:p>
      <w:pPr>
        <w:ind w:left="480" w:right="100"/>
        <w:spacing w:after="0" w:line="291" w:lineRule="auto"/>
        <w:rPr>
          <w:sz w:val="20"/>
          <w:szCs w:val="20"/>
          <w:color w:val="auto"/>
        </w:rPr>
      </w:pPr>
      <w:r>
        <w:rPr>
          <w:rFonts w:ascii="Arial" w:cs="Arial" w:eastAsia="Arial" w:hAnsi="Arial"/>
          <w:sz w:val="16"/>
          <w:szCs w:val="16"/>
          <w:color w:val="auto"/>
        </w:rPr>
        <w:t>At least once annually, the committee will confirm that in its judgment, the consultant is independent of the company and its management. In this connection, the committee will consider (i) the amount of fees paid to the consultant and any affiliated firm for all services rendered during the past three years, (ii) whether the consultant or any affiliate provided services beyond those for the committee during the preceding year and, if so, the extent of those services, and (iii) any other factors that the committee considers relevant to the independence of the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-541655</wp:posOffset>
            </wp:positionV>
            <wp:extent cx="64135" cy="641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During 2007, neither the consultant nor any of its affiliates performed services for TI other than pursuant to the engagement by the committee.</w:t>
      </w:r>
    </w:p>
    <w:p>
      <w:pPr>
        <w:spacing w:after="0" w:line="196"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The Compensation Committee considers executive compensation in a multistep process that involves the review of market information, performance data and possible compensation levels over several meetings leading to the annual determinations in January. Before setting executive compensation, the committee reviews the total compensation and benefits of the executive officers and considers the impact that their retirement, or termination under various other scenarios, would have on their compensation and benefits.</w:t>
      </w:r>
    </w:p>
    <w:p>
      <w:pPr>
        <w:spacing w:after="0" w:line="186"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The CEO and the senior vice president responsible for Human Resources, who is an executive officer, are regularly invited to attend meetings of the committee. The CEO is excused from the meeting during any discussion of his own compensation. No executive officer determines his or her own compensation or the compensation of any other executive officer. As members of the board, the members of the committee receive information concerning the performance of the company during the year and interact with our management. During the committee’s deliberations on executive compensation, the CEO gives the committee and the board an assessment of his own performance during the year just ended. He also reviews the performance of the other executive officers (except the chairman) with the committee and makes recommendations regarding their compensation. The senior vice president responsible for Human Resources assists in the preparation of and reviews the compensation recommendations made to the committee other than for her compensation.</w:t>
      </w:r>
    </w:p>
    <w:p>
      <w:pPr>
        <w:spacing w:after="0" w:line="189"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The Compensation Committee’s charter provides that it may delegate its power, authority and rights with respect to TI’s long-term incentive plans, employee stock purchase plan and employee benefit plans to (i) one or more committees of the board established or delegated authority for that purpose; or (ii) employees or committees of employees except that no such delegation may be made with respect to compensation of the company’s executive officers.</w:t>
      </w:r>
    </w:p>
    <w:p>
      <w:pPr>
        <w:spacing w:after="0" w:line="184"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Pursuant to that authority, the Compensation Committee has delegated to a special committee established by the board the authority to grant stock options and restricted stock units under the company’s long-term incentive plans, subject to limits established by the committee. The sole member of the special committee is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9640" cy="20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96" w:lineRule="exact"/>
        <w:rPr>
          <w:sz w:val="20"/>
          <w:szCs w:val="20"/>
          <w:color w:val="auto"/>
        </w:rPr>
      </w:pPr>
    </w:p>
    <w:p>
      <w:pPr>
        <w:ind w:right="80"/>
        <w:spacing w:after="0" w:line="241" w:lineRule="auto"/>
        <w:rPr>
          <w:sz w:val="20"/>
          <w:szCs w:val="20"/>
          <w:color w:val="auto"/>
        </w:rPr>
      </w:pPr>
      <w:r>
        <w:rPr>
          <w:rFonts w:ascii="Arial" w:cs="Arial" w:eastAsia="Arial" w:hAnsi="Arial"/>
          <w:sz w:val="16"/>
          <w:szCs w:val="16"/>
          <w:color w:val="auto"/>
        </w:rPr>
        <w:t>Mr. Templeton. With respect to each of TI’s two long-term incentive plans, the special committee is authorized to grant, amend or terminate (i) up to 500,000 restricted stock units per year and (ii) stock options and restricted stock units for an aggregate amount up to 2 million shares per year. The special committee has no authority to grant, amend or terminate any form of compensation to TI’s executive officers. The special committee has typically used its delegated authority to make grants of stock options as needed between regularly scheduled meetings of the Compensation Committee to meet the requirements under certain foreign laws that the grants be made only during certain periods as a condition to qualifying for favorable tax treatment. The Compensation Committee reviews the grant activity of the special committee.</w:t>
      </w:r>
    </w:p>
    <w:p>
      <w:pPr>
        <w:spacing w:after="0" w:line="170"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b w:val="1"/>
          <w:bCs w:val="1"/>
          <w:color w:val="auto"/>
        </w:rPr>
        <w:t xml:space="preserve">Governance and Stockholder Relations Committee. </w:t>
      </w:r>
      <w:r>
        <w:rPr>
          <w:rFonts w:ascii="Arial" w:cs="Arial" w:eastAsia="Arial" w:hAnsi="Arial"/>
          <w:sz w:val="16"/>
          <w:szCs w:val="16"/>
          <w:color w:val="auto"/>
        </w:rPr>
        <w:t>All members of the Governance and Stockholder Relations Committee are independent. Since January 1,</w:t>
      </w:r>
      <w:r>
        <w:rPr>
          <w:rFonts w:ascii="Arial" w:cs="Arial" w:eastAsia="Arial" w:hAnsi="Arial"/>
          <w:sz w:val="16"/>
          <w:szCs w:val="16"/>
          <w:b w:val="1"/>
          <w:bCs w:val="1"/>
          <w:color w:val="auto"/>
        </w:rPr>
        <w:t xml:space="preserve"> </w:t>
      </w:r>
      <w:r>
        <w:rPr>
          <w:rFonts w:ascii="Arial" w:cs="Arial" w:eastAsia="Arial" w:hAnsi="Arial"/>
          <w:sz w:val="16"/>
          <w:szCs w:val="16"/>
          <w:color w:val="auto"/>
        </w:rPr>
        <w:t>2007, the committee members have been Mr. Boren (Chair), Mr. Adams and Mr. Goode. The Governance and Stockholder Relations Committee is generally responsible for:</w:t>
      </w:r>
    </w:p>
    <w:p>
      <w:pPr>
        <w:spacing w:after="0" w:line="19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Making recommendations to the board regarding: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1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development and revision of our corporate governance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-92075</wp:posOffset>
            </wp:positionV>
            <wp:extent cx="64135" cy="641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size, composition and functioning of the board and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-92075</wp:posOffset>
            </wp:positionV>
            <wp:extent cx="64135" cy="641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Candidates to fill board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-92075</wp:posOffset>
            </wp:positionV>
            <wp:extent cx="64135" cy="641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Nominees to be designated for election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-92075</wp:posOffset>
            </wp:positionV>
            <wp:extent cx="64135" cy="641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Compensation of board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-92075</wp:posOffset>
            </wp:positionV>
            <wp:extent cx="64135" cy="641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ectPr>
          <w:pgSz w:w="11900" w:h="16838" w:orient="portrait"/>
          <w:cols w:equalWidth="0" w:num="1">
            <w:col w:w="11420"/>
          </w:cols>
          <w:pgMar w:left="240" w:top="167" w:right="239" w:bottom="104" w:gutter="0" w:footer="0" w:header="0"/>
        </w:sectPr>
      </w:pPr>
    </w:p>
    <w:bookmarkStart w:id="9" w:name="page10"/>
    <w:bookmarkEnd w:id="9"/>
    <w:p>
      <w:pPr>
        <w:spacing w:after="0" w:line="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Organization and responsibilities of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-92075</wp:posOffset>
            </wp:positionV>
            <wp:extent cx="64135" cy="641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Succession planning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-92075</wp:posOffset>
            </wp:positionV>
            <wp:extent cx="64135" cy="641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Issues of potential conflicts of interest involving a board member raised under TI’s conflict of interest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-92075</wp:posOffset>
            </wp:positionV>
            <wp:extent cx="64135" cy="641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Election of executive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-92075</wp:posOffset>
            </wp:positionV>
            <wp:extent cx="64135" cy="641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Topics affecting the relationship between the company and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-92075</wp:posOffset>
            </wp:positionV>
            <wp:extent cx="64135" cy="641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Public issues likely to affect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-92075</wp:posOffset>
            </wp:positionV>
            <wp:extent cx="64135" cy="641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Responses to proposals submitted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-92075</wp:posOffset>
            </wp:positionV>
            <wp:extent cx="64135" cy="641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1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Reviewing: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1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Contribution policies of the company and of the TI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-92075</wp:posOffset>
            </wp:positionV>
            <wp:extent cx="64135" cy="641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Revisions to TI’s code of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-92075</wp:posOffset>
            </wp:positionV>
            <wp:extent cx="64135" cy="641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1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Electing officers of the company other than the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Overseeing an annual evaluation of the board and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88"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The Governance and Stockholder Relations Committee met nine times in 2007. The Governance and Stockholder Relations Committee holds regularly scheduled meetings and reports its activities to the board. The dates on which meetings will occur are generally set three years in advance to coincide with board meetings. Please see page 5 for a discussion of stockholder nominations and communications with the board.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9640"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DIRECTOR COMPENSATION</w:t>
      </w:r>
    </w:p>
    <w:p>
      <w:pPr>
        <w:spacing w:after="0" w:line="216" w:lineRule="exact"/>
        <w:rPr>
          <w:sz w:val="20"/>
          <w:szCs w:val="20"/>
          <w:color w:val="auto"/>
        </w:rPr>
      </w:pPr>
    </w:p>
    <w:p>
      <w:pPr>
        <w:ind w:right="140"/>
        <w:spacing w:after="0" w:line="242" w:lineRule="auto"/>
        <w:rPr>
          <w:sz w:val="20"/>
          <w:szCs w:val="20"/>
          <w:color w:val="auto"/>
        </w:rPr>
      </w:pPr>
      <w:r>
        <w:rPr>
          <w:rFonts w:ascii="Arial" w:cs="Arial" w:eastAsia="Arial" w:hAnsi="Arial"/>
          <w:sz w:val="16"/>
          <w:szCs w:val="16"/>
          <w:color w:val="auto"/>
        </w:rPr>
        <w:t>The Governance and Stockholder Relations Committee has responsibility for reviewing and making recommendations to the board on compensation for non-employee directors. The board makes the final determination of compensation for non-employee directors. The committee has no authority to delegate its responsibility regarding director compensation. In carrying out this responsibility it is supported by TI’s Human Resources organization. The chairman, the CEO, the senior vice president responsible for Human Resources and the Secretary also review the committee’s recommendations. The chairman and CEO also vote, as members of the board, on the compensation of non-employee directors.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arrangements for the non-employee directors are:</w:t>
      </w:r>
    </w:p>
    <w:p>
      <w:pPr>
        <w:spacing w:after="0" w:line="220"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Annual retainer of $80,000 for board and committee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6"/>
          <w:szCs w:val="16"/>
          <w:color w:val="auto"/>
        </w:rPr>
        <w:t>Additional annual retainer of $20,000 for the chair of the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0"/>
        <w:spacing w:after="0"/>
        <w:rPr>
          <w:sz w:val="20"/>
          <w:szCs w:val="20"/>
          <w:color w:val="auto"/>
        </w:rPr>
      </w:pPr>
      <w:r>
        <w:rPr>
          <w:rFonts w:ascii="Arial" w:cs="Arial" w:eastAsia="Arial" w:hAnsi="Arial"/>
          <w:sz w:val="15"/>
          <w:szCs w:val="15"/>
          <w:color w:val="auto"/>
        </w:rPr>
        <w:t>Additional annual retainer of $10,000 for each of the chairs of the Compensation Committee and the Governance and Stockholder Relations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-84455</wp:posOffset>
            </wp:positionV>
            <wp:extent cx="64135" cy="641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49" w:lineRule="exact"/>
        <w:rPr>
          <w:sz w:val="20"/>
          <w:szCs w:val="20"/>
          <w:color w:val="auto"/>
        </w:rPr>
      </w:pPr>
    </w:p>
    <w:p>
      <w:pPr>
        <w:ind w:left="680" w:right="160"/>
        <w:spacing w:after="0" w:line="291" w:lineRule="auto"/>
        <w:rPr>
          <w:sz w:val="20"/>
          <w:szCs w:val="20"/>
          <w:color w:val="auto"/>
        </w:rPr>
      </w:pPr>
      <w:r>
        <w:rPr>
          <w:rFonts w:ascii="Arial" w:cs="Arial" w:eastAsia="Arial" w:hAnsi="Arial"/>
          <w:sz w:val="16"/>
          <w:szCs w:val="16"/>
          <w:color w:val="auto"/>
        </w:rPr>
        <w:t>Annual grant of a 10-year stock option to purchase 7,000 shares of TI common stock pursuant to the terms of the Texas Instruments 2003 Director Compensation Plan (Director Plan), which was approved by stockholders in April 2003. The exercise price of the option is the closing price of the company’s common stock on the date of grant. These nonqualified options become exercisable in four equal annual installments beginning on the first anniversary of the grant and also will become fully exercisable in the event of a change in control (as defined in the Director Plan) of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-541655</wp:posOffset>
            </wp:positionV>
            <wp:extent cx="64135" cy="641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90" w:lineRule="exact"/>
        <w:rPr>
          <w:sz w:val="20"/>
          <w:szCs w:val="20"/>
          <w:color w:val="auto"/>
        </w:rPr>
      </w:pPr>
    </w:p>
    <w:p>
      <w:pPr>
        <w:ind w:left="680" w:right="120"/>
        <w:spacing w:after="0" w:line="289" w:lineRule="auto"/>
        <w:rPr>
          <w:sz w:val="20"/>
          <w:szCs w:val="20"/>
          <w:color w:val="auto"/>
        </w:rPr>
      </w:pPr>
      <w:r>
        <w:rPr>
          <w:rFonts w:ascii="Arial" w:cs="Arial" w:eastAsia="Arial" w:hAnsi="Arial"/>
          <w:sz w:val="16"/>
          <w:szCs w:val="16"/>
          <w:color w:val="auto"/>
        </w:rPr>
        <w:t>Annual grant of 2,500 restricted stock units pursuant to the terms of the Director Plan. The restricted stock units vest on the fourth anniversary of their date of grant and upon a change in control as defined in the Director Plan. If a director is not a member of the board on the fourth anniversary of the grant, restricted stock units will nonetheless settle on such anniversary date if the director had completed eight years of service prior to termination or the director’s termination was due to death, disability or ineligibility to stand for reelection under the company’s by-laws. The director may defer settlement of the restricted stock units at his or her election. Upon settlement, the director will receive one share of TI common stock for each restricted stock unit. Dividend equivalents are paid on the restricted stock units at the same rate as dividends on TI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-819150</wp:posOffset>
            </wp:positionV>
            <wp:extent cx="64135" cy="641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9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$1,000 per day compensation for other activities designated by the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-92075</wp:posOffset>
            </wp:positionV>
            <wp:extent cx="64135" cy="641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88"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The board has determined that grants of equity compensation to non-employee directors should be timed to occur when grants are made to our U.S. employees in connection with the annual compensation review process. Accordingly, equity grants to non-employee directors are made in January. Please see the discussion regarding the timing of equity compensation grants in the Compensation Discussion and Analysis on pages 26-27.</w:t>
      </w:r>
    </w:p>
    <w:p>
      <w:pPr>
        <w:spacing w:after="0" w:line="184"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Directors are not paid a fee for meeting attendance, but we reimburse non-employee directors for their travel, lodging and related expenses incurred in connection with attending board, committee and stockholders meetings and other designated TI events. In addition, non-employee directors may travel on company aircraft to and from these meetings and other designated events. On occasion, directors’ spouses are invited to attend board events; the spouses’ expenses incurred in connection with attendance at those events are also reimbursed.</w:t>
      </w:r>
    </w:p>
    <w:p>
      <w:pPr>
        <w:spacing w:after="0" w:line="186" w:lineRule="exact"/>
        <w:rPr>
          <w:sz w:val="20"/>
          <w:szCs w:val="20"/>
          <w:color w:val="auto"/>
        </w:rPr>
      </w:pPr>
    </w:p>
    <w:p>
      <w:pPr>
        <w:jc w:val="both"/>
        <w:ind w:right="80"/>
        <w:spacing w:after="0" w:line="242" w:lineRule="auto"/>
        <w:rPr>
          <w:sz w:val="20"/>
          <w:szCs w:val="20"/>
          <w:color w:val="auto"/>
        </w:rPr>
      </w:pPr>
      <w:r>
        <w:rPr>
          <w:rFonts w:ascii="Arial" w:cs="Arial" w:eastAsia="Arial" w:hAnsi="Arial"/>
          <w:sz w:val="16"/>
          <w:szCs w:val="16"/>
          <w:color w:val="auto"/>
        </w:rPr>
        <w:t>Under the Director Plan, some directors have chosen to have all or part of their cash compensation deferred until they leave the board (or certain other specified times). These deferred amounts were credited to either a cash account or stock unit account. Cash accounts earned interest from TI at a rate currently based on Moody’s Seasoned Aaa Corporate Bonds. For 2007, that rate was 5.42 percent. Stock unit accounts fluctuated in value with the underlying shares of TI common stock, which will be issued after the deferral period. Dividend equivalents are paid on these stock units. Beginning in 2007, directors were given the opportunity to defer their annual grant of restricted stock units.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9640"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96" w:lineRule="exact"/>
        <w:rPr>
          <w:sz w:val="20"/>
          <w:szCs w:val="20"/>
          <w:color w:val="auto"/>
        </w:rPr>
      </w:pPr>
    </w:p>
    <w:p>
      <w:pPr>
        <w:ind w:right="320"/>
        <w:spacing w:after="0" w:line="250" w:lineRule="auto"/>
        <w:rPr>
          <w:sz w:val="20"/>
          <w:szCs w:val="20"/>
          <w:color w:val="auto"/>
        </w:rPr>
      </w:pPr>
      <w:r>
        <w:rPr>
          <w:rFonts w:ascii="Arial" w:cs="Arial" w:eastAsia="Arial" w:hAnsi="Arial"/>
          <w:sz w:val="16"/>
          <w:szCs w:val="16"/>
          <w:color w:val="auto"/>
        </w:rPr>
        <w:t>We have arrangements with certain customers whereby our employees may purchase specific consumer products containing TI manufactured components at discounted pricing. Under these arrangements, directors were entitled to participate on the same terms and conditions available to employees.</w:t>
      </w:r>
    </w:p>
    <w:p>
      <w:pPr>
        <w:sectPr>
          <w:pgSz w:w="11900" w:h="16924" w:orient="portrait"/>
          <w:cols w:equalWidth="0" w:num="1">
            <w:col w:w="11420"/>
          </w:cols>
          <w:pgMar w:left="240" w:top="167" w:right="239" w:bottom="0" w:gutter="0" w:footer="0" w:header="0"/>
        </w:sectPr>
      </w:pPr>
    </w:p>
    <w:bookmarkStart w:id="10" w:name="page11"/>
    <w:bookmarkEnd w:id="10"/>
    <w:p>
      <w:pPr>
        <w:ind w:left="2"/>
        <w:spacing w:after="0"/>
        <w:rPr>
          <w:sz w:val="20"/>
          <w:szCs w:val="20"/>
          <w:color w:val="auto"/>
        </w:rPr>
      </w:pPr>
      <w:r>
        <w:rPr>
          <w:rFonts w:ascii="Arial" w:cs="Arial" w:eastAsia="Arial" w:hAnsi="Arial"/>
          <w:sz w:val="16"/>
          <w:szCs w:val="16"/>
          <w:color w:val="auto"/>
        </w:rPr>
        <w:t>Non-employee directors are not eligible to participate in any TI-sponsored pension plan.</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2007 Director Compensation</w:t>
      </w:r>
    </w:p>
    <w:p>
      <w:pPr>
        <w:spacing w:after="0" w:line="216" w:lineRule="exact"/>
        <w:rPr>
          <w:sz w:val="20"/>
          <w:szCs w:val="20"/>
          <w:color w:val="auto"/>
        </w:rPr>
      </w:pPr>
    </w:p>
    <w:p>
      <w:pPr>
        <w:ind w:left="2" w:right="80"/>
        <w:spacing w:after="0" w:line="250" w:lineRule="auto"/>
        <w:rPr>
          <w:sz w:val="20"/>
          <w:szCs w:val="20"/>
          <w:color w:val="auto"/>
        </w:rPr>
      </w:pPr>
      <w:r>
        <w:rPr>
          <w:rFonts w:ascii="Arial" w:cs="Arial" w:eastAsia="Arial" w:hAnsi="Arial"/>
          <w:sz w:val="16"/>
          <w:szCs w:val="16"/>
          <w:color w:val="auto"/>
        </w:rPr>
        <w:t>The following table shows the compensation of all persons who were non-employee members of the board during 2007 for services in all capacities to TI in 2007, except as otherwise indicated.</w:t>
      </w:r>
    </w:p>
    <w:p>
      <w:pPr>
        <w:spacing w:after="0" w:line="224"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rPr>
              <w:t>Change in</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221"/>
        </w:trPr>
        <w:tc>
          <w:tcPr>
            <w:tcW w:w="4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rPr>
              <w:t>Pension</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1"/>
        </w:trPr>
        <w:tc>
          <w:tcPr>
            <w:tcW w:w="4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w w:val="98"/>
              </w:rPr>
              <w:t>Value and</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1"/>
        </w:trPr>
        <w:tc>
          <w:tcPr>
            <w:tcW w:w="4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rPr>
              <w:t>Non-qualified</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45"/>
        </w:trPr>
        <w:tc>
          <w:tcPr>
            <w:tcW w:w="4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59"/>
              <w:spacing w:after="0"/>
              <w:rPr>
                <w:sz w:val="20"/>
                <w:szCs w:val="20"/>
                <w:color w:val="auto"/>
              </w:rPr>
            </w:pPr>
            <w:r>
              <w:rPr>
                <w:rFonts w:ascii="Arial" w:cs="Arial" w:eastAsia="Arial" w:hAnsi="Arial"/>
                <w:sz w:val="12"/>
                <w:szCs w:val="12"/>
                <w:b w:val="1"/>
                <w:bCs w:val="1"/>
                <w:color w:val="auto"/>
              </w:rPr>
              <w:t>Fees Earned or</w:t>
            </w:r>
          </w:p>
        </w:tc>
        <w:tc>
          <w:tcPr>
            <w:tcW w:w="240" w:type="dxa"/>
            <w:vAlign w:val="bottom"/>
          </w:tcPr>
          <w:p>
            <w:pPr>
              <w:spacing w:after="0"/>
              <w:rPr>
                <w:sz w:val="21"/>
                <w:szCs w:val="21"/>
                <w:color w:val="auto"/>
              </w:rPr>
            </w:pPr>
          </w:p>
        </w:tc>
        <w:tc>
          <w:tcPr>
            <w:tcW w:w="460" w:type="dxa"/>
            <w:vAlign w:val="bottom"/>
          </w:tcPr>
          <w:p>
            <w:pPr>
              <w:ind w:left="100"/>
              <w:spacing w:after="0"/>
              <w:rPr>
                <w:sz w:val="20"/>
                <w:szCs w:val="20"/>
                <w:color w:val="auto"/>
              </w:rPr>
            </w:pPr>
            <w:r>
              <w:rPr>
                <w:rFonts w:ascii="Arial" w:cs="Arial" w:eastAsia="Arial" w:hAnsi="Arial"/>
                <w:sz w:val="12"/>
                <w:szCs w:val="12"/>
                <w:b w:val="1"/>
                <w:bCs w:val="1"/>
                <w:color w:val="auto"/>
              </w:rPr>
              <w:t>Stock</w:t>
            </w:r>
          </w:p>
        </w:tc>
        <w:tc>
          <w:tcPr>
            <w:tcW w:w="24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8"/>
              </w:rPr>
              <w:t>Option</w:t>
            </w:r>
          </w:p>
        </w:tc>
        <w:tc>
          <w:tcPr>
            <w:tcW w:w="2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rPr>
              <w:t>Non-Equity</w:t>
            </w:r>
          </w:p>
        </w:tc>
        <w:tc>
          <w:tcPr>
            <w:tcW w:w="24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rPr>
              <w:t>Deferred</w:t>
            </w:r>
          </w:p>
        </w:tc>
        <w:tc>
          <w:tcPr>
            <w:tcW w:w="240" w:type="dxa"/>
            <w:vAlign w:val="bottom"/>
          </w:tcPr>
          <w:p>
            <w:pPr>
              <w:spacing w:after="0"/>
              <w:rPr>
                <w:sz w:val="21"/>
                <w:szCs w:val="21"/>
                <w:color w:val="auto"/>
              </w:rPr>
            </w:pPr>
          </w:p>
        </w:tc>
        <w:tc>
          <w:tcPr>
            <w:tcW w:w="1020" w:type="dxa"/>
            <w:vAlign w:val="bottom"/>
            <w:gridSpan w:val="2"/>
          </w:tcPr>
          <w:p>
            <w:pPr>
              <w:jc w:val="right"/>
              <w:ind w:right="159"/>
              <w:spacing w:after="0"/>
              <w:rPr>
                <w:sz w:val="20"/>
                <w:szCs w:val="20"/>
                <w:color w:val="auto"/>
              </w:rPr>
            </w:pPr>
            <w:r>
              <w:rPr>
                <w:rFonts w:ascii="Arial" w:cs="Arial" w:eastAsia="Arial" w:hAnsi="Arial"/>
                <w:sz w:val="12"/>
                <w:szCs w:val="12"/>
                <w:b w:val="1"/>
                <w:bCs w:val="1"/>
                <w:color w:val="auto"/>
              </w:rPr>
              <w:t>All Other</w:t>
            </w: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21"/>
        </w:trPr>
        <w:tc>
          <w:tcPr>
            <w:tcW w:w="4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jc w:val="right"/>
              <w:ind w:right="279"/>
              <w:spacing w:after="0"/>
              <w:rPr>
                <w:sz w:val="20"/>
                <w:szCs w:val="20"/>
                <w:color w:val="auto"/>
              </w:rPr>
            </w:pPr>
            <w:r>
              <w:rPr>
                <w:rFonts w:ascii="Arial" w:cs="Arial" w:eastAsia="Arial" w:hAnsi="Arial"/>
                <w:sz w:val="12"/>
                <w:szCs w:val="12"/>
                <w:b w:val="1"/>
                <w:bCs w:val="1"/>
                <w:color w:val="auto"/>
              </w:rPr>
              <w:t>Paid in</w:t>
            </w:r>
          </w:p>
        </w:tc>
        <w:tc>
          <w:tcPr>
            <w:tcW w:w="24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w w:val="96"/>
              </w:rPr>
              <w:t>Awards</w:t>
            </w:r>
          </w:p>
        </w:tc>
        <w:tc>
          <w:tcPr>
            <w:tcW w:w="2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rPr>
              <w:t>Awards</w:t>
            </w:r>
          </w:p>
        </w:tc>
        <w:tc>
          <w:tcPr>
            <w:tcW w:w="24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2"/>
                <w:szCs w:val="12"/>
                <w:b w:val="1"/>
                <w:bCs w:val="1"/>
                <w:color w:val="auto"/>
              </w:rPr>
              <w:t>Incentive Plan</w:t>
            </w:r>
          </w:p>
        </w:tc>
        <w:tc>
          <w:tcPr>
            <w:tcW w:w="240" w:type="dxa"/>
            <w:vAlign w:val="bottom"/>
          </w:tcPr>
          <w:p>
            <w:pPr>
              <w:spacing w:after="0"/>
              <w:rPr>
                <w:sz w:val="19"/>
                <w:szCs w:val="19"/>
                <w:color w:val="auto"/>
              </w:rPr>
            </w:pPr>
          </w:p>
        </w:tc>
        <w:tc>
          <w:tcPr>
            <w:tcW w:w="860" w:type="dxa"/>
            <w:vAlign w:val="bottom"/>
          </w:tcPr>
          <w:p>
            <w:pPr>
              <w:spacing w:after="0"/>
              <w:rPr>
                <w:sz w:val="20"/>
                <w:szCs w:val="20"/>
                <w:color w:val="auto"/>
              </w:rPr>
            </w:pPr>
            <w:r>
              <w:rPr>
                <w:rFonts w:ascii="Arial" w:cs="Arial" w:eastAsia="Arial" w:hAnsi="Arial"/>
                <w:sz w:val="12"/>
                <w:szCs w:val="12"/>
                <w:b w:val="1"/>
                <w:bCs w:val="1"/>
                <w:color w:val="auto"/>
              </w:rPr>
              <w:t>Compensation</w:t>
            </w:r>
          </w:p>
        </w:tc>
        <w:tc>
          <w:tcPr>
            <w:tcW w:w="240" w:type="dxa"/>
            <w:vAlign w:val="bottom"/>
          </w:tcPr>
          <w:p>
            <w:pPr>
              <w:spacing w:after="0"/>
              <w:rPr>
                <w:sz w:val="19"/>
                <w:szCs w:val="19"/>
                <w:color w:val="auto"/>
              </w:rPr>
            </w:pPr>
          </w:p>
        </w:tc>
        <w:tc>
          <w:tcPr>
            <w:tcW w:w="1020" w:type="dxa"/>
            <w:vAlign w:val="bottom"/>
            <w:gridSpan w:val="2"/>
          </w:tcPr>
          <w:p>
            <w:pPr>
              <w:jc w:val="right"/>
              <w:ind w:right="19"/>
              <w:spacing w:after="0"/>
              <w:rPr>
                <w:sz w:val="20"/>
                <w:szCs w:val="20"/>
                <w:color w:val="auto"/>
              </w:rPr>
            </w:pPr>
            <w:r>
              <w:rPr>
                <w:rFonts w:ascii="Arial" w:cs="Arial" w:eastAsia="Arial" w:hAnsi="Arial"/>
                <w:sz w:val="12"/>
                <w:szCs w:val="12"/>
                <w:b w:val="1"/>
                <w:bCs w:val="1"/>
                <w:color w:val="auto"/>
              </w:rPr>
              <w:t>Compensation</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09"/>
        </w:trPr>
        <w:tc>
          <w:tcPr>
            <w:tcW w:w="4200" w:type="dxa"/>
            <w:vAlign w:val="bottom"/>
            <w:tcBorders>
              <w:bottom w:val="single" w:sz="8" w:color="auto"/>
            </w:tcBorders>
          </w:tcPr>
          <w:p>
            <w:pPr>
              <w:ind w:left="1940"/>
              <w:spacing w:after="0"/>
              <w:rPr>
                <w:sz w:val="20"/>
                <w:szCs w:val="20"/>
                <w:color w:val="auto"/>
              </w:rPr>
            </w:pPr>
            <w:r>
              <w:rPr>
                <w:rFonts w:ascii="Arial" w:cs="Arial" w:eastAsia="Arial" w:hAnsi="Arial"/>
                <w:sz w:val="12"/>
                <w:szCs w:val="12"/>
                <w:b w:val="1"/>
                <w:bCs w:val="1"/>
                <w:color w:val="auto"/>
              </w:rPr>
              <w:t>Name</w:t>
            </w:r>
          </w:p>
        </w:tc>
        <w:tc>
          <w:tcPr>
            <w:tcW w:w="240" w:type="dxa"/>
            <w:vAlign w:val="bottom"/>
          </w:tcPr>
          <w:p>
            <w:pPr>
              <w:spacing w:after="0"/>
              <w:rPr>
                <w:sz w:val="18"/>
                <w:szCs w:val="18"/>
                <w:color w:val="auto"/>
              </w:rPr>
            </w:pPr>
          </w:p>
        </w:tc>
        <w:tc>
          <w:tcPr>
            <w:tcW w:w="1120" w:type="dxa"/>
            <w:vAlign w:val="bottom"/>
            <w:tcBorders>
              <w:bottom w:val="single" w:sz="8" w:color="auto"/>
            </w:tcBorders>
            <w:gridSpan w:val="2"/>
          </w:tcPr>
          <w:p>
            <w:pPr>
              <w:ind w:left="280"/>
              <w:spacing w:after="0"/>
              <w:rPr>
                <w:sz w:val="20"/>
                <w:szCs w:val="20"/>
                <w:color w:val="auto"/>
              </w:rPr>
            </w:pPr>
            <w:r>
              <w:rPr>
                <w:rFonts w:ascii="Arial" w:cs="Arial" w:eastAsia="Arial" w:hAnsi="Arial"/>
                <w:sz w:val="12"/>
                <w:szCs w:val="12"/>
                <w:b w:val="1"/>
                <w:bCs w:val="1"/>
                <w:color w:val="auto"/>
              </w:rPr>
              <w:t>Cash ($)(2)</w:t>
            </w:r>
          </w:p>
        </w:tc>
        <w:tc>
          <w:tcPr>
            <w:tcW w:w="240" w:type="dxa"/>
            <w:vAlign w:val="bottom"/>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($)(3)</w:t>
            </w:r>
          </w:p>
        </w:tc>
        <w:tc>
          <w:tcPr>
            <w:tcW w:w="240" w:type="dxa"/>
            <w:vAlign w:val="bottom"/>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Compensation ($)</w:t>
            </w:r>
          </w:p>
        </w:tc>
        <w:tc>
          <w:tcPr>
            <w:tcW w:w="24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Earnings</w:t>
            </w:r>
          </w:p>
        </w:tc>
        <w:tc>
          <w:tcPr>
            <w:tcW w:w="2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99"/>
              <w:spacing w:after="0"/>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8"/>
                <w:szCs w:val="18"/>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Total ($)</w:t>
            </w:r>
          </w:p>
        </w:tc>
      </w:tr>
      <w:tr>
        <w:trPr>
          <w:trHeight w:val="213"/>
        </w:trPr>
        <w:tc>
          <w:tcPr>
            <w:tcW w:w="4200" w:type="dxa"/>
            <w:vAlign w:val="bottom"/>
            <w:shd w:val="clear" w:color="auto" w:fill="C0C0C0"/>
          </w:tcPr>
          <w:p>
            <w:pPr>
              <w:spacing w:after="0"/>
              <w:rPr>
                <w:sz w:val="20"/>
                <w:szCs w:val="20"/>
                <w:color w:val="auto"/>
              </w:rPr>
            </w:pPr>
            <w:r>
              <w:rPr>
                <w:rFonts w:ascii="Arial" w:cs="Arial" w:eastAsia="Arial" w:hAnsi="Arial"/>
                <w:sz w:val="12"/>
                <w:szCs w:val="12"/>
                <w:color w:val="auto"/>
              </w:rPr>
              <w:t>J. R. Adams</w:t>
            </w:r>
          </w:p>
        </w:tc>
        <w:tc>
          <w:tcPr>
            <w:tcW w:w="600" w:type="dxa"/>
            <w:vAlign w:val="bottom"/>
            <w:gridSpan w:val="2"/>
            <w:shd w:val="clear" w:color="auto" w:fill="C0C0C0"/>
          </w:tcPr>
          <w:p>
            <w:pPr>
              <w:ind w:left="5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0C0C0"/>
          </w:tcPr>
          <w:p>
            <w:pPr>
              <w:jc w:val="right"/>
              <w:ind w:right="259"/>
              <w:spacing w:after="0"/>
              <w:rPr>
                <w:sz w:val="20"/>
                <w:szCs w:val="20"/>
                <w:color w:val="auto"/>
              </w:rPr>
            </w:pPr>
            <w:r>
              <w:rPr>
                <w:rFonts w:ascii="Arial" w:cs="Arial" w:eastAsia="Arial" w:hAnsi="Arial"/>
                <w:sz w:val="12"/>
                <w:szCs w:val="12"/>
                <w:color w:val="auto"/>
              </w:rPr>
              <w:t>80,000</w:t>
            </w:r>
          </w:p>
        </w:tc>
        <w:tc>
          <w:tcPr>
            <w:tcW w:w="700" w:type="dxa"/>
            <w:vAlign w:val="bottom"/>
            <w:gridSpan w:val="2"/>
            <w:shd w:val="clear" w:color="auto" w:fill="C0C0C0"/>
          </w:tcPr>
          <w:p>
            <w:pPr>
              <w:jc w:val="center"/>
              <w:ind w:left="199"/>
              <w:spacing w:after="0"/>
              <w:rPr>
                <w:sz w:val="20"/>
                <w:szCs w:val="20"/>
                <w:color w:val="auto"/>
              </w:rPr>
            </w:pPr>
            <w:r>
              <w:rPr>
                <w:rFonts w:ascii="Arial" w:cs="Arial" w:eastAsia="Arial" w:hAnsi="Arial"/>
                <w:sz w:val="12"/>
                <w:szCs w:val="12"/>
                <w:color w:val="auto"/>
              </w:rPr>
              <w:t>$70,800</w:t>
            </w:r>
          </w:p>
        </w:tc>
        <w:tc>
          <w:tcPr>
            <w:tcW w:w="700" w:type="dxa"/>
            <w:vAlign w:val="bottom"/>
            <w:gridSpan w:val="2"/>
            <w:shd w:val="clear" w:color="auto" w:fill="C0C0C0"/>
          </w:tcPr>
          <w:p>
            <w:pPr>
              <w:jc w:val="center"/>
              <w:ind w:left="179"/>
              <w:spacing w:after="0"/>
              <w:rPr>
                <w:sz w:val="20"/>
                <w:szCs w:val="20"/>
                <w:color w:val="auto"/>
              </w:rPr>
            </w:pPr>
            <w:r>
              <w:rPr>
                <w:rFonts w:ascii="Arial" w:cs="Arial" w:eastAsia="Arial" w:hAnsi="Arial"/>
                <w:sz w:val="12"/>
                <w:szCs w:val="12"/>
                <w:color w:val="auto"/>
              </w:rPr>
              <w:t>$67,830</w:t>
            </w:r>
          </w:p>
        </w:tc>
        <w:tc>
          <w:tcPr>
            <w:tcW w:w="13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0</w:t>
            </w:r>
          </w:p>
        </w:tc>
        <w:tc>
          <w:tcPr>
            <w:tcW w:w="110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0</w:t>
            </w:r>
          </w:p>
        </w:tc>
        <w:tc>
          <w:tcPr>
            <w:tcW w:w="5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0C0C0"/>
          </w:tcPr>
          <w:p>
            <w:pPr>
              <w:jc w:val="right"/>
              <w:ind w:right="259"/>
              <w:spacing w:after="0"/>
              <w:rPr>
                <w:sz w:val="20"/>
                <w:szCs w:val="20"/>
                <w:color w:val="auto"/>
              </w:rPr>
            </w:pPr>
            <w:r>
              <w:rPr>
                <w:rFonts w:ascii="Arial" w:cs="Arial" w:eastAsia="Arial" w:hAnsi="Arial"/>
                <w:sz w:val="12"/>
                <w:szCs w:val="12"/>
                <w:color w:val="auto"/>
              </w:rPr>
              <w:t>7,699</w:t>
            </w:r>
          </w:p>
        </w:tc>
        <w:tc>
          <w:tcPr>
            <w:tcW w:w="760" w:type="dxa"/>
            <w:vAlign w:val="bottom"/>
            <w:gridSpan w:val="2"/>
            <w:shd w:val="clear" w:color="auto" w:fill="C0C0C0"/>
          </w:tcPr>
          <w:p>
            <w:pPr>
              <w:ind w:left="260"/>
              <w:spacing w:after="0"/>
              <w:rPr>
                <w:sz w:val="20"/>
                <w:szCs w:val="20"/>
                <w:color w:val="auto"/>
              </w:rPr>
            </w:pPr>
            <w:r>
              <w:rPr>
                <w:rFonts w:ascii="Arial" w:cs="Arial" w:eastAsia="Arial" w:hAnsi="Arial"/>
                <w:sz w:val="12"/>
                <w:szCs w:val="12"/>
                <w:color w:val="auto"/>
                <w:w w:val="95"/>
              </w:rPr>
              <w:t>$226,329</w:t>
            </w:r>
          </w:p>
        </w:tc>
      </w:tr>
      <w:tr>
        <w:trPr>
          <w:trHeight w:val="221"/>
        </w:trPr>
        <w:tc>
          <w:tcPr>
            <w:tcW w:w="4200" w:type="dxa"/>
            <w:vAlign w:val="bottom"/>
          </w:tcPr>
          <w:p>
            <w:pPr>
              <w:spacing w:after="0"/>
              <w:rPr>
                <w:sz w:val="20"/>
                <w:szCs w:val="20"/>
                <w:color w:val="auto"/>
              </w:rPr>
            </w:pPr>
            <w:r>
              <w:rPr>
                <w:rFonts w:ascii="Arial" w:cs="Arial" w:eastAsia="Arial" w:hAnsi="Arial"/>
                <w:sz w:val="12"/>
                <w:szCs w:val="12"/>
                <w:color w:val="auto"/>
              </w:rPr>
              <w:t>D. L. Boren</w:t>
            </w:r>
          </w:p>
        </w:tc>
        <w:tc>
          <w:tcPr>
            <w:tcW w:w="60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59"/>
              <w:spacing w:after="0"/>
              <w:rPr>
                <w:sz w:val="20"/>
                <w:szCs w:val="20"/>
                <w:color w:val="auto"/>
              </w:rPr>
            </w:pPr>
            <w:r>
              <w:rPr>
                <w:rFonts w:ascii="Arial" w:cs="Arial" w:eastAsia="Arial" w:hAnsi="Arial"/>
                <w:sz w:val="12"/>
                <w:szCs w:val="12"/>
                <w:color w:val="auto"/>
              </w:rPr>
              <w:t>90,002</w:t>
            </w:r>
          </w:p>
        </w:tc>
        <w:tc>
          <w:tcPr>
            <w:tcW w:w="700" w:type="dxa"/>
            <w:vAlign w:val="bottom"/>
            <w:gridSpan w:val="2"/>
          </w:tcPr>
          <w:p>
            <w:pPr>
              <w:jc w:val="center"/>
              <w:ind w:left="199"/>
              <w:spacing w:after="0"/>
              <w:rPr>
                <w:sz w:val="20"/>
                <w:szCs w:val="20"/>
                <w:color w:val="auto"/>
              </w:rPr>
            </w:pPr>
            <w:r>
              <w:rPr>
                <w:rFonts w:ascii="Arial" w:cs="Arial" w:eastAsia="Arial" w:hAnsi="Arial"/>
                <w:sz w:val="12"/>
                <w:szCs w:val="12"/>
                <w:color w:val="auto"/>
              </w:rPr>
              <w:t>$70,800</w:t>
            </w:r>
          </w:p>
        </w:tc>
        <w:tc>
          <w:tcPr>
            <w:tcW w:w="700" w:type="dxa"/>
            <w:vAlign w:val="bottom"/>
            <w:gridSpan w:val="2"/>
          </w:tcPr>
          <w:p>
            <w:pPr>
              <w:jc w:val="center"/>
              <w:ind w:left="179"/>
              <w:spacing w:after="0"/>
              <w:rPr>
                <w:sz w:val="20"/>
                <w:szCs w:val="20"/>
                <w:color w:val="auto"/>
              </w:rPr>
            </w:pPr>
            <w:r>
              <w:rPr>
                <w:rFonts w:ascii="Arial" w:cs="Arial" w:eastAsia="Arial" w:hAnsi="Arial"/>
                <w:sz w:val="12"/>
                <w:szCs w:val="12"/>
                <w:color w:val="auto"/>
              </w:rPr>
              <w:t>$67,830</w:t>
            </w:r>
          </w:p>
        </w:tc>
        <w:tc>
          <w:tcPr>
            <w:tcW w:w="1340" w:type="dxa"/>
            <w:vAlign w:val="bottom"/>
            <w:gridSpan w:val="2"/>
          </w:tcPr>
          <w:p>
            <w:pPr>
              <w:jc w:val="center"/>
              <w:ind w:left="119"/>
              <w:spacing w:after="0"/>
              <w:rPr>
                <w:sz w:val="20"/>
                <w:szCs w:val="20"/>
                <w:color w:val="auto"/>
              </w:rPr>
            </w:pPr>
            <w:r>
              <w:rPr>
                <w:rFonts w:ascii="Arial" w:cs="Arial" w:eastAsia="Arial" w:hAnsi="Arial"/>
                <w:sz w:val="12"/>
                <w:szCs w:val="12"/>
                <w:color w:val="auto"/>
              </w:rPr>
              <w:t>0</w:t>
            </w:r>
          </w:p>
        </w:tc>
        <w:tc>
          <w:tcPr>
            <w:tcW w:w="1100" w:type="dxa"/>
            <w:vAlign w:val="bottom"/>
            <w:gridSpan w:val="2"/>
          </w:tcPr>
          <w:p>
            <w:pPr>
              <w:jc w:val="center"/>
              <w:ind w:left="119"/>
              <w:spacing w:after="0"/>
              <w:rPr>
                <w:sz w:val="20"/>
                <w:szCs w:val="20"/>
                <w:color w:val="auto"/>
              </w:rPr>
            </w:pPr>
            <w:r>
              <w:rPr>
                <w:rFonts w:ascii="Arial" w:cs="Arial" w:eastAsia="Arial" w:hAnsi="Arial"/>
                <w:sz w:val="12"/>
                <w:szCs w:val="12"/>
                <w:color w:val="auto"/>
              </w:rPr>
              <w:t>0</w:t>
            </w:r>
          </w:p>
        </w:tc>
        <w:tc>
          <w:tcPr>
            <w:tcW w:w="1260" w:type="dxa"/>
            <w:vAlign w:val="bottom"/>
            <w:gridSpan w:val="3"/>
          </w:tcPr>
          <w:p>
            <w:pPr>
              <w:jc w:val="right"/>
              <w:ind w:right="259"/>
              <w:spacing w:after="0"/>
              <w:rPr>
                <w:sz w:val="20"/>
                <w:szCs w:val="20"/>
                <w:color w:val="auto"/>
              </w:rPr>
            </w:pPr>
            <w:r>
              <w:rPr>
                <w:rFonts w:ascii="Arial" w:cs="Arial" w:eastAsia="Arial" w:hAnsi="Arial"/>
                <w:sz w:val="12"/>
                <w:szCs w:val="12"/>
                <w:color w:val="auto"/>
              </w:rPr>
              <w:t>$20,290</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w w:val="95"/>
              </w:rPr>
              <w:t>$248,922</w:t>
            </w:r>
          </w:p>
        </w:tc>
      </w:tr>
      <w:tr>
        <w:trPr>
          <w:trHeight w:val="221"/>
        </w:trPr>
        <w:tc>
          <w:tcPr>
            <w:tcW w:w="4200" w:type="dxa"/>
            <w:vAlign w:val="bottom"/>
            <w:shd w:val="clear" w:color="auto" w:fill="C0C0C0"/>
          </w:tcPr>
          <w:p>
            <w:pPr>
              <w:spacing w:after="0"/>
              <w:rPr>
                <w:sz w:val="20"/>
                <w:szCs w:val="20"/>
                <w:color w:val="auto"/>
              </w:rPr>
            </w:pPr>
            <w:r>
              <w:rPr>
                <w:rFonts w:ascii="Arial" w:cs="Arial" w:eastAsia="Arial" w:hAnsi="Arial"/>
                <w:sz w:val="12"/>
                <w:szCs w:val="12"/>
                <w:color w:val="auto"/>
              </w:rPr>
              <w:t>D. A. Carp</w:t>
            </w:r>
          </w:p>
        </w:tc>
        <w:tc>
          <w:tcPr>
            <w:tcW w:w="600" w:type="dxa"/>
            <w:vAlign w:val="bottom"/>
            <w:gridSpan w:val="2"/>
            <w:shd w:val="clear" w:color="auto" w:fill="C0C0C0"/>
          </w:tcPr>
          <w:p>
            <w:pPr>
              <w:ind w:left="5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0C0C0"/>
          </w:tcPr>
          <w:p>
            <w:pPr>
              <w:jc w:val="right"/>
              <w:ind w:right="259"/>
              <w:spacing w:after="0"/>
              <w:rPr>
                <w:sz w:val="20"/>
                <w:szCs w:val="20"/>
                <w:color w:val="auto"/>
              </w:rPr>
            </w:pPr>
            <w:r>
              <w:rPr>
                <w:rFonts w:ascii="Arial" w:cs="Arial" w:eastAsia="Arial" w:hAnsi="Arial"/>
                <w:sz w:val="12"/>
                <w:szCs w:val="12"/>
                <w:color w:val="auto"/>
              </w:rPr>
              <w:t>90,000</w:t>
            </w:r>
          </w:p>
        </w:tc>
        <w:tc>
          <w:tcPr>
            <w:tcW w:w="700" w:type="dxa"/>
            <w:vAlign w:val="bottom"/>
            <w:gridSpan w:val="2"/>
            <w:shd w:val="clear" w:color="auto" w:fill="C0C0C0"/>
          </w:tcPr>
          <w:p>
            <w:pPr>
              <w:jc w:val="center"/>
              <w:ind w:left="199"/>
              <w:spacing w:after="0"/>
              <w:rPr>
                <w:sz w:val="20"/>
                <w:szCs w:val="20"/>
                <w:color w:val="auto"/>
              </w:rPr>
            </w:pPr>
            <w:r>
              <w:rPr>
                <w:rFonts w:ascii="Arial" w:cs="Arial" w:eastAsia="Arial" w:hAnsi="Arial"/>
                <w:sz w:val="12"/>
                <w:szCs w:val="12"/>
                <w:color w:val="auto"/>
              </w:rPr>
              <w:t>$70,800</w:t>
            </w:r>
          </w:p>
        </w:tc>
        <w:tc>
          <w:tcPr>
            <w:tcW w:w="700" w:type="dxa"/>
            <w:vAlign w:val="bottom"/>
            <w:gridSpan w:val="2"/>
            <w:shd w:val="clear" w:color="auto" w:fill="C0C0C0"/>
          </w:tcPr>
          <w:p>
            <w:pPr>
              <w:jc w:val="center"/>
              <w:ind w:left="179"/>
              <w:spacing w:after="0"/>
              <w:rPr>
                <w:sz w:val="20"/>
                <w:szCs w:val="20"/>
                <w:color w:val="auto"/>
              </w:rPr>
            </w:pPr>
            <w:r>
              <w:rPr>
                <w:rFonts w:ascii="Arial" w:cs="Arial" w:eastAsia="Arial" w:hAnsi="Arial"/>
                <w:sz w:val="12"/>
                <w:szCs w:val="12"/>
                <w:color w:val="auto"/>
              </w:rPr>
              <w:t>$67,830</w:t>
            </w:r>
          </w:p>
        </w:tc>
        <w:tc>
          <w:tcPr>
            <w:tcW w:w="13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0</w:t>
            </w:r>
          </w:p>
        </w:tc>
        <w:tc>
          <w:tcPr>
            <w:tcW w:w="110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0</w:t>
            </w:r>
          </w:p>
        </w:tc>
        <w:tc>
          <w:tcPr>
            <w:tcW w:w="1260" w:type="dxa"/>
            <w:vAlign w:val="bottom"/>
            <w:gridSpan w:val="3"/>
            <w:shd w:val="clear" w:color="auto" w:fill="C0C0C0"/>
          </w:tcPr>
          <w:p>
            <w:pPr>
              <w:jc w:val="right"/>
              <w:ind w:right="259"/>
              <w:spacing w:after="0"/>
              <w:rPr>
                <w:sz w:val="20"/>
                <w:szCs w:val="20"/>
                <w:color w:val="auto"/>
              </w:rPr>
            </w:pPr>
            <w:r>
              <w:rPr>
                <w:rFonts w:ascii="Arial" w:cs="Arial" w:eastAsia="Arial" w:hAnsi="Arial"/>
                <w:sz w:val="12"/>
                <w:szCs w:val="12"/>
                <w:color w:val="auto"/>
              </w:rPr>
              <w:t>$12,227</w:t>
            </w:r>
          </w:p>
        </w:tc>
        <w:tc>
          <w:tcPr>
            <w:tcW w:w="760" w:type="dxa"/>
            <w:vAlign w:val="bottom"/>
            <w:gridSpan w:val="2"/>
            <w:shd w:val="clear" w:color="auto" w:fill="C0C0C0"/>
          </w:tcPr>
          <w:p>
            <w:pPr>
              <w:ind w:left="260"/>
              <w:spacing w:after="0"/>
              <w:rPr>
                <w:sz w:val="20"/>
                <w:szCs w:val="20"/>
                <w:color w:val="auto"/>
              </w:rPr>
            </w:pPr>
            <w:r>
              <w:rPr>
                <w:rFonts w:ascii="Arial" w:cs="Arial" w:eastAsia="Arial" w:hAnsi="Arial"/>
                <w:sz w:val="12"/>
                <w:szCs w:val="12"/>
                <w:color w:val="auto"/>
                <w:w w:val="95"/>
              </w:rPr>
              <w:t>$240,857</w:t>
            </w:r>
          </w:p>
        </w:tc>
      </w:tr>
      <w:tr>
        <w:trPr>
          <w:trHeight w:val="221"/>
        </w:trPr>
        <w:tc>
          <w:tcPr>
            <w:tcW w:w="4200" w:type="dxa"/>
            <w:vAlign w:val="bottom"/>
          </w:tcPr>
          <w:p>
            <w:pPr>
              <w:spacing w:after="0"/>
              <w:rPr>
                <w:sz w:val="20"/>
                <w:szCs w:val="20"/>
                <w:color w:val="auto"/>
              </w:rPr>
            </w:pPr>
            <w:r>
              <w:rPr>
                <w:rFonts w:ascii="Arial" w:cs="Arial" w:eastAsia="Arial" w:hAnsi="Arial"/>
                <w:sz w:val="12"/>
                <w:szCs w:val="12"/>
                <w:color w:val="auto"/>
              </w:rPr>
              <w:t>C. S. Cox</w:t>
            </w:r>
          </w:p>
        </w:tc>
        <w:tc>
          <w:tcPr>
            <w:tcW w:w="60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59"/>
              <w:spacing w:after="0"/>
              <w:rPr>
                <w:sz w:val="20"/>
                <w:szCs w:val="20"/>
                <w:color w:val="auto"/>
              </w:rPr>
            </w:pPr>
            <w:r>
              <w:rPr>
                <w:rFonts w:ascii="Arial" w:cs="Arial" w:eastAsia="Arial" w:hAnsi="Arial"/>
                <w:sz w:val="12"/>
                <w:szCs w:val="12"/>
                <w:color w:val="auto"/>
              </w:rPr>
              <w:t>80,000</w:t>
            </w:r>
          </w:p>
        </w:tc>
        <w:tc>
          <w:tcPr>
            <w:tcW w:w="700" w:type="dxa"/>
            <w:vAlign w:val="bottom"/>
            <w:gridSpan w:val="2"/>
          </w:tcPr>
          <w:p>
            <w:pPr>
              <w:jc w:val="center"/>
              <w:ind w:left="199"/>
              <w:spacing w:after="0"/>
              <w:rPr>
                <w:sz w:val="20"/>
                <w:szCs w:val="20"/>
                <w:color w:val="auto"/>
              </w:rPr>
            </w:pPr>
            <w:r>
              <w:rPr>
                <w:rFonts w:ascii="Arial" w:cs="Arial" w:eastAsia="Arial" w:hAnsi="Arial"/>
                <w:sz w:val="12"/>
                <w:szCs w:val="12"/>
                <w:color w:val="auto"/>
              </w:rPr>
              <w:t>$64,900</w:t>
            </w:r>
          </w:p>
        </w:tc>
        <w:tc>
          <w:tcPr>
            <w:tcW w:w="700" w:type="dxa"/>
            <w:vAlign w:val="bottom"/>
            <w:gridSpan w:val="2"/>
          </w:tcPr>
          <w:p>
            <w:pPr>
              <w:jc w:val="center"/>
              <w:ind w:left="179"/>
              <w:spacing w:after="0"/>
              <w:rPr>
                <w:sz w:val="20"/>
                <w:szCs w:val="20"/>
                <w:color w:val="auto"/>
              </w:rPr>
            </w:pPr>
            <w:r>
              <w:rPr>
                <w:rFonts w:ascii="Arial" w:cs="Arial" w:eastAsia="Arial" w:hAnsi="Arial"/>
                <w:sz w:val="12"/>
                <w:szCs w:val="12"/>
                <w:color w:val="auto"/>
              </w:rPr>
              <w:t>$76,990</w:t>
            </w:r>
          </w:p>
        </w:tc>
        <w:tc>
          <w:tcPr>
            <w:tcW w:w="1340" w:type="dxa"/>
            <w:vAlign w:val="bottom"/>
            <w:gridSpan w:val="2"/>
          </w:tcPr>
          <w:p>
            <w:pPr>
              <w:jc w:val="center"/>
              <w:ind w:left="119"/>
              <w:spacing w:after="0"/>
              <w:rPr>
                <w:sz w:val="20"/>
                <w:szCs w:val="20"/>
                <w:color w:val="auto"/>
              </w:rPr>
            </w:pPr>
            <w:r>
              <w:rPr>
                <w:rFonts w:ascii="Arial" w:cs="Arial" w:eastAsia="Arial" w:hAnsi="Arial"/>
                <w:sz w:val="12"/>
                <w:szCs w:val="12"/>
                <w:color w:val="auto"/>
              </w:rPr>
              <w:t>0</w:t>
            </w:r>
          </w:p>
        </w:tc>
        <w:tc>
          <w:tcPr>
            <w:tcW w:w="1100" w:type="dxa"/>
            <w:vAlign w:val="bottom"/>
            <w:gridSpan w:val="2"/>
          </w:tcPr>
          <w:p>
            <w:pPr>
              <w:jc w:val="center"/>
              <w:ind w:left="119"/>
              <w:spacing w:after="0"/>
              <w:rPr>
                <w:sz w:val="20"/>
                <w:szCs w:val="20"/>
                <w:color w:val="auto"/>
              </w:rPr>
            </w:pPr>
            <w:r>
              <w:rPr>
                <w:rFonts w:ascii="Arial" w:cs="Arial" w:eastAsia="Arial" w:hAnsi="Arial"/>
                <w:sz w:val="12"/>
                <w:szCs w:val="12"/>
                <w:color w:val="auto"/>
              </w:rPr>
              <w:t>0</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59"/>
              <w:spacing w:after="0"/>
              <w:rPr>
                <w:sz w:val="20"/>
                <w:szCs w:val="20"/>
                <w:color w:val="auto"/>
              </w:rPr>
            </w:pPr>
            <w:r>
              <w:rPr>
                <w:rFonts w:ascii="Arial" w:cs="Arial" w:eastAsia="Arial" w:hAnsi="Arial"/>
                <w:sz w:val="12"/>
                <w:szCs w:val="12"/>
                <w:color w:val="auto"/>
              </w:rPr>
              <w:t>1,450</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w w:val="95"/>
              </w:rPr>
              <w:t>$223,340</w:t>
            </w:r>
          </w:p>
        </w:tc>
      </w:tr>
      <w:tr>
        <w:trPr>
          <w:trHeight w:val="221"/>
        </w:trPr>
        <w:tc>
          <w:tcPr>
            <w:tcW w:w="4200" w:type="dxa"/>
            <w:vAlign w:val="bottom"/>
            <w:shd w:val="clear" w:color="auto" w:fill="C0C0C0"/>
          </w:tcPr>
          <w:p>
            <w:pPr>
              <w:spacing w:after="0"/>
              <w:rPr>
                <w:sz w:val="20"/>
                <w:szCs w:val="20"/>
                <w:color w:val="auto"/>
              </w:rPr>
            </w:pPr>
            <w:r>
              <w:rPr>
                <w:rFonts w:ascii="Arial" w:cs="Arial" w:eastAsia="Arial" w:hAnsi="Arial"/>
                <w:sz w:val="12"/>
                <w:szCs w:val="12"/>
                <w:color w:val="auto"/>
              </w:rPr>
              <w:t>G. W. Fronterhouse (1)</w:t>
            </w:r>
          </w:p>
        </w:tc>
        <w:tc>
          <w:tcPr>
            <w:tcW w:w="600" w:type="dxa"/>
            <w:vAlign w:val="bottom"/>
            <w:gridSpan w:val="2"/>
            <w:shd w:val="clear" w:color="auto" w:fill="C0C0C0"/>
          </w:tcPr>
          <w:p>
            <w:pPr>
              <w:ind w:left="5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0C0C0"/>
          </w:tcPr>
          <w:p>
            <w:pPr>
              <w:jc w:val="right"/>
              <w:ind w:right="259"/>
              <w:spacing w:after="0"/>
              <w:rPr>
                <w:sz w:val="20"/>
                <w:szCs w:val="20"/>
                <w:color w:val="auto"/>
              </w:rPr>
            </w:pPr>
            <w:r>
              <w:rPr>
                <w:rFonts w:ascii="Arial" w:cs="Arial" w:eastAsia="Arial" w:hAnsi="Arial"/>
                <w:sz w:val="12"/>
                <w:szCs w:val="12"/>
                <w:color w:val="auto"/>
              </w:rPr>
              <w:t>26,668</w:t>
            </w:r>
          </w:p>
        </w:tc>
        <w:tc>
          <w:tcPr>
            <w:tcW w:w="700" w:type="dxa"/>
            <w:vAlign w:val="bottom"/>
            <w:gridSpan w:val="2"/>
            <w:shd w:val="clear" w:color="auto" w:fill="C0C0C0"/>
          </w:tcPr>
          <w:p>
            <w:pPr>
              <w:jc w:val="center"/>
              <w:ind w:left="199"/>
              <w:spacing w:after="0"/>
              <w:rPr>
                <w:sz w:val="20"/>
                <w:szCs w:val="20"/>
                <w:color w:val="auto"/>
              </w:rPr>
            </w:pPr>
            <w:r>
              <w:rPr>
                <w:rFonts w:ascii="Arial" w:cs="Arial" w:eastAsia="Arial" w:hAnsi="Arial"/>
                <w:sz w:val="12"/>
                <w:szCs w:val="12"/>
                <w:color w:val="auto"/>
              </w:rPr>
              <w:t>$70,800</w:t>
            </w:r>
          </w:p>
        </w:tc>
        <w:tc>
          <w:tcPr>
            <w:tcW w:w="700" w:type="dxa"/>
            <w:vAlign w:val="bottom"/>
            <w:gridSpan w:val="2"/>
            <w:shd w:val="clear" w:color="auto" w:fill="C0C0C0"/>
          </w:tcPr>
          <w:p>
            <w:pPr>
              <w:jc w:val="center"/>
              <w:ind w:left="179"/>
              <w:spacing w:after="0"/>
              <w:rPr>
                <w:sz w:val="20"/>
                <w:szCs w:val="20"/>
                <w:color w:val="auto"/>
              </w:rPr>
            </w:pPr>
            <w:r>
              <w:rPr>
                <w:rFonts w:ascii="Arial" w:cs="Arial" w:eastAsia="Arial" w:hAnsi="Arial"/>
                <w:sz w:val="12"/>
                <w:szCs w:val="12"/>
                <w:color w:val="auto"/>
              </w:rPr>
              <w:t>$67,830</w:t>
            </w:r>
          </w:p>
        </w:tc>
        <w:tc>
          <w:tcPr>
            <w:tcW w:w="13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0</w:t>
            </w:r>
          </w:p>
        </w:tc>
        <w:tc>
          <w:tcPr>
            <w:tcW w:w="110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0</w:t>
            </w:r>
          </w:p>
        </w:tc>
        <w:tc>
          <w:tcPr>
            <w:tcW w:w="5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0C0C0"/>
          </w:tcPr>
          <w:p>
            <w:pPr>
              <w:jc w:val="right"/>
              <w:ind w:right="259"/>
              <w:spacing w:after="0"/>
              <w:rPr>
                <w:sz w:val="20"/>
                <w:szCs w:val="20"/>
                <w:color w:val="auto"/>
              </w:rPr>
            </w:pPr>
            <w:r>
              <w:rPr>
                <w:rFonts w:ascii="Arial" w:cs="Arial" w:eastAsia="Arial" w:hAnsi="Arial"/>
                <w:sz w:val="12"/>
                <w:szCs w:val="12"/>
                <w:color w:val="auto"/>
              </w:rPr>
              <w:t>6,796</w:t>
            </w:r>
          </w:p>
        </w:tc>
        <w:tc>
          <w:tcPr>
            <w:tcW w:w="760" w:type="dxa"/>
            <w:vAlign w:val="bottom"/>
            <w:gridSpan w:val="2"/>
            <w:shd w:val="clear" w:color="auto" w:fill="C0C0C0"/>
          </w:tcPr>
          <w:p>
            <w:pPr>
              <w:ind w:left="260"/>
              <w:spacing w:after="0"/>
              <w:rPr>
                <w:sz w:val="20"/>
                <w:szCs w:val="20"/>
                <w:color w:val="auto"/>
              </w:rPr>
            </w:pPr>
            <w:r>
              <w:rPr>
                <w:rFonts w:ascii="Arial" w:cs="Arial" w:eastAsia="Arial" w:hAnsi="Arial"/>
                <w:sz w:val="12"/>
                <w:szCs w:val="12"/>
                <w:color w:val="auto"/>
                <w:w w:val="95"/>
              </w:rPr>
              <w:t>$172,094</w:t>
            </w:r>
          </w:p>
        </w:tc>
      </w:tr>
      <w:tr>
        <w:trPr>
          <w:trHeight w:val="221"/>
        </w:trPr>
        <w:tc>
          <w:tcPr>
            <w:tcW w:w="4200" w:type="dxa"/>
            <w:vAlign w:val="bottom"/>
          </w:tcPr>
          <w:p>
            <w:pPr>
              <w:spacing w:after="0"/>
              <w:rPr>
                <w:sz w:val="20"/>
                <w:szCs w:val="20"/>
                <w:color w:val="auto"/>
              </w:rPr>
            </w:pPr>
            <w:r>
              <w:rPr>
                <w:rFonts w:ascii="Arial" w:cs="Arial" w:eastAsia="Arial" w:hAnsi="Arial"/>
                <w:sz w:val="12"/>
                <w:szCs w:val="12"/>
                <w:color w:val="auto"/>
              </w:rPr>
              <w:t>D. R. Goode</w:t>
            </w:r>
          </w:p>
        </w:tc>
        <w:tc>
          <w:tcPr>
            <w:tcW w:w="60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59"/>
              <w:spacing w:after="0"/>
              <w:rPr>
                <w:sz w:val="20"/>
                <w:szCs w:val="20"/>
                <w:color w:val="auto"/>
              </w:rPr>
            </w:pPr>
            <w:r>
              <w:rPr>
                <w:rFonts w:ascii="Arial" w:cs="Arial" w:eastAsia="Arial" w:hAnsi="Arial"/>
                <w:sz w:val="12"/>
                <w:szCs w:val="12"/>
                <w:color w:val="auto"/>
              </w:rPr>
              <w:t>80,000</w:t>
            </w:r>
          </w:p>
        </w:tc>
        <w:tc>
          <w:tcPr>
            <w:tcW w:w="700" w:type="dxa"/>
            <w:vAlign w:val="bottom"/>
            <w:gridSpan w:val="2"/>
          </w:tcPr>
          <w:p>
            <w:pPr>
              <w:jc w:val="center"/>
              <w:ind w:left="199"/>
              <w:spacing w:after="0"/>
              <w:rPr>
                <w:sz w:val="20"/>
                <w:szCs w:val="20"/>
                <w:color w:val="auto"/>
              </w:rPr>
            </w:pPr>
            <w:r>
              <w:rPr>
                <w:rFonts w:ascii="Arial" w:cs="Arial" w:eastAsia="Arial" w:hAnsi="Arial"/>
                <w:sz w:val="12"/>
                <w:szCs w:val="12"/>
                <w:color w:val="auto"/>
              </w:rPr>
              <w:t>$70,800</w:t>
            </w:r>
          </w:p>
        </w:tc>
        <w:tc>
          <w:tcPr>
            <w:tcW w:w="700" w:type="dxa"/>
            <w:vAlign w:val="bottom"/>
            <w:gridSpan w:val="2"/>
          </w:tcPr>
          <w:p>
            <w:pPr>
              <w:jc w:val="center"/>
              <w:ind w:left="179"/>
              <w:spacing w:after="0"/>
              <w:rPr>
                <w:sz w:val="20"/>
                <w:szCs w:val="20"/>
                <w:color w:val="auto"/>
              </w:rPr>
            </w:pPr>
            <w:r>
              <w:rPr>
                <w:rFonts w:ascii="Arial" w:cs="Arial" w:eastAsia="Arial" w:hAnsi="Arial"/>
                <w:sz w:val="12"/>
                <w:szCs w:val="12"/>
                <w:color w:val="auto"/>
              </w:rPr>
              <w:t>$67,830</w:t>
            </w:r>
          </w:p>
        </w:tc>
        <w:tc>
          <w:tcPr>
            <w:tcW w:w="1340" w:type="dxa"/>
            <w:vAlign w:val="bottom"/>
            <w:gridSpan w:val="2"/>
          </w:tcPr>
          <w:p>
            <w:pPr>
              <w:jc w:val="center"/>
              <w:ind w:left="119"/>
              <w:spacing w:after="0"/>
              <w:rPr>
                <w:sz w:val="20"/>
                <w:szCs w:val="20"/>
                <w:color w:val="auto"/>
              </w:rPr>
            </w:pPr>
            <w:r>
              <w:rPr>
                <w:rFonts w:ascii="Arial" w:cs="Arial" w:eastAsia="Arial" w:hAnsi="Arial"/>
                <w:sz w:val="12"/>
                <w:szCs w:val="12"/>
                <w:color w:val="auto"/>
              </w:rPr>
              <w:t>0</w:t>
            </w:r>
          </w:p>
        </w:tc>
        <w:tc>
          <w:tcPr>
            <w:tcW w:w="1100" w:type="dxa"/>
            <w:vAlign w:val="bottom"/>
            <w:gridSpan w:val="2"/>
          </w:tcPr>
          <w:p>
            <w:pPr>
              <w:jc w:val="center"/>
              <w:ind w:left="119"/>
              <w:spacing w:after="0"/>
              <w:rPr>
                <w:sz w:val="20"/>
                <w:szCs w:val="20"/>
                <w:color w:val="auto"/>
              </w:rPr>
            </w:pPr>
            <w:r>
              <w:rPr>
                <w:rFonts w:ascii="Arial" w:cs="Arial" w:eastAsia="Arial" w:hAnsi="Arial"/>
                <w:sz w:val="12"/>
                <w:szCs w:val="12"/>
                <w:color w:val="auto"/>
              </w:rPr>
              <w:t>0</w:t>
            </w:r>
          </w:p>
        </w:tc>
        <w:tc>
          <w:tcPr>
            <w:tcW w:w="1260" w:type="dxa"/>
            <w:vAlign w:val="bottom"/>
            <w:gridSpan w:val="3"/>
          </w:tcPr>
          <w:p>
            <w:pPr>
              <w:jc w:val="right"/>
              <w:ind w:right="259"/>
              <w:spacing w:after="0"/>
              <w:rPr>
                <w:sz w:val="20"/>
                <w:szCs w:val="20"/>
                <w:color w:val="auto"/>
              </w:rPr>
            </w:pPr>
            <w:r>
              <w:rPr>
                <w:rFonts w:ascii="Arial" w:cs="Arial" w:eastAsia="Arial" w:hAnsi="Arial"/>
                <w:sz w:val="12"/>
                <w:szCs w:val="12"/>
                <w:color w:val="auto"/>
              </w:rPr>
              <w:t>$17,146</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w w:val="95"/>
              </w:rPr>
              <w:t>$235,776</w:t>
            </w:r>
          </w:p>
        </w:tc>
      </w:tr>
      <w:tr>
        <w:trPr>
          <w:trHeight w:val="221"/>
        </w:trPr>
        <w:tc>
          <w:tcPr>
            <w:tcW w:w="4200" w:type="dxa"/>
            <w:vAlign w:val="bottom"/>
            <w:shd w:val="clear" w:color="auto" w:fill="C0C0C0"/>
          </w:tcPr>
          <w:p>
            <w:pPr>
              <w:spacing w:after="0"/>
              <w:rPr>
                <w:sz w:val="20"/>
                <w:szCs w:val="20"/>
                <w:color w:val="auto"/>
              </w:rPr>
            </w:pPr>
            <w:r>
              <w:rPr>
                <w:rFonts w:ascii="Arial" w:cs="Arial" w:eastAsia="Arial" w:hAnsi="Arial"/>
                <w:sz w:val="12"/>
                <w:szCs w:val="12"/>
                <w:color w:val="auto"/>
              </w:rPr>
              <w:t>P. H. Patsley</w:t>
            </w:r>
          </w:p>
        </w:tc>
        <w:tc>
          <w:tcPr>
            <w:tcW w:w="1360" w:type="dxa"/>
            <w:vAlign w:val="bottom"/>
            <w:gridSpan w:val="3"/>
            <w:shd w:val="clear" w:color="auto" w:fill="C0C0C0"/>
          </w:tcPr>
          <w:p>
            <w:pPr>
              <w:jc w:val="right"/>
              <w:ind w:right="259"/>
              <w:spacing w:after="0" w:line="22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100,000</w:t>
            </w:r>
          </w:p>
        </w:tc>
        <w:tc>
          <w:tcPr>
            <w:tcW w:w="700" w:type="dxa"/>
            <w:vAlign w:val="bottom"/>
            <w:gridSpan w:val="2"/>
            <w:shd w:val="clear" w:color="auto" w:fill="C0C0C0"/>
          </w:tcPr>
          <w:p>
            <w:pPr>
              <w:jc w:val="center"/>
              <w:ind w:left="199"/>
              <w:spacing w:after="0"/>
              <w:rPr>
                <w:sz w:val="20"/>
                <w:szCs w:val="20"/>
                <w:color w:val="auto"/>
              </w:rPr>
            </w:pPr>
            <w:r>
              <w:rPr>
                <w:rFonts w:ascii="Arial" w:cs="Arial" w:eastAsia="Arial" w:hAnsi="Arial"/>
                <w:sz w:val="12"/>
                <w:szCs w:val="12"/>
                <w:color w:val="auto"/>
              </w:rPr>
              <w:t>$64,900</w:t>
            </w:r>
          </w:p>
        </w:tc>
        <w:tc>
          <w:tcPr>
            <w:tcW w:w="700" w:type="dxa"/>
            <w:vAlign w:val="bottom"/>
            <w:gridSpan w:val="2"/>
            <w:shd w:val="clear" w:color="auto" w:fill="C0C0C0"/>
          </w:tcPr>
          <w:p>
            <w:pPr>
              <w:jc w:val="center"/>
              <w:ind w:left="179"/>
              <w:spacing w:after="0"/>
              <w:rPr>
                <w:sz w:val="20"/>
                <w:szCs w:val="20"/>
                <w:color w:val="auto"/>
              </w:rPr>
            </w:pPr>
            <w:r>
              <w:rPr>
                <w:rFonts w:ascii="Arial" w:cs="Arial" w:eastAsia="Arial" w:hAnsi="Arial"/>
                <w:sz w:val="12"/>
                <w:szCs w:val="12"/>
                <w:color w:val="auto"/>
              </w:rPr>
              <w:t>$76,990</w:t>
            </w:r>
          </w:p>
        </w:tc>
        <w:tc>
          <w:tcPr>
            <w:tcW w:w="13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0</w:t>
            </w:r>
          </w:p>
        </w:tc>
        <w:tc>
          <w:tcPr>
            <w:tcW w:w="110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0</w:t>
            </w:r>
          </w:p>
        </w:tc>
        <w:tc>
          <w:tcPr>
            <w:tcW w:w="5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0C0C0"/>
          </w:tcPr>
          <w:p>
            <w:pPr>
              <w:jc w:val="right"/>
              <w:ind w:right="259"/>
              <w:spacing w:after="0"/>
              <w:rPr>
                <w:sz w:val="20"/>
                <w:szCs w:val="20"/>
                <w:color w:val="auto"/>
              </w:rPr>
            </w:pPr>
            <w:r>
              <w:rPr>
                <w:rFonts w:ascii="Arial" w:cs="Arial" w:eastAsia="Arial" w:hAnsi="Arial"/>
                <w:sz w:val="12"/>
                <w:szCs w:val="12"/>
                <w:color w:val="auto"/>
              </w:rPr>
              <w:t>1,450</w:t>
            </w:r>
          </w:p>
        </w:tc>
        <w:tc>
          <w:tcPr>
            <w:tcW w:w="760" w:type="dxa"/>
            <w:vAlign w:val="bottom"/>
            <w:gridSpan w:val="2"/>
            <w:shd w:val="clear" w:color="auto" w:fill="C0C0C0"/>
          </w:tcPr>
          <w:p>
            <w:pPr>
              <w:ind w:left="260"/>
              <w:spacing w:after="0"/>
              <w:rPr>
                <w:sz w:val="20"/>
                <w:szCs w:val="20"/>
                <w:color w:val="auto"/>
              </w:rPr>
            </w:pPr>
            <w:r>
              <w:rPr>
                <w:rFonts w:ascii="Arial" w:cs="Arial" w:eastAsia="Arial" w:hAnsi="Arial"/>
                <w:sz w:val="12"/>
                <w:szCs w:val="12"/>
                <w:color w:val="auto"/>
                <w:w w:val="95"/>
              </w:rPr>
              <w:t>$243,340</w:t>
            </w:r>
          </w:p>
        </w:tc>
      </w:tr>
      <w:tr>
        <w:trPr>
          <w:trHeight w:val="221"/>
        </w:trPr>
        <w:tc>
          <w:tcPr>
            <w:tcW w:w="4200" w:type="dxa"/>
            <w:vAlign w:val="bottom"/>
          </w:tcPr>
          <w:p>
            <w:pPr>
              <w:spacing w:after="0"/>
              <w:rPr>
                <w:sz w:val="20"/>
                <w:szCs w:val="20"/>
                <w:color w:val="auto"/>
              </w:rPr>
            </w:pPr>
            <w:r>
              <w:rPr>
                <w:rFonts w:ascii="Arial" w:cs="Arial" w:eastAsia="Arial" w:hAnsi="Arial"/>
                <w:sz w:val="12"/>
                <w:szCs w:val="12"/>
                <w:color w:val="auto"/>
              </w:rPr>
              <w:t>W. R. Sanders</w:t>
            </w:r>
          </w:p>
        </w:tc>
        <w:tc>
          <w:tcPr>
            <w:tcW w:w="60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59"/>
              <w:spacing w:after="0"/>
              <w:rPr>
                <w:sz w:val="20"/>
                <w:szCs w:val="20"/>
                <w:color w:val="auto"/>
              </w:rPr>
            </w:pPr>
            <w:r>
              <w:rPr>
                <w:rFonts w:ascii="Arial" w:cs="Arial" w:eastAsia="Arial" w:hAnsi="Arial"/>
                <w:sz w:val="12"/>
                <w:szCs w:val="12"/>
                <w:color w:val="auto"/>
              </w:rPr>
              <w:t>80,000</w:t>
            </w:r>
          </w:p>
        </w:tc>
        <w:tc>
          <w:tcPr>
            <w:tcW w:w="700" w:type="dxa"/>
            <w:vAlign w:val="bottom"/>
            <w:gridSpan w:val="2"/>
          </w:tcPr>
          <w:p>
            <w:pPr>
              <w:jc w:val="center"/>
              <w:ind w:left="199"/>
              <w:spacing w:after="0"/>
              <w:rPr>
                <w:sz w:val="20"/>
                <w:szCs w:val="20"/>
                <w:color w:val="auto"/>
              </w:rPr>
            </w:pPr>
            <w:r>
              <w:rPr>
                <w:rFonts w:ascii="Arial" w:cs="Arial" w:eastAsia="Arial" w:hAnsi="Arial"/>
                <w:sz w:val="12"/>
                <w:szCs w:val="12"/>
                <w:color w:val="auto"/>
              </w:rPr>
              <w:t>$70,800</w:t>
            </w:r>
          </w:p>
        </w:tc>
        <w:tc>
          <w:tcPr>
            <w:tcW w:w="700" w:type="dxa"/>
            <w:vAlign w:val="bottom"/>
            <w:gridSpan w:val="2"/>
          </w:tcPr>
          <w:p>
            <w:pPr>
              <w:jc w:val="center"/>
              <w:ind w:left="179"/>
              <w:spacing w:after="0"/>
              <w:rPr>
                <w:sz w:val="20"/>
                <w:szCs w:val="20"/>
                <w:color w:val="auto"/>
              </w:rPr>
            </w:pPr>
            <w:r>
              <w:rPr>
                <w:rFonts w:ascii="Arial" w:cs="Arial" w:eastAsia="Arial" w:hAnsi="Arial"/>
                <w:sz w:val="12"/>
                <w:szCs w:val="12"/>
                <w:color w:val="auto"/>
              </w:rPr>
              <w:t>$67,830</w:t>
            </w:r>
          </w:p>
        </w:tc>
        <w:tc>
          <w:tcPr>
            <w:tcW w:w="1340" w:type="dxa"/>
            <w:vAlign w:val="bottom"/>
            <w:gridSpan w:val="2"/>
          </w:tcPr>
          <w:p>
            <w:pPr>
              <w:jc w:val="center"/>
              <w:ind w:left="119"/>
              <w:spacing w:after="0"/>
              <w:rPr>
                <w:sz w:val="20"/>
                <w:szCs w:val="20"/>
                <w:color w:val="auto"/>
              </w:rPr>
            </w:pPr>
            <w:r>
              <w:rPr>
                <w:rFonts w:ascii="Arial" w:cs="Arial" w:eastAsia="Arial" w:hAnsi="Arial"/>
                <w:sz w:val="12"/>
                <w:szCs w:val="12"/>
                <w:color w:val="auto"/>
              </w:rPr>
              <w:t>0</w:t>
            </w:r>
          </w:p>
        </w:tc>
        <w:tc>
          <w:tcPr>
            <w:tcW w:w="1100" w:type="dxa"/>
            <w:vAlign w:val="bottom"/>
            <w:gridSpan w:val="2"/>
          </w:tcPr>
          <w:p>
            <w:pPr>
              <w:jc w:val="center"/>
              <w:ind w:left="119"/>
              <w:spacing w:after="0"/>
              <w:rPr>
                <w:sz w:val="20"/>
                <w:szCs w:val="20"/>
                <w:color w:val="auto"/>
              </w:rPr>
            </w:pPr>
            <w:r>
              <w:rPr>
                <w:rFonts w:ascii="Arial" w:cs="Arial" w:eastAsia="Arial" w:hAnsi="Arial"/>
                <w:sz w:val="12"/>
                <w:szCs w:val="12"/>
                <w:color w:val="auto"/>
              </w:rPr>
              <w:t>0</w:t>
            </w:r>
          </w:p>
        </w:tc>
        <w:tc>
          <w:tcPr>
            <w:tcW w:w="1260" w:type="dxa"/>
            <w:vAlign w:val="bottom"/>
            <w:gridSpan w:val="3"/>
          </w:tcPr>
          <w:p>
            <w:pPr>
              <w:jc w:val="right"/>
              <w:ind w:right="259"/>
              <w:spacing w:after="0"/>
              <w:rPr>
                <w:sz w:val="20"/>
                <w:szCs w:val="20"/>
                <w:color w:val="auto"/>
              </w:rPr>
            </w:pPr>
            <w:r>
              <w:rPr>
                <w:rFonts w:ascii="Arial" w:cs="Arial" w:eastAsia="Arial" w:hAnsi="Arial"/>
                <w:sz w:val="12"/>
                <w:szCs w:val="12"/>
                <w:color w:val="auto"/>
              </w:rPr>
              <w:t>$12,545</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w w:val="95"/>
              </w:rPr>
              <w:t>$231,175</w:t>
            </w:r>
          </w:p>
        </w:tc>
      </w:tr>
      <w:tr>
        <w:trPr>
          <w:trHeight w:val="221"/>
        </w:trPr>
        <w:tc>
          <w:tcPr>
            <w:tcW w:w="4200" w:type="dxa"/>
            <w:vAlign w:val="bottom"/>
            <w:shd w:val="clear" w:color="auto" w:fill="C0C0C0"/>
          </w:tcPr>
          <w:p>
            <w:pPr>
              <w:spacing w:after="0"/>
              <w:rPr>
                <w:sz w:val="20"/>
                <w:szCs w:val="20"/>
                <w:color w:val="auto"/>
              </w:rPr>
            </w:pPr>
            <w:r>
              <w:rPr>
                <w:rFonts w:ascii="Arial" w:cs="Arial" w:eastAsia="Arial" w:hAnsi="Arial"/>
                <w:sz w:val="12"/>
                <w:szCs w:val="12"/>
                <w:color w:val="auto"/>
              </w:rPr>
              <w:t>R. J. Simmons</w:t>
            </w:r>
          </w:p>
        </w:tc>
        <w:tc>
          <w:tcPr>
            <w:tcW w:w="600" w:type="dxa"/>
            <w:vAlign w:val="bottom"/>
            <w:gridSpan w:val="2"/>
            <w:shd w:val="clear" w:color="auto" w:fill="C0C0C0"/>
          </w:tcPr>
          <w:p>
            <w:pPr>
              <w:ind w:left="500"/>
              <w:spacing w:after="0"/>
              <w:rPr>
                <w:sz w:val="20"/>
                <w:szCs w:val="20"/>
                <w:color w:val="auto"/>
              </w:rPr>
            </w:pPr>
            <w:r>
              <w:rPr>
                <w:rFonts w:ascii="Arial" w:cs="Arial" w:eastAsia="Arial" w:hAnsi="Arial"/>
                <w:sz w:val="12"/>
                <w:szCs w:val="12"/>
                <w:color w:val="auto"/>
              </w:rPr>
              <w:t>$</w:t>
            </w:r>
          </w:p>
        </w:tc>
        <w:tc>
          <w:tcPr>
            <w:tcW w:w="760" w:type="dxa"/>
            <w:vAlign w:val="bottom"/>
            <w:shd w:val="clear" w:color="auto" w:fill="C0C0C0"/>
          </w:tcPr>
          <w:p>
            <w:pPr>
              <w:jc w:val="right"/>
              <w:ind w:right="259"/>
              <w:spacing w:after="0"/>
              <w:rPr>
                <w:sz w:val="20"/>
                <w:szCs w:val="20"/>
                <w:color w:val="auto"/>
              </w:rPr>
            </w:pPr>
            <w:r>
              <w:rPr>
                <w:rFonts w:ascii="Arial" w:cs="Arial" w:eastAsia="Arial" w:hAnsi="Arial"/>
                <w:sz w:val="12"/>
                <w:szCs w:val="12"/>
                <w:color w:val="auto"/>
              </w:rPr>
              <w:t>80,000</w:t>
            </w:r>
          </w:p>
        </w:tc>
        <w:tc>
          <w:tcPr>
            <w:tcW w:w="700" w:type="dxa"/>
            <w:vAlign w:val="bottom"/>
            <w:gridSpan w:val="2"/>
            <w:shd w:val="clear" w:color="auto" w:fill="C0C0C0"/>
          </w:tcPr>
          <w:p>
            <w:pPr>
              <w:jc w:val="center"/>
              <w:ind w:left="199"/>
              <w:spacing w:after="0"/>
              <w:rPr>
                <w:sz w:val="20"/>
                <w:szCs w:val="20"/>
                <w:color w:val="auto"/>
              </w:rPr>
            </w:pPr>
            <w:r>
              <w:rPr>
                <w:rFonts w:ascii="Arial" w:cs="Arial" w:eastAsia="Arial" w:hAnsi="Arial"/>
                <w:sz w:val="12"/>
                <w:szCs w:val="12"/>
                <w:color w:val="auto"/>
              </w:rPr>
              <w:t>$70,800</w:t>
            </w:r>
          </w:p>
        </w:tc>
        <w:tc>
          <w:tcPr>
            <w:tcW w:w="700" w:type="dxa"/>
            <w:vAlign w:val="bottom"/>
            <w:gridSpan w:val="2"/>
            <w:shd w:val="clear" w:color="auto" w:fill="C0C0C0"/>
          </w:tcPr>
          <w:p>
            <w:pPr>
              <w:jc w:val="center"/>
              <w:ind w:left="179"/>
              <w:spacing w:after="0"/>
              <w:rPr>
                <w:sz w:val="20"/>
                <w:szCs w:val="20"/>
                <w:color w:val="auto"/>
              </w:rPr>
            </w:pPr>
            <w:r>
              <w:rPr>
                <w:rFonts w:ascii="Arial" w:cs="Arial" w:eastAsia="Arial" w:hAnsi="Arial"/>
                <w:sz w:val="12"/>
                <w:szCs w:val="12"/>
                <w:color w:val="auto"/>
              </w:rPr>
              <w:t>$82,643</w:t>
            </w:r>
          </w:p>
        </w:tc>
        <w:tc>
          <w:tcPr>
            <w:tcW w:w="13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0</w:t>
            </w:r>
          </w:p>
        </w:tc>
        <w:tc>
          <w:tcPr>
            <w:tcW w:w="110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0</w:t>
            </w:r>
          </w:p>
        </w:tc>
        <w:tc>
          <w:tcPr>
            <w:tcW w:w="5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0C0C0"/>
          </w:tcPr>
          <w:p>
            <w:pPr>
              <w:jc w:val="right"/>
              <w:ind w:right="259"/>
              <w:spacing w:after="0"/>
              <w:rPr>
                <w:sz w:val="20"/>
                <w:szCs w:val="20"/>
                <w:color w:val="auto"/>
              </w:rPr>
            </w:pPr>
            <w:r>
              <w:rPr>
                <w:rFonts w:ascii="Arial" w:cs="Arial" w:eastAsia="Arial" w:hAnsi="Arial"/>
                <w:sz w:val="12"/>
                <w:szCs w:val="12"/>
                <w:color w:val="auto"/>
              </w:rPr>
              <w:t>6,130</w:t>
            </w:r>
          </w:p>
        </w:tc>
        <w:tc>
          <w:tcPr>
            <w:tcW w:w="760" w:type="dxa"/>
            <w:vAlign w:val="bottom"/>
            <w:gridSpan w:val="2"/>
            <w:shd w:val="clear" w:color="auto" w:fill="C0C0C0"/>
          </w:tcPr>
          <w:p>
            <w:pPr>
              <w:ind w:left="260"/>
              <w:spacing w:after="0"/>
              <w:rPr>
                <w:sz w:val="20"/>
                <w:szCs w:val="20"/>
                <w:color w:val="auto"/>
              </w:rPr>
            </w:pPr>
            <w:r>
              <w:rPr>
                <w:rFonts w:ascii="Arial" w:cs="Arial" w:eastAsia="Arial" w:hAnsi="Arial"/>
                <w:sz w:val="12"/>
                <w:szCs w:val="12"/>
                <w:color w:val="auto"/>
                <w:w w:val="95"/>
              </w:rPr>
              <w:t>$239,573</w:t>
            </w:r>
          </w:p>
        </w:tc>
      </w:tr>
      <w:tr>
        <w:trPr>
          <w:trHeight w:val="201"/>
        </w:trPr>
        <w:tc>
          <w:tcPr>
            <w:tcW w:w="4200" w:type="dxa"/>
            <w:vAlign w:val="bottom"/>
          </w:tcPr>
          <w:p>
            <w:pPr>
              <w:spacing w:after="0"/>
              <w:rPr>
                <w:sz w:val="20"/>
                <w:szCs w:val="20"/>
                <w:color w:val="auto"/>
              </w:rPr>
            </w:pPr>
            <w:r>
              <w:rPr>
                <w:rFonts w:ascii="Arial" w:cs="Arial" w:eastAsia="Arial" w:hAnsi="Arial"/>
                <w:sz w:val="12"/>
                <w:szCs w:val="12"/>
                <w:color w:val="auto"/>
              </w:rPr>
              <w:t>C. T. Whitman</w:t>
            </w:r>
          </w:p>
        </w:tc>
        <w:tc>
          <w:tcPr>
            <w:tcW w:w="600" w:type="dxa"/>
            <w:vAlign w:val="bottom"/>
            <w:gridSpan w:val="2"/>
          </w:tcPr>
          <w:p>
            <w:pPr>
              <w:ind w:left="500"/>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59"/>
              <w:spacing w:after="0"/>
              <w:rPr>
                <w:sz w:val="20"/>
                <w:szCs w:val="20"/>
                <w:color w:val="auto"/>
              </w:rPr>
            </w:pPr>
            <w:r>
              <w:rPr>
                <w:rFonts w:ascii="Arial" w:cs="Arial" w:eastAsia="Arial" w:hAnsi="Arial"/>
                <w:sz w:val="12"/>
                <w:szCs w:val="12"/>
                <w:color w:val="auto"/>
              </w:rPr>
              <w:t>80,000</w:t>
            </w:r>
          </w:p>
        </w:tc>
        <w:tc>
          <w:tcPr>
            <w:tcW w:w="700" w:type="dxa"/>
            <w:vAlign w:val="bottom"/>
            <w:gridSpan w:val="2"/>
          </w:tcPr>
          <w:p>
            <w:pPr>
              <w:jc w:val="center"/>
              <w:ind w:left="199"/>
              <w:spacing w:after="0"/>
              <w:rPr>
                <w:sz w:val="20"/>
                <w:szCs w:val="20"/>
                <w:color w:val="auto"/>
              </w:rPr>
            </w:pPr>
            <w:r>
              <w:rPr>
                <w:rFonts w:ascii="Arial" w:cs="Arial" w:eastAsia="Arial" w:hAnsi="Arial"/>
                <w:sz w:val="12"/>
                <w:szCs w:val="12"/>
                <w:color w:val="auto"/>
              </w:rPr>
              <w:t>$64,900</w:t>
            </w:r>
          </w:p>
        </w:tc>
        <w:tc>
          <w:tcPr>
            <w:tcW w:w="700" w:type="dxa"/>
            <w:vAlign w:val="bottom"/>
            <w:gridSpan w:val="2"/>
          </w:tcPr>
          <w:p>
            <w:pPr>
              <w:jc w:val="center"/>
              <w:ind w:left="179"/>
              <w:spacing w:after="0"/>
              <w:rPr>
                <w:sz w:val="20"/>
                <w:szCs w:val="20"/>
                <w:color w:val="auto"/>
              </w:rPr>
            </w:pPr>
            <w:r>
              <w:rPr>
                <w:rFonts w:ascii="Arial" w:cs="Arial" w:eastAsia="Arial" w:hAnsi="Arial"/>
                <w:sz w:val="12"/>
                <w:szCs w:val="12"/>
                <w:color w:val="auto"/>
              </w:rPr>
              <w:t>$76,990</w:t>
            </w:r>
          </w:p>
        </w:tc>
        <w:tc>
          <w:tcPr>
            <w:tcW w:w="1340" w:type="dxa"/>
            <w:vAlign w:val="bottom"/>
            <w:gridSpan w:val="2"/>
          </w:tcPr>
          <w:p>
            <w:pPr>
              <w:jc w:val="center"/>
              <w:ind w:left="119"/>
              <w:spacing w:after="0"/>
              <w:rPr>
                <w:sz w:val="20"/>
                <w:szCs w:val="20"/>
                <w:color w:val="auto"/>
              </w:rPr>
            </w:pPr>
            <w:r>
              <w:rPr>
                <w:rFonts w:ascii="Arial" w:cs="Arial" w:eastAsia="Arial" w:hAnsi="Arial"/>
                <w:sz w:val="12"/>
                <w:szCs w:val="12"/>
                <w:color w:val="auto"/>
              </w:rPr>
              <w:t>0</w:t>
            </w:r>
          </w:p>
        </w:tc>
        <w:tc>
          <w:tcPr>
            <w:tcW w:w="1100" w:type="dxa"/>
            <w:vAlign w:val="bottom"/>
            <w:gridSpan w:val="2"/>
          </w:tcPr>
          <w:p>
            <w:pPr>
              <w:jc w:val="center"/>
              <w:ind w:left="119"/>
              <w:spacing w:after="0"/>
              <w:rPr>
                <w:sz w:val="20"/>
                <w:szCs w:val="20"/>
                <w:color w:val="auto"/>
              </w:rPr>
            </w:pPr>
            <w:r>
              <w:rPr>
                <w:rFonts w:ascii="Arial" w:cs="Arial" w:eastAsia="Arial" w:hAnsi="Arial"/>
                <w:sz w:val="12"/>
                <w:szCs w:val="12"/>
                <w:color w:val="auto"/>
              </w:rPr>
              <w:t>0</w:t>
            </w: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259"/>
              <w:spacing w:after="0"/>
              <w:rPr>
                <w:sz w:val="20"/>
                <w:szCs w:val="20"/>
                <w:color w:val="auto"/>
              </w:rPr>
            </w:pPr>
            <w:r>
              <w:rPr>
                <w:rFonts w:ascii="Arial" w:cs="Arial" w:eastAsia="Arial" w:hAnsi="Arial"/>
                <w:sz w:val="12"/>
                <w:szCs w:val="12"/>
                <w:color w:val="auto"/>
              </w:rPr>
              <w:t>1,450</w:t>
            </w:r>
          </w:p>
        </w:tc>
        <w:tc>
          <w:tcPr>
            <w:tcW w:w="760" w:type="dxa"/>
            <w:vAlign w:val="bottom"/>
            <w:gridSpan w:val="2"/>
          </w:tcPr>
          <w:p>
            <w:pPr>
              <w:ind w:left="260"/>
              <w:spacing w:after="0"/>
              <w:rPr>
                <w:sz w:val="20"/>
                <w:szCs w:val="20"/>
                <w:color w:val="auto"/>
              </w:rPr>
            </w:pPr>
            <w:r>
              <w:rPr>
                <w:rFonts w:ascii="Arial" w:cs="Arial" w:eastAsia="Arial" w:hAnsi="Arial"/>
                <w:sz w:val="12"/>
                <w:szCs w:val="12"/>
                <w:color w:val="auto"/>
                <w:w w:val="95"/>
              </w:rPr>
              <w:t>$223,340</w:t>
            </w:r>
          </w:p>
        </w:tc>
      </w:tr>
      <w:tr>
        <w:trPr>
          <w:trHeight w:val="249"/>
        </w:trPr>
        <w:tc>
          <w:tcPr>
            <w:tcW w:w="4200" w:type="dxa"/>
            <w:vAlign w:val="bottom"/>
          </w:tcPr>
          <w:p>
            <w:pPr>
              <w:spacing w:after="0"/>
              <w:rPr>
                <w:sz w:val="20"/>
                <w:szCs w:val="20"/>
                <w:color w:val="auto"/>
              </w:rPr>
            </w:pPr>
            <w:r>
              <w:rPr>
                <w:rFonts w:ascii="Arial" w:cs="Arial" w:eastAsia="Arial" w:hAnsi="Arial"/>
                <w:sz w:val="20"/>
                <w:szCs w:val="20"/>
                <w:color w:val="auto"/>
              </w:rPr>
              <w:t>____________________</w:t>
            </w: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r>
    </w:tbl>
    <w:p>
      <w:pPr>
        <w:spacing w:after="0" w:line="214" w:lineRule="exact"/>
        <w:rPr>
          <w:sz w:val="20"/>
          <w:szCs w:val="20"/>
          <w:color w:val="auto"/>
        </w:rPr>
      </w:pPr>
    </w:p>
    <w:p>
      <w:pPr>
        <w:ind w:left="442" w:right="80" w:hanging="442"/>
        <w:spacing w:after="0" w:line="250" w:lineRule="auto"/>
        <w:tabs>
          <w:tab w:leader="none" w:pos="442" w:val="left"/>
        </w:tabs>
        <w:numPr>
          <w:ilvl w:val="0"/>
          <w:numId w:val="7"/>
        </w:numPr>
        <w:rPr>
          <w:rFonts w:ascii="Arial" w:cs="Arial" w:eastAsia="Arial" w:hAnsi="Arial"/>
          <w:sz w:val="16"/>
          <w:szCs w:val="16"/>
          <w:color w:val="auto"/>
        </w:rPr>
      </w:pPr>
      <w:r>
        <w:rPr>
          <w:rFonts w:ascii="Arial" w:cs="Arial" w:eastAsia="Arial" w:hAnsi="Arial"/>
          <w:sz w:val="16"/>
          <w:szCs w:val="16"/>
          <w:color w:val="auto"/>
        </w:rPr>
        <w:t>Mr. Fronterhouse reached the age of 70 before the 2007 annual meeting and, therefore, was ineligible under the company’s by-laws to stand for re-election at that meeting. He ceased to be a director of the company on April 19, 2007.</w:t>
      </w:r>
    </w:p>
    <w:p>
      <w:pPr>
        <w:spacing w:after="0" w:line="204" w:lineRule="exact"/>
        <w:rPr>
          <w:rFonts w:ascii="Arial" w:cs="Arial" w:eastAsia="Arial" w:hAnsi="Arial"/>
          <w:sz w:val="16"/>
          <w:szCs w:val="16"/>
          <w:color w:val="auto"/>
        </w:rPr>
      </w:pPr>
    </w:p>
    <w:p>
      <w:pPr>
        <w:ind w:left="442" w:hanging="442"/>
        <w:spacing w:after="0"/>
        <w:tabs>
          <w:tab w:leader="none" w:pos="442"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Includes amounts deferred at the director’s election.</w:t>
      </w:r>
    </w:p>
    <w:p>
      <w:pPr>
        <w:spacing w:after="0" w:line="220" w:lineRule="exact"/>
        <w:rPr>
          <w:rFonts w:ascii="Arial" w:cs="Arial" w:eastAsia="Arial" w:hAnsi="Arial"/>
          <w:sz w:val="16"/>
          <w:szCs w:val="16"/>
          <w:color w:val="auto"/>
        </w:rPr>
      </w:pPr>
    </w:p>
    <w:p>
      <w:pPr>
        <w:ind w:left="442" w:right="20" w:hanging="442"/>
        <w:spacing w:after="0" w:line="241" w:lineRule="auto"/>
        <w:tabs>
          <w:tab w:leader="none" w:pos="442" w:val="left"/>
        </w:tabs>
        <w:numPr>
          <w:ilvl w:val="0"/>
          <w:numId w:val="7"/>
        </w:numPr>
        <w:rPr>
          <w:rFonts w:ascii="Arial" w:cs="Arial" w:eastAsia="Arial" w:hAnsi="Arial"/>
          <w:sz w:val="16"/>
          <w:szCs w:val="16"/>
          <w:color w:val="auto"/>
        </w:rPr>
      </w:pPr>
      <w:r>
        <w:rPr>
          <w:rFonts w:ascii="Arial" w:cs="Arial" w:eastAsia="Arial" w:hAnsi="Arial"/>
          <w:sz w:val="16"/>
          <w:szCs w:val="16"/>
          <w:color w:val="auto"/>
        </w:rPr>
        <w:t>Shown is the expense recognized in TI’s 2007 financial statements in accordance with Statement of Financial Accounting Standard (SFAS) 123(R) for all outstanding awards relating to the named individual. In accordance with SEC rules, no estimates were made for forfeitures in calculating these amounts. For individuals who are considered retirement eligible (directors with eight years of service), the SFAS 123(R) expense is recognized immediately; consequently, the table includes the full expense of the 2007 restricted stock grant. For individuals who are not retirement eligible, the SFAS 123(R) expense is recognized over a one-year period from date of grant; consequently, the table includes a portion of the expense for the 2007 restricted stock grant. Ms. Simmons and Messrs. Adams, Boren, Carp, Goode and Sanders are retirement eligible. Mr. Fronterhouse was retirement eligible during his 2007 board service. The grant date fair value of the restricted stock units granted in 2007 calculated in accordance with SFAS 123(R) is $70,800. The discussion of the assumptions used for purposes of calculating the SFAS 123(R) expense and the grant date fair value appears on pages 23-26 of Exhibit 13 to TI’s annual report on Form 10-K for the year ended December 31, 2007.</w:t>
      </w:r>
    </w:p>
    <w:p>
      <w:pPr>
        <w:spacing w:after="0" w:line="187"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42" w:right="320"/>
        <w:spacing w:after="0" w:line="250" w:lineRule="auto"/>
        <w:rPr>
          <w:sz w:val="20"/>
          <w:szCs w:val="20"/>
          <w:color w:val="auto"/>
        </w:rPr>
      </w:pPr>
      <w:r>
        <w:rPr>
          <w:rFonts w:ascii="Arial" w:cs="Arial" w:eastAsia="Arial" w:hAnsi="Arial"/>
          <w:sz w:val="16"/>
          <w:szCs w:val="16"/>
          <w:color w:val="auto"/>
        </w:rPr>
        <w:t>The table below shows the aggregate number of shares underlying outstanding restricted stock units held by the named individuals as of December 31, 2007.</w:t>
      </w:r>
    </w:p>
    <w:p>
      <w:pPr>
        <w:spacing w:after="0" w:line="28" w:lineRule="exact"/>
        <w:rPr>
          <w:sz w:val="20"/>
          <w:szCs w:val="20"/>
          <w:color w:val="auto"/>
        </w:rPr>
      </w:pPr>
    </w:p>
    <w:tbl>
      <w:tblPr>
        <w:tblLayout w:type="fixed"/>
        <w:tblInd w:w="3422"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1240" w:type="dxa"/>
            <w:vAlign w:val="bottom"/>
            <w:gridSpan w:val="2"/>
          </w:tcPr>
          <w:p>
            <w:pPr>
              <w:jc w:val="right"/>
              <w:spacing w:after="0"/>
              <w:rPr>
                <w:sz w:val="20"/>
                <w:szCs w:val="20"/>
                <w:color w:val="auto"/>
              </w:rPr>
            </w:pPr>
            <w:r>
              <w:rPr>
                <w:rFonts w:ascii="Arial" w:cs="Arial" w:eastAsia="Arial" w:hAnsi="Arial"/>
                <w:sz w:val="12"/>
                <w:szCs w:val="12"/>
                <w:b w:val="1"/>
                <w:bCs w:val="1"/>
                <w:color w:val="auto"/>
              </w:rPr>
              <w:t>Restricted Stock</w:t>
            </w:r>
          </w:p>
        </w:tc>
      </w:tr>
      <w:tr>
        <w:trPr>
          <w:trHeight w:val="227"/>
        </w:trPr>
        <w:tc>
          <w:tcPr>
            <w:tcW w:w="3340" w:type="dxa"/>
            <w:vAlign w:val="bottom"/>
            <w:tcBorders>
              <w:bottom w:val="single" w:sz="8" w:color="auto"/>
            </w:tcBorders>
          </w:tcPr>
          <w:p>
            <w:pPr>
              <w:ind w:left="1480"/>
              <w:spacing w:after="0"/>
              <w:rPr>
                <w:sz w:val="20"/>
                <w:szCs w:val="20"/>
                <w:color w:val="auto"/>
              </w:rPr>
            </w:pPr>
            <w:r>
              <w:rPr>
                <w:rFonts w:ascii="Arial" w:cs="Arial" w:eastAsia="Arial" w:hAnsi="Arial"/>
                <w:sz w:val="12"/>
                <w:szCs w:val="12"/>
                <w:b w:val="1"/>
                <w:bCs w:val="1"/>
                <w:color w:val="auto"/>
              </w:rPr>
              <w:t>Name</w:t>
            </w:r>
          </w:p>
        </w:tc>
        <w:tc>
          <w:tcPr>
            <w:tcW w:w="24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9"/>
              </w:rPr>
              <w:t>Units (in shares)</w:t>
            </w:r>
          </w:p>
        </w:tc>
      </w:tr>
      <w:tr>
        <w:trPr>
          <w:trHeight w:val="219"/>
        </w:trPr>
        <w:tc>
          <w:tcPr>
            <w:tcW w:w="3340" w:type="dxa"/>
            <w:vAlign w:val="bottom"/>
            <w:shd w:val="clear" w:color="auto" w:fill="C0C0C0"/>
          </w:tcPr>
          <w:p>
            <w:pPr>
              <w:spacing w:after="0"/>
              <w:rPr>
                <w:sz w:val="20"/>
                <w:szCs w:val="20"/>
                <w:color w:val="auto"/>
              </w:rPr>
            </w:pPr>
            <w:r>
              <w:rPr>
                <w:rFonts w:ascii="Arial" w:cs="Arial" w:eastAsia="Arial" w:hAnsi="Arial"/>
                <w:sz w:val="12"/>
                <w:szCs w:val="12"/>
                <w:color w:val="auto"/>
              </w:rPr>
              <w:t>J. R. Adams</w:t>
            </w:r>
          </w:p>
        </w:tc>
        <w:tc>
          <w:tcPr>
            <w:tcW w:w="1240" w:type="dxa"/>
            <w:vAlign w:val="bottom"/>
            <w:gridSpan w:val="2"/>
            <w:shd w:val="clear" w:color="auto" w:fill="C0C0C0"/>
          </w:tcPr>
          <w:p>
            <w:pPr>
              <w:jc w:val="right"/>
              <w:ind w:right="239"/>
              <w:spacing w:after="0"/>
              <w:rPr>
                <w:sz w:val="20"/>
                <w:szCs w:val="20"/>
                <w:color w:val="auto"/>
              </w:rPr>
            </w:pPr>
            <w:r>
              <w:rPr>
                <w:rFonts w:ascii="Arial" w:cs="Arial" w:eastAsia="Arial" w:hAnsi="Arial"/>
                <w:sz w:val="12"/>
                <w:szCs w:val="12"/>
                <w:color w:val="auto"/>
              </w:rPr>
              <w:t>21,012</w:t>
            </w:r>
          </w:p>
        </w:tc>
      </w:tr>
      <w:tr>
        <w:trPr>
          <w:trHeight w:val="221"/>
        </w:trPr>
        <w:tc>
          <w:tcPr>
            <w:tcW w:w="3340" w:type="dxa"/>
            <w:vAlign w:val="bottom"/>
          </w:tcPr>
          <w:p>
            <w:pPr>
              <w:spacing w:after="0"/>
              <w:rPr>
                <w:sz w:val="20"/>
                <w:szCs w:val="20"/>
                <w:color w:val="auto"/>
              </w:rPr>
            </w:pPr>
            <w:r>
              <w:rPr>
                <w:rFonts w:ascii="Arial" w:cs="Arial" w:eastAsia="Arial" w:hAnsi="Arial"/>
                <w:sz w:val="12"/>
                <w:szCs w:val="12"/>
                <w:color w:val="auto"/>
              </w:rPr>
              <w:t>D. L. Boren</w:t>
            </w:r>
          </w:p>
        </w:tc>
        <w:tc>
          <w:tcPr>
            <w:tcW w:w="1240" w:type="dxa"/>
            <w:vAlign w:val="bottom"/>
            <w:gridSpan w:val="2"/>
          </w:tcPr>
          <w:p>
            <w:pPr>
              <w:jc w:val="right"/>
              <w:ind w:right="239"/>
              <w:spacing w:after="0"/>
              <w:rPr>
                <w:sz w:val="20"/>
                <w:szCs w:val="20"/>
                <w:color w:val="auto"/>
              </w:rPr>
            </w:pPr>
            <w:r>
              <w:rPr>
                <w:rFonts w:ascii="Arial" w:cs="Arial" w:eastAsia="Arial" w:hAnsi="Arial"/>
                <w:sz w:val="12"/>
                <w:szCs w:val="12"/>
                <w:color w:val="auto"/>
              </w:rPr>
              <w:t>25,380</w:t>
            </w:r>
          </w:p>
        </w:tc>
      </w:tr>
      <w:tr>
        <w:trPr>
          <w:trHeight w:val="221"/>
        </w:trPr>
        <w:tc>
          <w:tcPr>
            <w:tcW w:w="3340" w:type="dxa"/>
            <w:vAlign w:val="bottom"/>
            <w:shd w:val="clear" w:color="auto" w:fill="C0C0C0"/>
          </w:tcPr>
          <w:p>
            <w:pPr>
              <w:spacing w:after="0"/>
              <w:rPr>
                <w:sz w:val="20"/>
                <w:szCs w:val="20"/>
                <w:color w:val="auto"/>
              </w:rPr>
            </w:pPr>
            <w:r>
              <w:rPr>
                <w:rFonts w:ascii="Arial" w:cs="Arial" w:eastAsia="Arial" w:hAnsi="Arial"/>
                <w:sz w:val="12"/>
                <w:szCs w:val="12"/>
                <w:color w:val="auto"/>
              </w:rPr>
              <w:t>D. A. Carp</w:t>
            </w:r>
          </w:p>
        </w:tc>
        <w:tc>
          <w:tcPr>
            <w:tcW w:w="1240" w:type="dxa"/>
            <w:vAlign w:val="bottom"/>
            <w:gridSpan w:val="2"/>
            <w:shd w:val="clear" w:color="auto" w:fill="C0C0C0"/>
          </w:tcPr>
          <w:p>
            <w:pPr>
              <w:jc w:val="right"/>
              <w:ind w:right="239"/>
              <w:spacing w:after="0"/>
              <w:rPr>
                <w:sz w:val="20"/>
                <w:szCs w:val="20"/>
                <w:color w:val="auto"/>
              </w:rPr>
            </w:pPr>
            <w:r>
              <w:rPr>
                <w:rFonts w:ascii="Arial" w:cs="Arial" w:eastAsia="Arial" w:hAnsi="Arial"/>
                <w:sz w:val="12"/>
                <w:szCs w:val="12"/>
                <w:color w:val="auto"/>
              </w:rPr>
              <w:t>11,164</w:t>
            </w: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2"/>
                <w:szCs w:val="12"/>
                <w:color w:val="auto"/>
              </w:rPr>
              <w:t>C. S. Cox</w:t>
            </w:r>
          </w:p>
        </w:tc>
        <w:tc>
          <w:tcPr>
            <w:tcW w:w="1240" w:type="dxa"/>
            <w:vAlign w:val="bottom"/>
            <w:gridSpan w:val="2"/>
          </w:tcPr>
          <w:p>
            <w:pPr>
              <w:jc w:val="right"/>
              <w:ind w:right="239"/>
              <w:spacing w:after="0" w:line="135" w:lineRule="exact"/>
              <w:rPr>
                <w:sz w:val="20"/>
                <w:szCs w:val="20"/>
                <w:color w:val="auto"/>
              </w:rPr>
            </w:pPr>
            <w:r>
              <w:rPr>
                <w:rFonts w:ascii="Arial" w:cs="Arial" w:eastAsia="Arial" w:hAnsi="Arial"/>
                <w:sz w:val="12"/>
                <w:szCs w:val="12"/>
                <w:color w:val="auto"/>
              </w:rPr>
              <w:t>4,500</w:t>
            </w:r>
          </w:p>
        </w:tc>
      </w:tr>
      <w:tr>
        <w:trPr>
          <w:trHeight w:val="135"/>
        </w:trPr>
        <w:tc>
          <w:tcPr>
            <w:tcW w:w="3340" w:type="dxa"/>
            <w:vAlign w:val="bottom"/>
            <w:shd w:val="clear" w:color="auto" w:fill="C0C0C0"/>
          </w:tcPr>
          <w:p>
            <w:pPr>
              <w:spacing w:after="0" w:line="135" w:lineRule="exact"/>
              <w:rPr>
                <w:sz w:val="20"/>
                <w:szCs w:val="20"/>
                <w:color w:val="auto"/>
              </w:rPr>
            </w:pPr>
            <w:r>
              <w:rPr>
                <w:rFonts w:ascii="Arial" w:cs="Arial" w:eastAsia="Arial" w:hAnsi="Arial"/>
                <w:sz w:val="12"/>
                <w:szCs w:val="12"/>
                <w:color w:val="auto"/>
              </w:rPr>
              <w:t>G. W. Fronterhouse</w:t>
            </w:r>
          </w:p>
        </w:tc>
        <w:tc>
          <w:tcPr>
            <w:tcW w:w="1240" w:type="dxa"/>
            <w:vAlign w:val="bottom"/>
            <w:gridSpan w:val="2"/>
            <w:shd w:val="clear" w:color="auto" w:fill="C0C0C0"/>
          </w:tcPr>
          <w:p>
            <w:pPr>
              <w:jc w:val="right"/>
              <w:ind w:right="239"/>
              <w:spacing w:after="0" w:line="135" w:lineRule="exact"/>
              <w:rPr>
                <w:sz w:val="20"/>
                <w:szCs w:val="20"/>
                <w:color w:val="auto"/>
              </w:rPr>
            </w:pPr>
            <w:r>
              <w:rPr>
                <w:rFonts w:ascii="Arial" w:cs="Arial" w:eastAsia="Arial" w:hAnsi="Arial"/>
                <w:sz w:val="12"/>
                <w:szCs w:val="12"/>
                <w:color w:val="auto"/>
              </w:rPr>
              <w:t>2,500</w:t>
            </w: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2"/>
                <w:szCs w:val="12"/>
                <w:color w:val="auto"/>
              </w:rPr>
              <w:t>D. R. Goode</w:t>
            </w:r>
          </w:p>
        </w:tc>
        <w:tc>
          <w:tcPr>
            <w:tcW w:w="1240" w:type="dxa"/>
            <w:vAlign w:val="bottom"/>
            <w:gridSpan w:val="2"/>
          </w:tcPr>
          <w:p>
            <w:pPr>
              <w:jc w:val="right"/>
              <w:ind w:right="239"/>
              <w:spacing w:after="0" w:line="135" w:lineRule="exact"/>
              <w:rPr>
                <w:sz w:val="20"/>
                <w:szCs w:val="20"/>
                <w:color w:val="auto"/>
              </w:rPr>
            </w:pPr>
            <w:r>
              <w:rPr>
                <w:rFonts w:ascii="Arial" w:cs="Arial" w:eastAsia="Arial" w:hAnsi="Arial"/>
                <w:sz w:val="12"/>
                <w:szCs w:val="12"/>
                <w:color w:val="auto"/>
              </w:rPr>
              <w:t>16,132</w:t>
            </w:r>
          </w:p>
        </w:tc>
      </w:tr>
      <w:tr>
        <w:trPr>
          <w:trHeight w:val="135"/>
        </w:trPr>
        <w:tc>
          <w:tcPr>
            <w:tcW w:w="3340" w:type="dxa"/>
            <w:vAlign w:val="bottom"/>
            <w:shd w:val="clear" w:color="auto" w:fill="C0C0C0"/>
          </w:tcPr>
          <w:p>
            <w:pPr>
              <w:spacing w:after="0" w:line="135" w:lineRule="exact"/>
              <w:rPr>
                <w:sz w:val="20"/>
                <w:szCs w:val="20"/>
                <w:color w:val="auto"/>
              </w:rPr>
            </w:pPr>
            <w:r>
              <w:rPr>
                <w:rFonts w:ascii="Arial" w:cs="Arial" w:eastAsia="Arial" w:hAnsi="Arial"/>
                <w:sz w:val="12"/>
                <w:szCs w:val="12"/>
                <w:color w:val="auto"/>
              </w:rPr>
              <w:t>P. H. Patsley</w:t>
            </w:r>
          </w:p>
        </w:tc>
        <w:tc>
          <w:tcPr>
            <w:tcW w:w="1240" w:type="dxa"/>
            <w:vAlign w:val="bottom"/>
            <w:gridSpan w:val="2"/>
            <w:shd w:val="clear" w:color="auto" w:fill="C0C0C0"/>
          </w:tcPr>
          <w:p>
            <w:pPr>
              <w:jc w:val="right"/>
              <w:ind w:right="239"/>
              <w:spacing w:after="0" w:line="135" w:lineRule="exact"/>
              <w:rPr>
                <w:sz w:val="20"/>
                <w:szCs w:val="20"/>
                <w:color w:val="auto"/>
              </w:rPr>
            </w:pPr>
            <w:r>
              <w:rPr>
                <w:rFonts w:ascii="Arial" w:cs="Arial" w:eastAsia="Arial" w:hAnsi="Arial"/>
                <w:sz w:val="12"/>
                <w:szCs w:val="12"/>
                <w:color w:val="auto"/>
              </w:rPr>
              <w:t>4,500</w:t>
            </w:r>
          </w:p>
        </w:tc>
      </w:tr>
      <w:tr>
        <w:trPr>
          <w:trHeight w:val="135"/>
        </w:trPr>
        <w:tc>
          <w:tcPr>
            <w:tcW w:w="3340" w:type="dxa"/>
            <w:vAlign w:val="bottom"/>
          </w:tcPr>
          <w:p>
            <w:pPr>
              <w:spacing w:after="0" w:line="135" w:lineRule="exact"/>
              <w:rPr>
                <w:sz w:val="20"/>
                <w:szCs w:val="20"/>
                <w:color w:val="auto"/>
              </w:rPr>
            </w:pPr>
            <w:r>
              <w:rPr>
                <w:rFonts w:ascii="Arial" w:cs="Arial" w:eastAsia="Arial" w:hAnsi="Arial"/>
                <w:sz w:val="12"/>
                <w:szCs w:val="12"/>
                <w:color w:val="auto"/>
              </w:rPr>
              <w:t>W. R. Sanders</w:t>
            </w:r>
          </w:p>
        </w:tc>
        <w:tc>
          <w:tcPr>
            <w:tcW w:w="1240" w:type="dxa"/>
            <w:vAlign w:val="bottom"/>
            <w:gridSpan w:val="2"/>
          </w:tcPr>
          <w:p>
            <w:pPr>
              <w:jc w:val="right"/>
              <w:ind w:right="239"/>
              <w:spacing w:after="0" w:line="135" w:lineRule="exact"/>
              <w:rPr>
                <w:sz w:val="20"/>
                <w:szCs w:val="20"/>
                <w:color w:val="auto"/>
              </w:rPr>
            </w:pPr>
            <w:r>
              <w:rPr>
                <w:rFonts w:ascii="Arial" w:cs="Arial" w:eastAsia="Arial" w:hAnsi="Arial"/>
                <w:sz w:val="12"/>
                <w:szCs w:val="12"/>
                <w:color w:val="auto"/>
              </w:rPr>
              <w:t>12,100</w:t>
            </w:r>
          </w:p>
        </w:tc>
      </w:tr>
      <w:tr>
        <w:trPr>
          <w:trHeight w:val="135"/>
        </w:trPr>
        <w:tc>
          <w:tcPr>
            <w:tcW w:w="3340" w:type="dxa"/>
            <w:vAlign w:val="bottom"/>
            <w:shd w:val="clear" w:color="auto" w:fill="C0C0C0"/>
          </w:tcPr>
          <w:p>
            <w:pPr>
              <w:spacing w:after="0" w:line="135" w:lineRule="exact"/>
              <w:rPr>
                <w:sz w:val="20"/>
                <w:szCs w:val="20"/>
                <w:color w:val="auto"/>
              </w:rPr>
            </w:pPr>
            <w:r>
              <w:rPr>
                <w:rFonts w:ascii="Arial" w:cs="Arial" w:eastAsia="Arial" w:hAnsi="Arial"/>
                <w:sz w:val="12"/>
                <w:szCs w:val="12"/>
                <w:color w:val="auto"/>
              </w:rPr>
              <w:t>R. J. Simmons</w:t>
            </w:r>
          </w:p>
        </w:tc>
        <w:tc>
          <w:tcPr>
            <w:tcW w:w="1240" w:type="dxa"/>
            <w:vAlign w:val="bottom"/>
            <w:gridSpan w:val="2"/>
            <w:shd w:val="clear" w:color="auto" w:fill="C0C0C0"/>
          </w:tcPr>
          <w:p>
            <w:pPr>
              <w:jc w:val="right"/>
              <w:ind w:right="239"/>
              <w:spacing w:after="0" w:line="135" w:lineRule="exact"/>
              <w:rPr>
                <w:sz w:val="20"/>
                <w:szCs w:val="20"/>
                <w:color w:val="auto"/>
              </w:rPr>
            </w:pPr>
            <w:r>
              <w:rPr>
                <w:rFonts w:ascii="Arial" w:cs="Arial" w:eastAsia="Arial" w:hAnsi="Arial"/>
                <w:sz w:val="12"/>
                <w:szCs w:val="12"/>
                <w:color w:val="auto"/>
              </w:rPr>
              <w:t>10,500</w:t>
            </w:r>
          </w:p>
        </w:tc>
      </w:tr>
      <w:tr>
        <w:trPr>
          <w:trHeight w:val="147"/>
        </w:trPr>
        <w:tc>
          <w:tcPr>
            <w:tcW w:w="3340" w:type="dxa"/>
            <w:vAlign w:val="bottom"/>
          </w:tcPr>
          <w:p>
            <w:pPr>
              <w:spacing w:after="0"/>
              <w:rPr>
                <w:sz w:val="20"/>
                <w:szCs w:val="20"/>
                <w:color w:val="auto"/>
              </w:rPr>
            </w:pPr>
            <w:r>
              <w:rPr>
                <w:rFonts w:ascii="Arial" w:cs="Arial" w:eastAsia="Arial" w:hAnsi="Arial"/>
                <w:sz w:val="12"/>
                <w:szCs w:val="12"/>
                <w:color w:val="auto"/>
              </w:rPr>
              <w:t>C. T. Whitman</w:t>
            </w:r>
          </w:p>
        </w:tc>
        <w:tc>
          <w:tcPr>
            <w:tcW w:w="1240" w:type="dxa"/>
            <w:vAlign w:val="bottom"/>
            <w:gridSpan w:val="2"/>
          </w:tcPr>
          <w:p>
            <w:pPr>
              <w:jc w:val="right"/>
              <w:ind w:right="239"/>
              <w:spacing w:after="0"/>
              <w:rPr>
                <w:sz w:val="20"/>
                <w:szCs w:val="20"/>
                <w:color w:val="auto"/>
              </w:rPr>
            </w:pPr>
            <w:r>
              <w:rPr>
                <w:rFonts w:ascii="Arial" w:cs="Arial" w:eastAsia="Arial" w:hAnsi="Arial"/>
                <w:sz w:val="12"/>
                <w:szCs w:val="12"/>
                <w:color w:val="auto"/>
              </w:rPr>
              <w:t>4,500</w:t>
            </w:r>
          </w:p>
        </w:tc>
      </w:tr>
    </w:tbl>
    <w:p>
      <w:pPr>
        <w:spacing w:after="0" w:line="211" w:lineRule="exact"/>
        <w:rPr>
          <w:sz w:val="20"/>
          <w:szCs w:val="20"/>
          <w:color w:val="auto"/>
        </w:rPr>
      </w:pPr>
    </w:p>
    <w:p>
      <w:pPr>
        <w:jc w:val="both"/>
        <w:ind w:left="442"/>
        <w:spacing w:after="0" w:line="245" w:lineRule="auto"/>
        <w:rPr>
          <w:sz w:val="20"/>
          <w:szCs w:val="20"/>
          <w:color w:val="auto"/>
        </w:rPr>
      </w:pPr>
      <w:r>
        <w:rPr>
          <w:rFonts w:ascii="Arial" w:cs="Arial" w:eastAsia="Arial" w:hAnsi="Arial"/>
          <w:sz w:val="16"/>
          <w:szCs w:val="16"/>
          <w:color w:val="auto"/>
        </w:rPr>
        <w:t>Each restricted stock unit represents the right to receive one share of TI common stock. For restricted stock units granted prior to 2007, shares are issued at the time of retirement from the board or upon the earlier of termination of service from the board after completing eight years of service or death or disability. For information regarding share issuances under restricted stock units granted after 2006, please see the discussion on page 14.</w:t>
      </w:r>
    </w:p>
    <w:p>
      <w:pPr>
        <w:spacing w:after="0" w:line="208" w:lineRule="exact"/>
        <w:rPr>
          <w:sz w:val="20"/>
          <w:szCs w:val="20"/>
          <w:color w:val="auto"/>
        </w:rPr>
      </w:pPr>
    </w:p>
    <w:p>
      <w:pPr>
        <w:ind w:left="442" w:hanging="442"/>
        <w:spacing w:after="0" w:line="241" w:lineRule="auto"/>
        <w:tabs>
          <w:tab w:leader="none" w:pos="442" w:val="left"/>
        </w:tabs>
        <w:numPr>
          <w:ilvl w:val="0"/>
          <w:numId w:val="8"/>
        </w:numPr>
        <w:rPr>
          <w:rFonts w:ascii="Arial" w:cs="Arial" w:eastAsia="Arial" w:hAnsi="Arial"/>
          <w:sz w:val="16"/>
          <w:szCs w:val="16"/>
          <w:color w:val="auto"/>
        </w:rPr>
      </w:pPr>
      <w:r>
        <w:rPr>
          <w:rFonts w:ascii="Arial" w:cs="Arial" w:eastAsia="Arial" w:hAnsi="Arial"/>
          <w:sz w:val="16"/>
          <w:szCs w:val="16"/>
          <w:color w:val="auto"/>
        </w:rPr>
        <w:t>Shown is the expense recognized in TI’s 2007 financial statements in accordance with SFAS 123(R) for all outstanding grants relating to the named individual. In accordance with SEC rules, no estimates were made for forfeitures in calculating these amounts. For individuals who are retirement eligible, the expense is recognized over a six month period; consequently, the table includes the full expense of the 2007 stock option grant. For individuals who are not retirement eligible, the table includes a portion of the expense for the 2006 and 2007 stock option grants. The grant date fair value of the options granted in 2007 calculated in accordance with SFAS 123(R) is $67,830. The discussion of the assumptions used for purposes of calculating the SFAS 123(R) expense and the grant date fair value appears on pages 15 and 23-26 of Exhibit 13 to TI’s annual report on Form 10-K for the year ended December 31, 2007.</w:t>
      </w:r>
    </w:p>
    <w:p>
      <w:pPr>
        <w:spacing w:after="0" w:line="226" w:lineRule="exact"/>
        <w:rPr>
          <w:rFonts w:ascii="Arial" w:cs="Arial" w:eastAsia="Arial" w:hAnsi="Arial"/>
          <w:sz w:val="16"/>
          <w:szCs w:val="16"/>
          <w:color w:val="auto"/>
        </w:rPr>
      </w:pPr>
    </w:p>
    <w:p>
      <w:pPr>
        <w:ind w:left="442"/>
        <w:spacing w:after="0"/>
        <w:rPr>
          <w:rFonts w:ascii="Arial" w:cs="Arial" w:eastAsia="Arial" w:hAnsi="Arial"/>
          <w:sz w:val="16"/>
          <w:szCs w:val="16"/>
          <w:color w:val="auto"/>
        </w:rPr>
      </w:pPr>
      <w:r>
        <w:rPr>
          <w:rFonts w:ascii="Arial" w:cs="Arial" w:eastAsia="Arial" w:hAnsi="Arial"/>
          <w:sz w:val="16"/>
          <w:szCs w:val="16"/>
          <w:color w:val="auto"/>
        </w:rPr>
        <w:t>The table below shows the aggregate number of shares underlying outstanding stock options held by the named individuals as of December 31, 2007.</w:t>
      </w:r>
    </w:p>
    <w:p>
      <w:pPr>
        <w:spacing w:after="0" w:line="289" w:lineRule="exact"/>
        <w:rPr>
          <w:sz w:val="20"/>
          <w:szCs w:val="20"/>
          <w:color w:val="auto"/>
        </w:rPr>
      </w:pPr>
    </w:p>
    <w:tbl>
      <w:tblPr>
        <w:tblLayout w:type="fixed"/>
        <w:tblInd w:w="3422" w:type="dxa"/>
        <w:tblCellMar>
          <w:top w:w="0" w:type="dxa"/>
          <w:left w:w="0" w:type="dxa"/>
          <w:bottom w:w="0" w:type="dxa"/>
          <w:right w:w="0" w:type="dxa"/>
        </w:tblCellMar>
      </w:tblPr>
      <w:tr>
        <w:trPr>
          <w:trHeight w:val="167"/>
        </w:trPr>
        <w:tc>
          <w:tcPr>
            <w:tcW w:w="3080" w:type="dxa"/>
            <w:vAlign w:val="bottom"/>
            <w:tcBorders>
              <w:bottom w:val="single" w:sz="8" w:color="auto"/>
            </w:tcBorders>
          </w:tcPr>
          <w:p>
            <w:pPr>
              <w:ind w:left="1340"/>
              <w:spacing w:after="0"/>
              <w:rPr>
                <w:sz w:val="20"/>
                <w:szCs w:val="20"/>
                <w:color w:val="auto"/>
              </w:rPr>
            </w:pPr>
            <w:r>
              <w:rPr>
                <w:rFonts w:ascii="Arial" w:cs="Arial" w:eastAsia="Arial" w:hAnsi="Arial"/>
                <w:sz w:val="12"/>
                <w:szCs w:val="12"/>
                <w:b w:val="1"/>
                <w:bCs w:val="1"/>
                <w:color w:val="auto"/>
              </w:rPr>
              <w:t>Name</w:t>
            </w:r>
          </w:p>
        </w:tc>
        <w:tc>
          <w:tcPr>
            <w:tcW w:w="340" w:type="dxa"/>
            <w:vAlign w:val="bottom"/>
          </w:tcPr>
          <w:p>
            <w:pPr>
              <w:spacing w:after="0"/>
              <w:rPr>
                <w:sz w:val="14"/>
                <w:szCs w:val="1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Options (in shares)</w:t>
            </w:r>
          </w:p>
        </w:tc>
      </w:tr>
      <w:tr>
        <w:trPr>
          <w:trHeight w:val="219"/>
        </w:trPr>
        <w:tc>
          <w:tcPr>
            <w:tcW w:w="3080" w:type="dxa"/>
            <w:vAlign w:val="bottom"/>
            <w:shd w:val="clear" w:color="auto" w:fill="C0C0C0"/>
          </w:tcPr>
          <w:p>
            <w:pPr>
              <w:spacing w:after="0"/>
              <w:rPr>
                <w:sz w:val="20"/>
                <w:szCs w:val="20"/>
                <w:color w:val="auto"/>
              </w:rPr>
            </w:pPr>
            <w:r>
              <w:rPr>
                <w:rFonts w:ascii="Arial" w:cs="Arial" w:eastAsia="Arial" w:hAnsi="Arial"/>
                <w:sz w:val="12"/>
                <w:szCs w:val="12"/>
                <w:color w:val="auto"/>
              </w:rPr>
              <w:t>J. R. Adams</w:t>
            </w:r>
          </w:p>
        </w:tc>
        <w:tc>
          <w:tcPr>
            <w:tcW w:w="1500" w:type="dxa"/>
            <w:vAlign w:val="bottom"/>
            <w:gridSpan w:val="2"/>
            <w:shd w:val="clear" w:color="auto" w:fill="C0C0C0"/>
          </w:tcPr>
          <w:p>
            <w:pPr>
              <w:jc w:val="right"/>
              <w:ind w:right="299"/>
              <w:spacing w:after="0"/>
              <w:rPr>
                <w:sz w:val="20"/>
                <w:szCs w:val="20"/>
                <w:color w:val="auto"/>
              </w:rPr>
            </w:pPr>
            <w:r>
              <w:rPr>
                <w:rFonts w:ascii="Arial" w:cs="Arial" w:eastAsia="Arial" w:hAnsi="Arial"/>
                <w:sz w:val="12"/>
                <w:szCs w:val="12"/>
                <w:color w:val="auto"/>
              </w:rPr>
              <w:t>112,000</w:t>
            </w:r>
          </w:p>
        </w:tc>
      </w:tr>
      <w:tr>
        <w:trPr>
          <w:trHeight w:val="135"/>
        </w:trPr>
        <w:tc>
          <w:tcPr>
            <w:tcW w:w="3080" w:type="dxa"/>
            <w:vAlign w:val="bottom"/>
          </w:tcPr>
          <w:p>
            <w:pPr>
              <w:spacing w:after="0" w:line="135" w:lineRule="exact"/>
              <w:rPr>
                <w:sz w:val="20"/>
                <w:szCs w:val="20"/>
                <w:color w:val="auto"/>
              </w:rPr>
            </w:pPr>
            <w:r>
              <w:rPr>
                <w:rFonts w:ascii="Arial" w:cs="Arial" w:eastAsia="Arial" w:hAnsi="Arial"/>
                <w:sz w:val="12"/>
                <w:szCs w:val="12"/>
                <w:color w:val="auto"/>
              </w:rPr>
              <w:t>D. L. Boren</w:t>
            </w:r>
          </w:p>
        </w:tc>
        <w:tc>
          <w:tcPr>
            <w:tcW w:w="1500" w:type="dxa"/>
            <w:vAlign w:val="bottom"/>
            <w:gridSpan w:val="2"/>
          </w:tcPr>
          <w:p>
            <w:pPr>
              <w:jc w:val="right"/>
              <w:ind w:right="299"/>
              <w:spacing w:after="0" w:line="135" w:lineRule="exact"/>
              <w:rPr>
                <w:sz w:val="20"/>
                <w:szCs w:val="20"/>
                <w:color w:val="auto"/>
              </w:rPr>
            </w:pPr>
            <w:r>
              <w:rPr>
                <w:rFonts w:ascii="Arial" w:cs="Arial" w:eastAsia="Arial" w:hAnsi="Arial"/>
                <w:sz w:val="12"/>
                <w:szCs w:val="12"/>
                <w:color w:val="auto"/>
              </w:rPr>
              <w:t>64,500</w:t>
            </w:r>
          </w:p>
        </w:tc>
      </w:tr>
      <w:tr>
        <w:trPr>
          <w:trHeight w:val="221"/>
        </w:trPr>
        <w:tc>
          <w:tcPr>
            <w:tcW w:w="3080" w:type="dxa"/>
            <w:vAlign w:val="bottom"/>
            <w:shd w:val="clear" w:color="auto" w:fill="C0C0C0"/>
          </w:tcPr>
          <w:p>
            <w:pPr>
              <w:spacing w:after="0"/>
              <w:rPr>
                <w:sz w:val="20"/>
                <w:szCs w:val="20"/>
                <w:color w:val="auto"/>
              </w:rPr>
            </w:pPr>
            <w:r>
              <w:rPr>
                <w:rFonts w:ascii="Arial" w:cs="Arial" w:eastAsia="Arial" w:hAnsi="Arial"/>
                <w:sz w:val="12"/>
                <w:szCs w:val="12"/>
                <w:color w:val="auto"/>
              </w:rPr>
              <w:t>D. A. Carp</w:t>
            </w:r>
          </w:p>
        </w:tc>
        <w:tc>
          <w:tcPr>
            <w:tcW w:w="1500" w:type="dxa"/>
            <w:vAlign w:val="bottom"/>
            <w:gridSpan w:val="2"/>
            <w:shd w:val="clear" w:color="auto" w:fill="C0C0C0"/>
          </w:tcPr>
          <w:p>
            <w:pPr>
              <w:jc w:val="right"/>
              <w:ind w:right="299"/>
              <w:spacing w:after="0"/>
              <w:rPr>
                <w:sz w:val="20"/>
                <w:szCs w:val="20"/>
                <w:color w:val="auto"/>
              </w:rPr>
            </w:pPr>
            <w:r>
              <w:rPr>
                <w:rFonts w:ascii="Arial" w:cs="Arial" w:eastAsia="Arial" w:hAnsi="Arial"/>
                <w:sz w:val="12"/>
                <w:szCs w:val="12"/>
                <w:color w:val="auto"/>
              </w:rPr>
              <w:t>112,000</w:t>
            </w:r>
          </w:p>
        </w:tc>
      </w:tr>
      <w:tr>
        <w:trPr>
          <w:trHeight w:val="221"/>
        </w:trPr>
        <w:tc>
          <w:tcPr>
            <w:tcW w:w="3080" w:type="dxa"/>
            <w:vAlign w:val="bottom"/>
          </w:tcPr>
          <w:p>
            <w:pPr>
              <w:spacing w:after="0"/>
              <w:rPr>
                <w:sz w:val="20"/>
                <w:szCs w:val="20"/>
                <w:color w:val="auto"/>
              </w:rPr>
            </w:pPr>
            <w:r>
              <w:rPr>
                <w:rFonts w:ascii="Arial" w:cs="Arial" w:eastAsia="Arial" w:hAnsi="Arial"/>
                <w:sz w:val="12"/>
                <w:szCs w:val="12"/>
                <w:color w:val="auto"/>
              </w:rPr>
              <w:t>C. S. Cox</w:t>
            </w:r>
          </w:p>
        </w:tc>
        <w:tc>
          <w:tcPr>
            <w:tcW w:w="1500" w:type="dxa"/>
            <w:vAlign w:val="bottom"/>
            <w:gridSpan w:val="2"/>
          </w:tcPr>
          <w:p>
            <w:pPr>
              <w:jc w:val="right"/>
              <w:ind w:right="299"/>
              <w:spacing w:after="0"/>
              <w:rPr>
                <w:sz w:val="20"/>
                <w:szCs w:val="20"/>
                <w:color w:val="auto"/>
              </w:rPr>
            </w:pPr>
            <w:r>
              <w:rPr>
                <w:rFonts w:ascii="Arial" w:cs="Arial" w:eastAsia="Arial" w:hAnsi="Arial"/>
                <w:sz w:val="12"/>
                <w:szCs w:val="12"/>
                <w:color w:val="auto"/>
              </w:rPr>
              <w:t>37,000</w:t>
            </w:r>
          </w:p>
        </w:tc>
      </w:tr>
      <w:tr>
        <w:trPr>
          <w:trHeight w:val="135"/>
        </w:trPr>
        <w:tc>
          <w:tcPr>
            <w:tcW w:w="3080" w:type="dxa"/>
            <w:vAlign w:val="bottom"/>
            <w:shd w:val="clear" w:color="auto" w:fill="C0C0C0"/>
          </w:tcPr>
          <w:p>
            <w:pPr>
              <w:spacing w:after="0" w:line="135" w:lineRule="exact"/>
              <w:rPr>
                <w:sz w:val="20"/>
                <w:szCs w:val="20"/>
                <w:color w:val="auto"/>
              </w:rPr>
            </w:pPr>
            <w:r>
              <w:rPr>
                <w:rFonts w:ascii="Arial" w:cs="Arial" w:eastAsia="Arial" w:hAnsi="Arial"/>
                <w:sz w:val="12"/>
                <w:szCs w:val="12"/>
                <w:color w:val="auto"/>
              </w:rPr>
              <w:t>G. W. Fronterhouse</w:t>
            </w:r>
          </w:p>
        </w:tc>
        <w:tc>
          <w:tcPr>
            <w:tcW w:w="1500" w:type="dxa"/>
            <w:vAlign w:val="bottom"/>
            <w:gridSpan w:val="2"/>
            <w:shd w:val="clear" w:color="auto" w:fill="C0C0C0"/>
          </w:tcPr>
          <w:p>
            <w:pPr>
              <w:jc w:val="right"/>
              <w:ind w:right="299"/>
              <w:spacing w:after="0" w:line="135" w:lineRule="exact"/>
              <w:rPr>
                <w:sz w:val="20"/>
                <w:szCs w:val="20"/>
                <w:color w:val="auto"/>
              </w:rPr>
            </w:pPr>
            <w:r>
              <w:rPr>
                <w:rFonts w:ascii="Arial" w:cs="Arial" w:eastAsia="Arial" w:hAnsi="Arial"/>
                <w:sz w:val="12"/>
                <w:szCs w:val="12"/>
                <w:color w:val="auto"/>
              </w:rPr>
              <w:t>112,000</w:t>
            </w:r>
          </w:p>
        </w:tc>
      </w:tr>
      <w:tr>
        <w:trPr>
          <w:trHeight w:val="135"/>
        </w:trPr>
        <w:tc>
          <w:tcPr>
            <w:tcW w:w="3080" w:type="dxa"/>
            <w:vAlign w:val="bottom"/>
          </w:tcPr>
          <w:p>
            <w:pPr>
              <w:spacing w:after="0" w:line="135" w:lineRule="exact"/>
              <w:rPr>
                <w:sz w:val="20"/>
                <w:szCs w:val="20"/>
                <w:color w:val="auto"/>
              </w:rPr>
            </w:pPr>
            <w:r>
              <w:rPr>
                <w:rFonts w:ascii="Arial" w:cs="Arial" w:eastAsia="Arial" w:hAnsi="Arial"/>
                <w:sz w:val="12"/>
                <w:szCs w:val="12"/>
                <w:color w:val="auto"/>
              </w:rPr>
              <w:t>D. R. Goode</w:t>
            </w:r>
          </w:p>
        </w:tc>
        <w:tc>
          <w:tcPr>
            <w:tcW w:w="1500" w:type="dxa"/>
            <w:vAlign w:val="bottom"/>
            <w:gridSpan w:val="2"/>
          </w:tcPr>
          <w:p>
            <w:pPr>
              <w:jc w:val="right"/>
              <w:ind w:right="299"/>
              <w:spacing w:after="0" w:line="135" w:lineRule="exact"/>
              <w:rPr>
                <w:sz w:val="20"/>
                <w:szCs w:val="20"/>
                <w:color w:val="auto"/>
              </w:rPr>
            </w:pPr>
            <w:r>
              <w:rPr>
                <w:rFonts w:ascii="Arial" w:cs="Arial" w:eastAsia="Arial" w:hAnsi="Arial"/>
                <w:sz w:val="12"/>
                <w:szCs w:val="12"/>
                <w:color w:val="auto"/>
              </w:rPr>
              <w:t>112,000</w:t>
            </w:r>
          </w:p>
        </w:tc>
      </w:tr>
      <w:tr>
        <w:trPr>
          <w:trHeight w:val="135"/>
        </w:trPr>
        <w:tc>
          <w:tcPr>
            <w:tcW w:w="3080" w:type="dxa"/>
            <w:vAlign w:val="bottom"/>
            <w:shd w:val="clear" w:color="auto" w:fill="C0C0C0"/>
          </w:tcPr>
          <w:p>
            <w:pPr>
              <w:spacing w:after="0" w:line="135" w:lineRule="exact"/>
              <w:rPr>
                <w:sz w:val="20"/>
                <w:szCs w:val="20"/>
                <w:color w:val="auto"/>
              </w:rPr>
            </w:pPr>
            <w:r>
              <w:rPr>
                <w:rFonts w:ascii="Arial" w:cs="Arial" w:eastAsia="Arial" w:hAnsi="Arial"/>
                <w:sz w:val="12"/>
                <w:szCs w:val="12"/>
                <w:color w:val="auto"/>
              </w:rPr>
              <w:t>P. H. Patsley</w:t>
            </w:r>
          </w:p>
        </w:tc>
        <w:tc>
          <w:tcPr>
            <w:tcW w:w="1500" w:type="dxa"/>
            <w:vAlign w:val="bottom"/>
            <w:gridSpan w:val="2"/>
            <w:shd w:val="clear" w:color="auto" w:fill="C0C0C0"/>
          </w:tcPr>
          <w:p>
            <w:pPr>
              <w:jc w:val="right"/>
              <w:ind w:right="299"/>
              <w:spacing w:after="0" w:line="135" w:lineRule="exact"/>
              <w:rPr>
                <w:sz w:val="20"/>
                <w:szCs w:val="20"/>
                <w:color w:val="auto"/>
              </w:rPr>
            </w:pPr>
            <w:r>
              <w:rPr>
                <w:rFonts w:ascii="Arial" w:cs="Arial" w:eastAsia="Arial" w:hAnsi="Arial"/>
                <w:sz w:val="12"/>
                <w:szCs w:val="12"/>
                <w:color w:val="auto"/>
              </w:rPr>
              <w:t>37,000</w:t>
            </w:r>
          </w:p>
        </w:tc>
      </w:tr>
      <w:tr>
        <w:trPr>
          <w:trHeight w:val="135"/>
        </w:trPr>
        <w:tc>
          <w:tcPr>
            <w:tcW w:w="3080" w:type="dxa"/>
            <w:vAlign w:val="bottom"/>
          </w:tcPr>
          <w:p>
            <w:pPr>
              <w:spacing w:after="0" w:line="135" w:lineRule="exact"/>
              <w:rPr>
                <w:sz w:val="20"/>
                <w:szCs w:val="20"/>
                <w:color w:val="auto"/>
              </w:rPr>
            </w:pPr>
            <w:r>
              <w:rPr>
                <w:rFonts w:ascii="Arial" w:cs="Arial" w:eastAsia="Arial" w:hAnsi="Arial"/>
                <w:sz w:val="12"/>
                <w:szCs w:val="12"/>
                <w:color w:val="auto"/>
              </w:rPr>
              <w:t>W. R. Sanders</w:t>
            </w:r>
          </w:p>
        </w:tc>
        <w:tc>
          <w:tcPr>
            <w:tcW w:w="1500" w:type="dxa"/>
            <w:vAlign w:val="bottom"/>
            <w:gridSpan w:val="2"/>
          </w:tcPr>
          <w:p>
            <w:pPr>
              <w:jc w:val="right"/>
              <w:ind w:right="299"/>
              <w:spacing w:after="0" w:line="135" w:lineRule="exact"/>
              <w:rPr>
                <w:sz w:val="20"/>
                <w:szCs w:val="20"/>
                <w:color w:val="auto"/>
              </w:rPr>
            </w:pPr>
            <w:r>
              <w:rPr>
                <w:rFonts w:ascii="Arial" w:cs="Arial" w:eastAsia="Arial" w:hAnsi="Arial"/>
                <w:sz w:val="12"/>
                <w:szCs w:val="12"/>
                <w:color w:val="auto"/>
              </w:rPr>
              <w:t>112,000</w:t>
            </w:r>
          </w:p>
        </w:tc>
      </w:tr>
      <w:tr>
        <w:trPr>
          <w:trHeight w:val="135"/>
        </w:trPr>
        <w:tc>
          <w:tcPr>
            <w:tcW w:w="3080" w:type="dxa"/>
            <w:vAlign w:val="bottom"/>
            <w:shd w:val="clear" w:color="auto" w:fill="C0C0C0"/>
          </w:tcPr>
          <w:p>
            <w:pPr>
              <w:spacing w:after="0" w:line="135" w:lineRule="exact"/>
              <w:rPr>
                <w:sz w:val="20"/>
                <w:szCs w:val="20"/>
                <w:color w:val="auto"/>
              </w:rPr>
            </w:pPr>
            <w:r>
              <w:rPr>
                <w:rFonts w:ascii="Arial" w:cs="Arial" w:eastAsia="Arial" w:hAnsi="Arial"/>
                <w:sz w:val="12"/>
                <w:szCs w:val="12"/>
                <w:color w:val="auto"/>
              </w:rPr>
              <w:t>R. J. Simmons</w:t>
            </w:r>
          </w:p>
        </w:tc>
        <w:tc>
          <w:tcPr>
            <w:tcW w:w="1500" w:type="dxa"/>
            <w:vAlign w:val="bottom"/>
            <w:gridSpan w:val="2"/>
            <w:shd w:val="clear" w:color="auto" w:fill="C0C0C0"/>
          </w:tcPr>
          <w:p>
            <w:pPr>
              <w:jc w:val="right"/>
              <w:ind w:right="299"/>
              <w:spacing w:after="0" w:line="135" w:lineRule="exact"/>
              <w:rPr>
                <w:sz w:val="20"/>
                <w:szCs w:val="20"/>
                <w:color w:val="auto"/>
              </w:rPr>
            </w:pPr>
            <w:r>
              <w:rPr>
                <w:rFonts w:ascii="Arial" w:cs="Arial" w:eastAsia="Arial" w:hAnsi="Arial"/>
                <w:sz w:val="12"/>
                <w:szCs w:val="12"/>
                <w:color w:val="auto"/>
              </w:rPr>
              <w:t>92,000</w:t>
            </w:r>
          </w:p>
        </w:tc>
      </w:tr>
      <w:tr>
        <w:trPr>
          <w:trHeight w:val="147"/>
        </w:trPr>
        <w:tc>
          <w:tcPr>
            <w:tcW w:w="3080" w:type="dxa"/>
            <w:vAlign w:val="bottom"/>
          </w:tcPr>
          <w:p>
            <w:pPr>
              <w:spacing w:after="0"/>
              <w:rPr>
                <w:sz w:val="20"/>
                <w:szCs w:val="20"/>
                <w:color w:val="auto"/>
              </w:rPr>
            </w:pPr>
            <w:r>
              <w:rPr>
                <w:rFonts w:ascii="Arial" w:cs="Arial" w:eastAsia="Arial" w:hAnsi="Arial"/>
                <w:sz w:val="12"/>
                <w:szCs w:val="12"/>
                <w:color w:val="auto"/>
              </w:rPr>
              <w:t>C. T. Whitman</w:t>
            </w:r>
          </w:p>
        </w:tc>
        <w:tc>
          <w:tcPr>
            <w:tcW w:w="1500" w:type="dxa"/>
            <w:vAlign w:val="bottom"/>
            <w:gridSpan w:val="2"/>
          </w:tcPr>
          <w:p>
            <w:pPr>
              <w:jc w:val="right"/>
              <w:ind w:right="299"/>
              <w:spacing w:after="0"/>
              <w:rPr>
                <w:sz w:val="20"/>
                <w:szCs w:val="20"/>
                <w:color w:val="auto"/>
              </w:rPr>
            </w:pPr>
            <w:r>
              <w:rPr>
                <w:rFonts w:ascii="Arial" w:cs="Arial" w:eastAsia="Arial" w:hAnsi="Arial"/>
                <w:sz w:val="12"/>
                <w:szCs w:val="12"/>
                <w:color w:val="auto"/>
              </w:rPr>
              <w:t>52,000</w:t>
            </w:r>
          </w:p>
        </w:tc>
      </w:tr>
    </w:tbl>
    <w:p>
      <w:pPr>
        <w:sectPr>
          <w:pgSz w:w="11900" w:h="16838" w:orient="portrait"/>
          <w:cols w:equalWidth="0" w:num="1">
            <w:col w:w="11422"/>
          </w:cols>
          <w:pgMar w:left="238" w:top="142" w:right="239" w:bottom="0" w:gutter="0" w:footer="0" w:header="0"/>
        </w:sectPr>
      </w:pPr>
    </w:p>
    <w:bookmarkStart w:id="11" w:name="page12"/>
    <w:bookmarkEnd w:id="11"/>
    <w:p>
      <w:pPr>
        <w:ind w:left="442"/>
        <w:spacing w:after="0" w:line="250" w:lineRule="auto"/>
        <w:rPr>
          <w:sz w:val="20"/>
          <w:szCs w:val="20"/>
          <w:color w:val="auto"/>
        </w:rPr>
      </w:pPr>
      <w:r>
        <w:rPr>
          <w:rFonts w:ascii="Arial" w:cs="Arial" w:eastAsia="Arial" w:hAnsi="Arial"/>
          <w:sz w:val="16"/>
          <w:szCs w:val="16"/>
          <w:color w:val="auto"/>
        </w:rPr>
        <w:t>The terms of these options are set forth on page 14 except that for options granted before November 2006, the exercise price is the average of the high and low price of the company’s common stock on the date of grant.</w:t>
      </w:r>
    </w:p>
    <w:p>
      <w:pPr>
        <w:spacing w:after="0" w:line="205" w:lineRule="exact"/>
        <w:rPr>
          <w:sz w:val="20"/>
          <w:szCs w:val="20"/>
          <w:color w:val="auto"/>
        </w:rPr>
      </w:pPr>
    </w:p>
    <w:p>
      <w:pPr>
        <w:ind w:left="442" w:right="60" w:hanging="442"/>
        <w:spacing w:after="0" w:line="243" w:lineRule="auto"/>
        <w:tabs>
          <w:tab w:leader="none" w:pos="442" w:val="left"/>
        </w:tabs>
        <w:numPr>
          <w:ilvl w:val="0"/>
          <w:numId w:val="9"/>
        </w:numPr>
        <w:rPr>
          <w:rFonts w:ascii="Arial" w:cs="Arial" w:eastAsia="Arial" w:hAnsi="Arial"/>
          <w:sz w:val="16"/>
          <w:szCs w:val="16"/>
          <w:color w:val="auto"/>
        </w:rPr>
      </w:pPr>
      <w:r>
        <w:rPr>
          <w:rFonts w:ascii="Arial" w:cs="Arial" w:eastAsia="Arial" w:hAnsi="Arial"/>
          <w:sz w:val="16"/>
          <w:szCs w:val="16"/>
          <w:color w:val="auto"/>
        </w:rPr>
        <w:t>All Other Compensation in 2007 consists of the annual cost of premiums for life, medical, travel and accident insurance policies and, for certain individuals, costs related to the Director Award Program. Each director whose service commenced prior to June 20, 2002, is eligible to participate in the Director Award Program, a charitable donation program under which we will contribute a total of $500,000 per eligible director to as many as three educational institutions recommended by the director and approved</w:t>
      </w:r>
    </w:p>
    <w:p>
      <w:pPr>
        <w:spacing w:after="0" w:line="186"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22" w:right="80"/>
        <w:spacing w:after="0" w:line="241" w:lineRule="auto"/>
        <w:rPr>
          <w:sz w:val="20"/>
          <w:szCs w:val="20"/>
          <w:color w:val="auto"/>
        </w:rPr>
      </w:pPr>
      <w:r>
        <w:rPr>
          <w:rFonts w:ascii="Arial" w:cs="Arial" w:eastAsia="Arial" w:hAnsi="Arial"/>
          <w:sz w:val="16"/>
          <w:szCs w:val="16"/>
          <w:color w:val="auto"/>
        </w:rPr>
        <w:t>by us. The contributions are made following the director’s death. Directors receive no financial benefit from the program, and all charitable deductions belong to the company. In accordance with SEC rules, we have included the company’s annual costs under the program in All Other Compensation of the directors who participate. These costs include third-party administrator fees for the program and premiums on life insurance policies to fund the program. Messrs. Adams, Boren, Carp, Goode and Sanders participate in this program. Mr. Fronterhouse remains a participant in this program. The cost attributable to each of Messrs. Boren and Goode for their participation in the program was $11,741. For the other participating individuals, the attributable cost was below the $10,000 reporting threshold.</w:t>
      </w:r>
    </w:p>
    <w:p>
      <w:pPr>
        <w:spacing w:after="0" w:line="170"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color w:val="auto"/>
        </w:rPr>
        <w:t>EXECUTIVE COMPENSATION</w:t>
      </w:r>
    </w:p>
    <w:p>
      <w:pPr>
        <w:spacing w:after="0" w:line="196"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color w:val="auto"/>
        </w:rPr>
        <w:t>Compensation Discussion and Analysis</w:t>
      </w:r>
    </w:p>
    <w:p>
      <w:pPr>
        <w:spacing w:after="0" w:line="216" w:lineRule="exact"/>
        <w:rPr>
          <w:sz w:val="20"/>
          <w:szCs w:val="20"/>
          <w:color w:val="auto"/>
        </w:rPr>
      </w:pPr>
    </w:p>
    <w:p>
      <w:pPr>
        <w:ind w:left="2"/>
        <w:spacing w:after="0"/>
        <w:rPr>
          <w:sz w:val="20"/>
          <w:szCs w:val="20"/>
          <w:color w:val="auto"/>
        </w:rPr>
      </w:pPr>
      <w:r>
        <w:rPr>
          <w:rFonts w:ascii="Arial" w:cs="Arial" w:eastAsia="Arial" w:hAnsi="Arial"/>
          <w:sz w:val="16"/>
          <w:szCs w:val="16"/>
          <w:color w:val="auto"/>
        </w:rPr>
        <w:t>This section describes TI’s compensation program for executive officers. It will provide insight into the following:</w:t>
      </w:r>
    </w:p>
    <w:p>
      <w:pPr>
        <w:spacing w:after="0" w:line="220" w:lineRule="exact"/>
        <w:rPr>
          <w:sz w:val="20"/>
          <w:szCs w:val="20"/>
          <w:color w:val="auto"/>
        </w:rPr>
      </w:pPr>
    </w:p>
    <w:p>
      <w:pPr>
        <w:ind w:left="682"/>
        <w:spacing w:after="0"/>
        <w:rPr>
          <w:sz w:val="20"/>
          <w:szCs w:val="20"/>
          <w:color w:val="auto"/>
        </w:rPr>
      </w:pPr>
      <w:r>
        <w:rPr>
          <w:rFonts w:ascii="Arial" w:cs="Arial" w:eastAsia="Arial" w:hAnsi="Arial"/>
          <w:sz w:val="16"/>
          <w:szCs w:val="16"/>
          <w:color w:val="auto"/>
        </w:rPr>
        <w:t>The elements of the 2007 compensation program, how we selected them and how they relate to one another;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-92075</wp:posOffset>
            </wp:positionV>
            <wp:extent cx="64135" cy="641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2"/>
        <w:spacing w:after="0"/>
        <w:rPr>
          <w:sz w:val="20"/>
          <w:szCs w:val="20"/>
          <w:color w:val="auto"/>
        </w:rPr>
      </w:pPr>
      <w:r>
        <w:rPr>
          <w:rFonts w:ascii="Arial" w:cs="Arial" w:eastAsia="Arial" w:hAnsi="Arial"/>
          <w:sz w:val="16"/>
          <w:szCs w:val="16"/>
          <w:color w:val="auto"/>
        </w:rPr>
        <w:t>How we determined the amount of the compensation for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-92075</wp:posOffset>
            </wp:positionV>
            <wp:extent cx="64135" cy="641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88" w:lineRule="exact"/>
        <w:rPr>
          <w:sz w:val="20"/>
          <w:szCs w:val="20"/>
          <w:color w:val="auto"/>
        </w:rPr>
      </w:pPr>
    </w:p>
    <w:p>
      <w:pPr>
        <w:ind w:left="2" w:right="160"/>
        <w:spacing w:after="0" w:line="283" w:lineRule="auto"/>
        <w:rPr>
          <w:sz w:val="20"/>
          <w:szCs w:val="20"/>
          <w:color w:val="auto"/>
        </w:rPr>
      </w:pPr>
      <w:r>
        <w:rPr>
          <w:rFonts w:ascii="Arial" w:cs="Arial" w:eastAsia="Arial" w:hAnsi="Arial"/>
          <w:sz w:val="15"/>
          <w:szCs w:val="15"/>
          <w:color w:val="auto"/>
        </w:rPr>
        <w:t>Currently, TI has 14 executive officers. These executives have the broadest job responsibilities and policy-making authority in the company. We hold them accountable for the company’s performance and for maintaining a culture of strong ethics. Details of compensation for our CEO, CFO and the four other highest paid individuals who were executive officers in 2007 (collectively called the “named executive officers”) can be found in the tables beginning on page 30.</w:t>
      </w:r>
      <w:r>
        <w:rPr>
          <w:rFonts w:ascii="Arial" w:cs="Arial" w:eastAsia="Arial" w:hAnsi="Arial"/>
          <w:sz w:val="29"/>
          <w:szCs w:val="29"/>
          <w:color w:val="auto"/>
          <w:vertAlign w:val="superscript"/>
        </w:rPr>
        <w:t>1</w:t>
      </w:r>
    </w:p>
    <w:p>
      <w:pPr>
        <w:spacing w:after="0" w:line="1"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Executive Summary</w:t>
      </w:r>
    </w:p>
    <w:p>
      <w:pPr>
        <w:spacing w:after="0" w:line="240" w:lineRule="exact"/>
        <w:rPr>
          <w:sz w:val="20"/>
          <w:szCs w:val="20"/>
          <w:color w:val="auto"/>
        </w:rPr>
      </w:pPr>
    </w:p>
    <w:p>
      <w:pPr>
        <w:ind w:left="682" w:right="120"/>
        <w:spacing w:after="0" w:line="293" w:lineRule="auto"/>
        <w:rPr>
          <w:sz w:val="20"/>
          <w:szCs w:val="20"/>
          <w:color w:val="auto"/>
        </w:rPr>
      </w:pPr>
      <w:r>
        <w:rPr>
          <w:rFonts w:ascii="Arial" w:cs="Arial" w:eastAsia="Arial" w:hAnsi="Arial"/>
          <w:sz w:val="16"/>
          <w:szCs w:val="16"/>
          <w:color w:val="auto"/>
        </w:rPr>
        <w:t>The Compensation Committee of TI’s board of directors is responsible for setting the compensation of all TI executive officers. The committee consults with the other independent directors on the board before setting annual compensation for the executives. The committee chair regularly reports on committee actions at 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-402590</wp:posOffset>
            </wp:positionV>
            <wp:extent cx="64135" cy="641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88" w:lineRule="exact"/>
        <w:rPr>
          <w:sz w:val="20"/>
          <w:szCs w:val="20"/>
          <w:color w:val="auto"/>
        </w:rPr>
      </w:pPr>
    </w:p>
    <w:p>
      <w:pPr>
        <w:ind w:left="682" w:right="140"/>
        <w:spacing w:after="0" w:line="293" w:lineRule="auto"/>
        <w:rPr>
          <w:sz w:val="20"/>
          <w:szCs w:val="20"/>
          <w:color w:val="auto"/>
        </w:rPr>
      </w:pPr>
      <w:r>
        <w:rPr>
          <w:rFonts w:ascii="Arial" w:cs="Arial" w:eastAsia="Arial" w:hAnsi="Arial"/>
          <w:sz w:val="16"/>
          <w:szCs w:val="16"/>
          <w:color w:val="auto"/>
        </w:rPr>
        <w:t>Executive compensation has cash and non-cash components. The cash components are base salary, profit sharing and performance bonus. The non-cash component is equity compensation, generally in the form of stock options and restricted stock units. In addition, executive officers get the same benefits as other U.S. employees and a few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-402590</wp:posOffset>
            </wp:positionV>
            <wp:extent cx="64135" cy="641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64" w:lineRule="exact"/>
        <w:rPr>
          <w:sz w:val="20"/>
          <w:szCs w:val="20"/>
          <w:color w:val="auto"/>
        </w:rPr>
      </w:pPr>
    </w:p>
    <w:p>
      <w:pPr>
        <w:ind w:left="862"/>
        <w:spacing w:after="0"/>
        <w:rPr>
          <w:sz w:val="20"/>
          <w:szCs w:val="20"/>
          <w:color w:val="auto"/>
        </w:rPr>
      </w:pPr>
      <w:r>
        <w:rPr>
          <w:rFonts w:ascii="Arial" w:cs="Arial" w:eastAsia="Arial" w:hAnsi="Arial"/>
          <w:sz w:val="16"/>
          <w:szCs w:val="16"/>
          <w:color w:val="auto"/>
        </w:rPr>
        <w:t>All executive officers are employed at will. None has an employment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-92075</wp:posOffset>
            </wp:positionV>
            <wp:extent cx="64135" cy="641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862"/>
        <w:spacing w:after="0"/>
        <w:rPr>
          <w:sz w:val="20"/>
          <w:szCs w:val="20"/>
          <w:color w:val="auto"/>
        </w:rPr>
      </w:pPr>
      <w:r>
        <w:rPr>
          <w:rFonts w:ascii="Arial" w:cs="Arial" w:eastAsia="Arial" w:hAnsi="Arial"/>
          <w:sz w:val="16"/>
          <w:szCs w:val="16"/>
          <w:color w:val="auto"/>
        </w:rPr>
        <w:t>The committee follows these basic policies for the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-92075</wp:posOffset>
            </wp:positionV>
            <wp:extent cx="64135" cy="641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00" w:lineRule="exact"/>
        <w:rPr>
          <w:sz w:val="20"/>
          <w:szCs w:val="20"/>
          <w:color w:val="auto"/>
        </w:rPr>
      </w:pPr>
    </w:p>
    <w:p>
      <w:pPr>
        <w:jc w:val="both"/>
        <w:ind w:left="1542" w:right="220"/>
        <w:spacing w:after="0" w:line="293" w:lineRule="auto"/>
        <w:rPr>
          <w:sz w:val="20"/>
          <w:szCs w:val="20"/>
          <w:color w:val="auto"/>
        </w:rPr>
      </w:pPr>
      <w:r>
        <w:rPr>
          <w:rFonts w:ascii="Arial" w:cs="Arial" w:eastAsia="Arial" w:hAnsi="Arial"/>
          <w:sz w:val="16"/>
          <w:szCs w:val="16"/>
          <w:color w:val="auto"/>
        </w:rPr>
        <w:t>If company performance is better than competitors, total cash compensation (the sum of base salary, profit sharing and bonus) should be appropriately above market median; and if company performance is below competitors, total cash compensation should be appropriately below market median.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-402590</wp:posOffset>
            </wp:positionV>
            <wp:extent cx="64135" cy="641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88" w:lineRule="exact"/>
        <w:rPr>
          <w:sz w:val="20"/>
          <w:szCs w:val="20"/>
          <w:color w:val="auto"/>
        </w:rPr>
      </w:pPr>
    </w:p>
    <w:p>
      <w:pPr>
        <w:ind w:left="1542" w:right="180"/>
        <w:spacing w:after="0" w:line="293" w:lineRule="auto"/>
        <w:rPr>
          <w:sz w:val="20"/>
          <w:szCs w:val="20"/>
          <w:color w:val="auto"/>
        </w:rPr>
      </w:pPr>
      <w:r>
        <w:rPr>
          <w:rFonts w:ascii="Arial" w:cs="Arial" w:eastAsia="Arial" w:hAnsi="Arial"/>
          <w:sz w:val="16"/>
          <w:szCs w:val="16"/>
          <w:color w:val="auto"/>
        </w:rPr>
        <w:t>Within total cash compensation: base salary is generally set below the market median; profit sharing is determined according to a formula and depends on the level of company’s annual operating margin; and bonuses bring total cash compensation to the appropriate level according to the policy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-402590</wp:posOffset>
            </wp:positionV>
            <wp:extent cx="64135" cy="641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17" w:lineRule="exact"/>
        <w:rPr>
          <w:sz w:val="20"/>
          <w:szCs w:val="20"/>
          <w:color w:val="auto"/>
        </w:rPr>
      </w:pPr>
    </w:p>
    <w:p>
      <w:pPr>
        <w:ind w:left="2"/>
        <w:spacing w:after="0"/>
        <w:rPr>
          <w:sz w:val="20"/>
          <w:szCs w:val="20"/>
          <w:color w:val="auto"/>
        </w:rPr>
      </w:pPr>
      <w:r>
        <w:rPr>
          <w:rFonts w:ascii="Arial" w:cs="Arial" w:eastAsia="Arial" w:hAnsi="Arial"/>
          <w:sz w:val="20"/>
          <w:szCs w:val="20"/>
          <w:color w:val="auto"/>
        </w:rPr>
        <w:t>____________________</w:t>
      </w:r>
    </w:p>
    <w:p>
      <w:pPr>
        <w:spacing w:after="0" w:line="209" w:lineRule="exact"/>
        <w:rPr>
          <w:sz w:val="20"/>
          <w:szCs w:val="20"/>
          <w:color w:val="auto"/>
        </w:rPr>
      </w:pPr>
    </w:p>
    <w:p>
      <w:pPr>
        <w:ind w:left="322" w:right="40" w:hanging="322"/>
        <w:spacing w:after="0" w:line="206" w:lineRule="auto"/>
        <w:tabs>
          <w:tab w:leader="none" w:pos="322" w:val="left"/>
        </w:tabs>
        <w:numPr>
          <w:ilvl w:val="0"/>
          <w:numId w:val="10"/>
        </w:numPr>
        <w:rPr>
          <w:rFonts w:ascii="Arial" w:cs="Arial" w:eastAsia="Arial" w:hAnsi="Arial"/>
          <w:sz w:val="23"/>
          <w:szCs w:val="23"/>
          <w:color w:val="auto"/>
          <w:vertAlign w:val="superscript"/>
        </w:rPr>
      </w:pPr>
      <w:r>
        <w:rPr>
          <w:rFonts w:ascii="Arial" w:cs="Arial" w:eastAsia="Arial" w:hAnsi="Arial"/>
          <w:sz w:val="15"/>
          <w:szCs w:val="15"/>
          <w:color w:val="auto"/>
        </w:rPr>
        <w:t>The named executive officers include one individual (Mr. Delfassy) who ceased to be an executive officer in January 2007 for whom information is included in the compensation tables beginning on page 30 as required by SEC rules. The decisions relating to his 2007 compensation are discussed on pages 28-29.</w:t>
      </w:r>
    </w:p>
    <w:p>
      <w:pPr>
        <w:spacing w:after="0" w:line="189"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482" w:right="60"/>
        <w:spacing w:after="0" w:line="291" w:lineRule="auto"/>
        <w:rPr>
          <w:sz w:val="20"/>
          <w:szCs w:val="20"/>
          <w:color w:val="auto"/>
        </w:rPr>
      </w:pPr>
      <w:r>
        <w:rPr>
          <w:rFonts w:ascii="Arial" w:cs="Arial" w:eastAsia="Arial" w:hAnsi="Arial"/>
          <w:sz w:val="16"/>
          <w:szCs w:val="16"/>
          <w:color w:val="auto"/>
        </w:rPr>
        <w:t>The primary considerations in determining total cash compensation are the company’s (i) one-year performance with respect to certain performance measures as compared to that of competitors and (ii) our strategic progress in key markets and with customers. A secondary consideration is the company’s three-year performance under those measures and strategic progress. To a lesser extent, the committee also considers the performance of the organization for which the executive was responsible.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-541655</wp:posOffset>
            </wp:positionV>
            <wp:extent cx="64135" cy="641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90" w:lineRule="exact"/>
        <w:rPr>
          <w:sz w:val="20"/>
          <w:szCs w:val="20"/>
          <w:color w:val="auto"/>
        </w:rPr>
      </w:pPr>
    </w:p>
    <w:p>
      <w:pPr>
        <w:ind w:left="482" w:right="20"/>
        <w:spacing w:after="0" w:line="298" w:lineRule="auto"/>
        <w:rPr>
          <w:sz w:val="20"/>
          <w:szCs w:val="20"/>
          <w:color w:val="auto"/>
        </w:rPr>
      </w:pPr>
      <w:r>
        <w:rPr>
          <w:rFonts w:ascii="Arial" w:cs="Arial" w:eastAsia="Arial" w:hAnsi="Arial"/>
          <w:sz w:val="16"/>
          <w:szCs w:val="16"/>
          <w:color w:val="auto"/>
        </w:rPr>
        <w:t>The primary consideration in setting equity compensation is the level of equity compensation granted to similarly situated executive officers at a peer group of companies (the “Comparator Group”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-265430</wp:posOffset>
            </wp:positionV>
            <wp:extent cx="64135" cy="641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1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Program Objectives and Principles</w:t>
      </w:r>
    </w:p>
    <w:p>
      <w:pPr>
        <w:spacing w:after="0" w:line="216" w:lineRule="exact"/>
        <w:rPr>
          <w:sz w:val="20"/>
          <w:szCs w:val="20"/>
          <w:color w:val="auto"/>
        </w:rPr>
      </w:pPr>
    </w:p>
    <w:p>
      <w:pPr>
        <w:ind w:left="2" w:right="560"/>
        <w:spacing w:after="0" w:line="250" w:lineRule="auto"/>
        <w:rPr>
          <w:sz w:val="20"/>
          <w:szCs w:val="20"/>
          <w:color w:val="auto"/>
        </w:rPr>
      </w:pPr>
      <w:r>
        <w:rPr>
          <w:rFonts w:ascii="Arial" w:cs="Arial" w:eastAsia="Arial" w:hAnsi="Arial"/>
          <w:sz w:val="16"/>
          <w:szCs w:val="16"/>
          <w:color w:val="auto"/>
        </w:rPr>
        <w:t>The goal of the compensation program is to provide meaningful incentives that motivate executive officers to achieve profitable growth and build long-term capability that will deliver shareholder value. To achieve this goal, the compensation program has been designed based on the following principles:</w:t>
      </w:r>
    </w:p>
    <w:p>
      <w:pPr>
        <w:spacing w:after="0" w:line="180" w:lineRule="exact"/>
        <w:rPr>
          <w:sz w:val="20"/>
          <w:szCs w:val="20"/>
          <w:color w:val="auto"/>
        </w:rPr>
      </w:pPr>
    </w:p>
    <w:p>
      <w:pPr>
        <w:ind w:left="622" w:right="100" w:hanging="377"/>
        <w:spacing w:after="0" w:line="250" w:lineRule="auto"/>
        <w:tabs>
          <w:tab w:leader="none" w:pos="622" w:val="left"/>
        </w:tabs>
        <w:numPr>
          <w:ilvl w:val="0"/>
          <w:numId w:val="11"/>
        </w:numPr>
        <w:rPr>
          <w:rFonts w:ascii="Arial" w:cs="Arial" w:eastAsia="Arial" w:hAnsi="Arial"/>
          <w:sz w:val="16"/>
          <w:szCs w:val="16"/>
          <w:color w:val="auto"/>
        </w:rPr>
      </w:pPr>
      <w:r>
        <w:rPr>
          <w:rFonts w:ascii="Arial" w:cs="Arial" w:eastAsia="Arial" w:hAnsi="Arial"/>
          <w:sz w:val="16"/>
          <w:szCs w:val="16"/>
          <w:color w:val="auto"/>
        </w:rPr>
        <w:t>Pay for performance – specifically, pay better than the market median for performance that is superior to competitors, and pay below the market median for performance that is inferior to competitors.</w:t>
      </w:r>
    </w:p>
    <w:p>
      <w:pPr>
        <w:spacing w:after="0" w:line="204" w:lineRule="exact"/>
        <w:rPr>
          <w:rFonts w:ascii="Arial" w:cs="Arial" w:eastAsia="Arial" w:hAnsi="Arial"/>
          <w:sz w:val="16"/>
          <w:szCs w:val="16"/>
          <w:color w:val="auto"/>
        </w:rPr>
      </w:pPr>
    </w:p>
    <w:p>
      <w:pPr>
        <w:ind w:left="622" w:right="100" w:hanging="377"/>
        <w:spacing w:after="0" w:line="250" w:lineRule="auto"/>
        <w:tabs>
          <w:tab w:leader="none" w:pos="622" w:val="left"/>
        </w:tabs>
        <w:numPr>
          <w:ilvl w:val="0"/>
          <w:numId w:val="11"/>
        </w:numPr>
        <w:rPr>
          <w:rFonts w:ascii="Arial" w:cs="Arial" w:eastAsia="Arial" w:hAnsi="Arial"/>
          <w:sz w:val="16"/>
          <w:szCs w:val="16"/>
          <w:color w:val="auto"/>
        </w:rPr>
      </w:pPr>
      <w:r>
        <w:rPr>
          <w:rFonts w:ascii="Arial" w:cs="Arial" w:eastAsia="Arial" w:hAnsi="Arial"/>
          <w:sz w:val="16"/>
          <w:szCs w:val="16"/>
          <w:color w:val="auto"/>
        </w:rPr>
        <w:t>Align executive priorities with those of stockholders – deliver rewards in ways that encourage executives to think and act in both the near-term and long-term interests of our stockholders.</w:t>
      </w:r>
    </w:p>
    <w:p>
      <w:pPr>
        <w:sectPr>
          <w:pgSz w:w="11900" w:h="16838" w:orient="portrait"/>
          <w:cols w:equalWidth="0" w:num="1">
            <w:col w:w="11402"/>
          </w:cols>
          <w:pgMar w:left="238" w:top="142" w:right="259" w:bottom="0" w:gutter="0" w:footer="0" w:header="0"/>
        </w:sectPr>
      </w:pPr>
    </w:p>
    <w:bookmarkStart w:id="12" w:name="page13"/>
    <w:bookmarkEnd w:id="12"/>
    <w:p>
      <w:pPr>
        <w:ind w:right="160"/>
        <w:spacing w:after="0" w:line="245" w:lineRule="auto"/>
        <w:rPr>
          <w:sz w:val="20"/>
          <w:szCs w:val="20"/>
          <w:color w:val="auto"/>
        </w:rPr>
      </w:pPr>
      <w:r>
        <w:rPr>
          <w:rFonts w:ascii="Arial" w:cs="Arial" w:eastAsia="Arial" w:hAnsi="Arial"/>
          <w:sz w:val="16"/>
          <w:szCs w:val="16"/>
          <w:color w:val="auto"/>
        </w:rPr>
        <w:t>In a cyclical industry such as ours, in which market conditions and therefore growth and profitability can change quickly, we do not use formulas or pre-set thresholds or multiples to determine compensation awards. Instead, we focus on relative performance, comparing TI’s results to those of peer group companies. The only exception to this is the profit sharing program applicable to all U.S. employees, which pays in accordance with a profitability formula.</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Elements</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primary elements of our executive compensation program are as follows: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Near-term compensation, paid in cash</w:t>
      </w:r>
    </w:p>
    <w:p>
      <w:pPr>
        <w:sectPr>
          <w:pgSz w:w="11900" w:h="16838" w:orient="portrait"/>
          <w:cols w:equalWidth="0" w:num="1">
            <w:col w:w="11420"/>
          </w:cols>
          <w:pgMar w:left="240" w:top="142" w:right="239" w:bottom="0" w:gutter="0" w:footer="0" w:header="0"/>
        </w:sect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120" w:type="dxa"/>
            <w:vAlign w:val="bottom"/>
            <w:tcBorders>
              <w:bottom w:val="single" w:sz="8" w:color="auto"/>
            </w:tcBorders>
          </w:tcPr>
          <w:p>
            <w:pPr>
              <w:ind w:left="780"/>
              <w:spacing w:after="0"/>
              <w:rPr>
                <w:sz w:val="20"/>
                <w:szCs w:val="20"/>
                <w:color w:val="auto"/>
              </w:rPr>
            </w:pPr>
            <w:r>
              <w:rPr>
                <w:rFonts w:ascii="Arial" w:cs="Arial" w:eastAsia="Arial" w:hAnsi="Arial"/>
                <w:sz w:val="12"/>
                <w:szCs w:val="12"/>
                <w:b w:val="1"/>
                <w:bCs w:val="1"/>
                <w:color w:val="auto"/>
              </w:rPr>
              <w:t>Element</w:t>
            </w:r>
          </w:p>
        </w:tc>
        <w:tc>
          <w:tcPr>
            <w:tcW w:w="740" w:type="dxa"/>
            <w:vAlign w:val="bottom"/>
          </w:tcPr>
          <w:p>
            <w:pPr>
              <w:spacing w:after="0"/>
              <w:rPr>
                <w:sz w:val="14"/>
                <w:szCs w:val="14"/>
                <w:color w:val="auto"/>
              </w:rPr>
            </w:pPr>
          </w:p>
        </w:tc>
        <w:tc>
          <w:tcPr>
            <w:tcW w:w="2300" w:type="dxa"/>
            <w:vAlign w:val="bottom"/>
            <w:tcBorders>
              <w:bottom w:val="single" w:sz="8" w:color="auto"/>
            </w:tcBorders>
          </w:tcPr>
          <w:p>
            <w:pPr>
              <w:ind w:left="880"/>
              <w:spacing w:after="0"/>
              <w:rPr>
                <w:sz w:val="20"/>
                <w:szCs w:val="20"/>
                <w:color w:val="auto"/>
              </w:rPr>
            </w:pPr>
            <w:r>
              <w:rPr>
                <w:rFonts w:ascii="Arial" w:cs="Arial" w:eastAsia="Arial" w:hAnsi="Arial"/>
                <w:sz w:val="12"/>
                <w:szCs w:val="12"/>
                <w:b w:val="1"/>
                <w:bCs w:val="1"/>
                <w:color w:val="auto"/>
              </w:rPr>
              <w:t>Purpose</w:t>
            </w:r>
          </w:p>
        </w:tc>
      </w:tr>
      <w:tr>
        <w:trPr>
          <w:trHeight w:val="146"/>
        </w:trPr>
        <w:tc>
          <w:tcPr>
            <w:tcW w:w="20" w:type="dxa"/>
            <w:vAlign w:val="bottom"/>
          </w:tcPr>
          <w:p>
            <w:pPr>
              <w:spacing w:after="0"/>
              <w:rPr>
                <w:sz w:val="12"/>
                <w:szCs w:val="12"/>
                <w:color w:val="auto"/>
              </w:rPr>
            </w:pPr>
          </w:p>
        </w:tc>
        <w:tc>
          <w:tcPr>
            <w:tcW w:w="2120" w:type="dxa"/>
            <w:vAlign w:val="bottom"/>
          </w:tcPr>
          <w:p>
            <w:pPr>
              <w:spacing w:after="0"/>
              <w:rPr>
                <w:sz w:val="20"/>
                <w:szCs w:val="20"/>
                <w:color w:val="auto"/>
              </w:rPr>
            </w:pPr>
            <w:r>
              <w:rPr>
                <w:rFonts w:ascii="Arial" w:cs="Arial" w:eastAsia="Arial" w:hAnsi="Arial"/>
                <w:sz w:val="12"/>
                <w:szCs w:val="12"/>
                <w:color w:val="auto"/>
              </w:rPr>
              <w:t>Base salary</w:t>
            </w:r>
          </w:p>
        </w:tc>
        <w:tc>
          <w:tcPr>
            <w:tcW w:w="740" w:type="dxa"/>
            <w:vAlign w:val="bottom"/>
          </w:tcPr>
          <w:p>
            <w:pPr>
              <w:spacing w:after="0"/>
              <w:rPr>
                <w:sz w:val="12"/>
                <w:szCs w:val="12"/>
                <w:color w:val="auto"/>
              </w:rPr>
            </w:pPr>
          </w:p>
        </w:tc>
        <w:tc>
          <w:tcPr>
            <w:tcW w:w="2300" w:type="dxa"/>
            <w:vAlign w:val="bottom"/>
          </w:tcPr>
          <w:p>
            <w:pPr>
              <w:spacing w:after="0"/>
              <w:rPr>
                <w:sz w:val="20"/>
                <w:szCs w:val="20"/>
                <w:color w:val="auto"/>
              </w:rPr>
            </w:pPr>
            <w:r>
              <w:rPr>
                <w:rFonts w:ascii="Arial" w:cs="Arial" w:eastAsia="Arial" w:hAnsi="Arial"/>
                <w:sz w:val="12"/>
                <w:szCs w:val="12"/>
                <w:color w:val="auto"/>
              </w:rPr>
              <w:t>Basic, least variable form of compensation</w:t>
            </w:r>
          </w:p>
        </w:tc>
      </w:tr>
      <w:tr>
        <w:trPr>
          <w:trHeight w:val="747"/>
        </w:trPr>
        <w:tc>
          <w:tcPr>
            <w:tcW w:w="2140" w:type="dxa"/>
            <w:vAlign w:val="bottom"/>
            <w:gridSpan w:val="2"/>
          </w:tcPr>
          <w:p>
            <w:pPr>
              <w:spacing w:after="0"/>
              <w:rPr>
                <w:sz w:val="20"/>
                <w:szCs w:val="20"/>
                <w:color w:val="auto"/>
              </w:rPr>
            </w:pPr>
            <w:r>
              <w:rPr>
                <w:rFonts w:ascii="Arial" w:cs="Arial" w:eastAsia="Arial" w:hAnsi="Arial"/>
                <w:sz w:val="12"/>
                <w:szCs w:val="12"/>
                <w:color w:val="auto"/>
              </w:rPr>
              <w:t>Profit sharing</w:t>
            </w:r>
          </w:p>
        </w:tc>
        <w:tc>
          <w:tcPr>
            <w:tcW w:w="3040" w:type="dxa"/>
            <w:vAlign w:val="bottom"/>
            <w:gridSpan w:val="2"/>
          </w:tcPr>
          <w:p>
            <w:pPr>
              <w:ind w:left="740"/>
              <w:spacing w:after="0"/>
              <w:rPr>
                <w:sz w:val="20"/>
                <w:szCs w:val="20"/>
                <w:color w:val="auto"/>
              </w:rPr>
            </w:pPr>
            <w:r>
              <w:rPr>
                <w:rFonts w:ascii="Arial" w:cs="Arial" w:eastAsia="Arial" w:hAnsi="Arial"/>
                <w:sz w:val="12"/>
                <w:szCs w:val="12"/>
                <w:color w:val="auto"/>
              </w:rPr>
              <w:t>Broad-based program designed to</w:t>
            </w:r>
          </w:p>
        </w:tc>
      </w:tr>
      <w:tr>
        <w:trPr>
          <w:trHeight w:val="135"/>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040" w:type="dxa"/>
            <w:vAlign w:val="bottom"/>
            <w:gridSpan w:val="2"/>
          </w:tcPr>
          <w:p>
            <w:pPr>
              <w:ind w:left="740"/>
              <w:spacing w:after="0" w:line="135" w:lineRule="exact"/>
              <w:rPr>
                <w:sz w:val="20"/>
                <w:szCs w:val="20"/>
                <w:color w:val="auto"/>
              </w:rPr>
            </w:pPr>
            <w:r>
              <w:rPr>
                <w:rFonts w:ascii="Arial" w:cs="Arial" w:eastAsia="Arial" w:hAnsi="Arial"/>
                <w:sz w:val="12"/>
                <w:szCs w:val="12"/>
                <w:color w:val="auto"/>
              </w:rPr>
              <w:t>emphasize that each employee</w:t>
            </w:r>
          </w:p>
        </w:tc>
      </w:tr>
      <w:tr>
        <w:trPr>
          <w:trHeight w:val="135"/>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040" w:type="dxa"/>
            <w:vAlign w:val="bottom"/>
            <w:gridSpan w:val="2"/>
          </w:tcPr>
          <w:p>
            <w:pPr>
              <w:ind w:left="740"/>
              <w:spacing w:after="0" w:line="135" w:lineRule="exact"/>
              <w:rPr>
                <w:sz w:val="20"/>
                <w:szCs w:val="20"/>
                <w:color w:val="auto"/>
              </w:rPr>
            </w:pPr>
            <w:r>
              <w:rPr>
                <w:rFonts w:ascii="Arial" w:cs="Arial" w:eastAsia="Arial" w:hAnsi="Arial"/>
                <w:sz w:val="12"/>
                <w:szCs w:val="12"/>
                <w:color w:val="auto"/>
              </w:rPr>
              <w:t>contributes to the company’s profitability</w:t>
            </w:r>
          </w:p>
        </w:tc>
      </w:tr>
      <w:tr>
        <w:trPr>
          <w:trHeight w:val="147"/>
        </w:trPr>
        <w:tc>
          <w:tcPr>
            <w:tcW w:w="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040" w:type="dxa"/>
            <w:vAlign w:val="bottom"/>
            <w:gridSpan w:val="2"/>
          </w:tcPr>
          <w:p>
            <w:pPr>
              <w:ind w:left="740"/>
              <w:spacing w:after="0"/>
              <w:rPr>
                <w:sz w:val="20"/>
                <w:szCs w:val="20"/>
                <w:color w:val="auto"/>
              </w:rPr>
            </w:pPr>
            <w:r>
              <w:rPr>
                <w:rFonts w:ascii="Arial" w:cs="Arial" w:eastAsia="Arial" w:hAnsi="Arial"/>
                <w:sz w:val="12"/>
                <w:szCs w:val="12"/>
                <w:color w:val="auto"/>
              </w:rPr>
              <w:t>and can share in it</w:t>
            </w:r>
          </w:p>
        </w:tc>
      </w:tr>
    </w:tbl>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152527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525270" cy="7620"/>
                    </a:xfrm>
                    <a:prstGeom prst="rect">
                      <a:avLst/>
                    </a:prstGeom>
                    <a:noFill/>
                  </pic:spPr>
                </pic:pic>
              </a:graphicData>
            </a:graphic>
          </wp:anchor>
        </w:drawing>
      </w:r>
    </w:p>
    <w:p>
      <w:pPr>
        <w:spacing w:after="0" w:line="28" w:lineRule="exact"/>
        <w:rPr>
          <w:sz w:val="20"/>
          <w:szCs w:val="20"/>
          <w:color w:val="auto"/>
        </w:rPr>
      </w:pPr>
    </w:p>
    <w:p>
      <w:pPr>
        <w:ind w:right="160"/>
        <w:spacing w:after="0" w:line="239" w:lineRule="auto"/>
        <w:rPr>
          <w:sz w:val="20"/>
          <w:szCs w:val="20"/>
          <w:color w:val="auto"/>
        </w:rPr>
      </w:pPr>
      <w:r>
        <w:rPr>
          <w:rFonts w:ascii="Arial" w:cs="Arial" w:eastAsia="Arial" w:hAnsi="Arial"/>
          <w:sz w:val="12"/>
          <w:szCs w:val="12"/>
          <w:color w:val="auto"/>
        </w:rPr>
        <w:t>Pay slightly below market median in order to weight total compensation to the performance-based elements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-347980</wp:posOffset>
            </wp:positionV>
            <wp:extent cx="7259320" cy="3422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9320" cy="342265"/>
                    </a:xfrm>
                    <a:prstGeom prst="rect">
                      <a:avLst/>
                    </a:prstGeom>
                    <a:noFill/>
                  </pic:spPr>
                </pic:pic>
              </a:graphicData>
            </a:graphic>
          </wp:anchor>
        </w:drawing>
      </w:r>
    </w:p>
    <w:p>
      <w:pPr>
        <w:spacing w:after="0" w:line="190" w:lineRule="exact"/>
        <w:rPr>
          <w:sz w:val="20"/>
          <w:szCs w:val="20"/>
          <w:color w:val="auto"/>
        </w:rPr>
      </w:pPr>
    </w:p>
    <w:p>
      <w:pPr>
        <w:jc w:val="both"/>
        <w:ind w:right="260"/>
        <w:spacing w:after="0" w:line="242" w:lineRule="auto"/>
        <w:rPr>
          <w:sz w:val="20"/>
          <w:szCs w:val="20"/>
          <w:color w:val="auto"/>
        </w:rPr>
      </w:pPr>
      <w:r>
        <w:rPr>
          <w:rFonts w:ascii="Arial" w:cs="Arial" w:eastAsia="Arial" w:hAnsi="Arial"/>
          <w:sz w:val="12"/>
          <w:szCs w:val="12"/>
          <w:color w:val="auto"/>
        </w:rPr>
        <w:t>Pay according to a formula that focuses employees on a company goal, and at a level that will affect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-264160</wp:posOffset>
            </wp:positionV>
            <wp:extent cx="7259320" cy="315912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9320" cy="3159125"/>
                    </a:xfrm>
                    <a:prstGeom prst="rect">
                      <a:avLst/>
                    </a:prstGeom>
                    <a:noFill/>
                  </pic:spPr>
                </pic:pic>
              </a:graphicData>
            </a:graphic>
          </wp:anchor>
        </w:drawing>
      </w:r>
    </w:p>
    <w:p>
      <w:pPr>
        <w:spacing w:after="0" w:line="163" w:lineRule="exact"/>
        <w:rPr>
          <w:sz w:val="20"/>
          <w:szCs w:val="20"/>
          <w:color w:val="auto"/>
        </w:rPr>
      </w:pPr>
    </w:p>
    <w:p>
      <w:pPr>
        <w:ind w:right="100"/>
        <w:spacing w:after="0" w:line="237" w:lineRule="auto"/>
        <w:rPr>
          <w:sz w:val="20"/>
          <w:szCs w:val="20"/>
          <w:color w:val="auto"/>
        </w:rPr>
      </w:pPr>
      <w:r>
        <w:rPr>
          <w:rFonts w:ascii="Arial" w:cs="Arial" w:eastAsia="Arial" w:hAnsi="Arial"/>
          <w:sz w:val="12"/>
          <w:szCs w:val="12"/>
          <w:color w:val="auto"/>
        </w:rPr>
        <w:t>For the last four years, the formula has been based on company-level annual operating margin. The formula was set by the TI board. The committee’s practice has been not to adjust amounts earned under the formula.</w:t>
      </w:r>
    </w:p>
    <w:p>
      <w:pPr>
        <w:spacing w:after="0" w:line="187" w:lineRule="exact"/>
        <w:rPr>
          <w:sz w:val="20"/>
          <w:szCs w:val="20"/>
          <w:color w:val="auto"/>
        </w:rPr>
      </w:pPr>
    </w:p>
    <w:p>
      <w:pPr>
        <w:ind w:right="180"/>
        <w:spacing w:after="0" w:line="238" w:lineRule="auto"/>
        <w:rPr>
          <w:sz w:val="20"/>
          <w:szCs w:val="20"/>
          <w:color w:val="auto"/>
        </w:rPr>
      </w:pPr>
      <w:r>
        <w:rPr>
          <w:rFonts w:ascii="Arial" w:cs="Arial" w:eastAsia="Arial" w:hAnsi="Arial"/>
          <w:sz w:val="12"/>
          <w:szCs w:val="12"/>
          <w:color w:val="auto"/>
        </w:rPr>
        <w:t>Profit sharing is part of total cash compensation. Because bonus is used to bring total cash compensation to the appropriate level, bonus is effectively reduced by the profit sharing payment.</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ind w:left="980"/>
        <w:spacing w:after="0"/>
        <w:rPr>
          <w:sz w:val="20"/>
          <w:szCs w:val="20"/>
          <w:color w:val="auto"/>
        </w:rPr>
      </w:pPr>
      <w:r>
        <w:rPr>
          <w:rFonts w:ascii="Arial" w:cs="Arial" w:eastAsia="Arial" w:hAnsi="Arial"/>
          <w:sz w:val="12"/>
          <w:szCs w:val="12"/>
          <w:b w:val="1"/>
          <w:bCs w:val="1"/>
          <w:color w:val="auto"/>
        </w:rPr>
        <w:t>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150939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09395" cy="762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color w:val="auto"/>
        </w:rPr>
        <w:t>Paid twice monthly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60"/>
        <w:spacing w:after="0" w:line="249" w:lineRule="auto"/>
        <w:rPr>
          <w:sz w:val="20"/>
          <w:szCs w:val="20"/>
          <w:color w:val="auto"/>
        </w:rPr>
      </w:pPr>
      <w:r>
        <w:rPr>
          <w:rFonts w:ascii="Arial" w:cs="Arial" w:eastAsia="Arial" w:hAnsi="Arial"/>
          <w:sz w:val="12"/>
          <w:szCs w:val="12"/>
          <w:color w:val="auto"/>
        </w:rPr>
        <w:t>Payable in a single payment shortly after the end of the performance year</w:t>
      </w:r>
    </w:p>
    <w:p>
      <w:pPr>
        <w:spacing w:after="0" w:line="179" w:lineRule="exact"/>
        <w:rPr>
          <w:sz w:val="20"/>
          <w:szCs w:val="20"/>
          <w:color w:val="auto"/>
        </w:rPr>
      </w:pPr>
    </w:p>
    <w:p>
      <w:pPr>
        <w:ind w:right="220"/>
        <w:spacing w:after="0" w:line="249" w:lineRule="auto"/>
        <w:rPr>
          <w:sz w:val="20"/>
          <w:szCs w:val="20"/>
          <w:color w:val="auto"/>
        </w:rPr>
      </w:pPr>
      <w:r>
        <w:rPr>
          <w:rFonts w:ascii="Arial" w:cs="Arial" w:eastAsia="Arial" w:hAnsi="Arial"/>
          <w:sz w:val="12"/>
          <w:szCs w:val="12"/>
          <w:color w:val="auto"/>
        </w:rPr>
        <w:t>As in recent years, the formula for 2007 was:</w:t>
      </w:r>
    </w:p>
    <w:p>
      <w:pPr>
        <w:spacing w:after="0" w:line="241" w:lineRule="exact"/>
        <w:rPr>
          <w:sz w:val="20"/>
          <w:szCs w:val="20"/>
          <w:color w:val="auto"/>
        </w:rPr>
      </w:pPr>
    </w:p>
    <w:p>
      <w:pPr>
        <w:ind w:left="480" w:right="40"/>
        <w:spacing w:after="0" w:line="391" w:lineRule="auto"/>
        <w:rPr>
          <w:sz w:val="20"/>
          <w:szCs w:val="20"/>
          <w:color w:val="auto"/>
        </w:rPr>
      </w:pPr>
      <w:r>
        <w:rPr>
          <w:rFonts w:ascii="Arial" w:cs="Arial" w:eastAsia="Arial" w:hAnsi="Arial"/>
          <w:sz w:val="12"/>
          <w:szCs w:val="12"/>
          <w:color w:val="auto"/>
        </w:rPr>
        <w:t>Below 10% company-level annual operating margin (“Margin”): No profit sharing</w:t>
      </w:r>
    </w:p>
    <w:p>
      <w:pPr>
        <w:spacing w:after="0" w:line="208" w:lineRule="exact"/>
        <w:rPr>
          <w:sz w:val="20"/>
          <w:szCs w:val="20"/>
          <w:color w:val="auto"/>
        </w:rPr>
      </w:pPr>
    </w:p>
    <w:p>
      <w:pPr>
        <w:ind w:left="480" w:right="180"/>
        <w:spacing w:after="0" w:line="399" w:lineRule="auto"/>
        <w:rPr>
          <w:sz w:val="20"/>
          <w:szCs w:val="20"/>
          <w:color w:val="auto"/>
        </w:rPr>
      </w:pPr>
      <w:r>
        <w:rPr>
          <w:rFonts w:ascii="Arial" w:cs="Arial" w:eastAsia="Arial" w:hAnsi="Arial"/>
          <w:sz w:val="12"/>
          <w:szCs w:val="12"/>
          <w:color w:val="auto"/>
        </w:rPr>
        <w:t>At 10% Margin: Profit sharing = 2% of base salary</w:t>
      </w:r>
    </w:p>
    <w:p>
      <w:pPr>
        <w:spacing w:after="0" w:line="203" w:lineRule="exact"/>
        <w:rPr>
          <w:sz w:val="20"/>
          <w:szCs w:val="20"/>
          <w:color w:val="auto"/>
        </w:rPr>
      </w:pPr>
    </w:p>
    <w:p>
      <w:pPr>
        <w:ind w:left="480"/>
        <w:spacing w:after="0" w:line="385" w:lineRule="auto"/>
        <w:rPr>
          <w:sz w:val="20"/>
          <w:szCs w:val="20"/>
          <w:color w:val="auto"/>
        </w:rPr>
      </w:pPr>
      <w:r>
        <w:rPr>
          <w:rFonts w:ascii="Arial" w:cs="Arial" w:eastAsia="Arial" w:hAnsi="Arial"/>
          <w:sz w:val="12"/>
          <w:szCs w:val="12"/>
          <w:color w:val="auto"/>
        </w:rPr>
        <w:t>At Margin above 10%: Profit sharing increases by 0.5% of base salary for each percentage point of Margin between 10% and 24%, and 1% of base salary for each percentage point of Margin above 24%. The maximum profit sharing is 20% of base salary.</w:t>
      </w:r>
    </w:p>
    <w:p>
      <w:pPr>
        <w:spacing w:after="0" w:line="128" w:lineRule="exact"/>
        <w:rPr>
          <w:sz w:val="20"/>
          <w:szCs w:val="20"/>
          <w:color w:val="auto"/>
        </w:rPr>
      </w:pPr>
    </w:p>
    <w:p>
      <w:pPr>
        <w:jc w:val="both"/>
        <w:ind w:right="40"/>
        <w:spacing w:after="0" w:line="239" w:lineRule="auto"/>
        <w:rPr>
          <w:sz w:val="20"/>
          <w:szCs w:val="20"/>
          <w:color w:val="auto"/>
        </w:rPr>
      </w:pPr>
      <w:r>
        <w:rPr>
          <w:rFonts w:ascii="Arial" w:cs="Arial" w:eastAsia="Arial" w:hAnsi="Arial"/>
          <w:sz w:val="12"/>
          <w:szCs w:val="12"/>
          <w:color w:val="auto"/>
        </w:rPr>
        <w:t>In 2007, TI delivered Margin of 25.3 %. As a result, all employees, including executive officers, received profit sharing of 10.3% of base salary.</w:t>
      </w:r>
    </w:p>
    <w:p>
      <w:pPr>
        <w:spacing w:after="0" w:line="200" w:lineRule="exact"/>
        <w:rPr>
          <w:sz w:val="20"/>
          <w:szCs w:val="20"/>
          <w:color w:val="auto"/>
        </w:rPr>
      </w:pPr>
    </w:p>
    <w:p>
      <w:pPr>
        <w:sectPr>
          <w:pgSz w:w="11900" w:h="16838" w:orient="portrait"/>
          <w:cols w:equalWidth="0" w:num="3">
            <w:col w:w="5200" w:space="720"/>
            <w:col w:w="2420" w:space="720"/>
            <w:col w:w="2360"/>
          </w:cols>
          <w:pgMar w:left="240" w:top="142" w:right="239" w:bottom="0" w:gutter="0" w:footer="0" w:header="0"/>
          <w:type w:val="continuous"/>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9640" cy="203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1420"/>
          </w:cols>
          <w:pgMar w:left="240" w:top="142" w:right="239" w:bottom="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180" w:type="dxa"/>
            <w:vAlign w:val="bottom"/>
            <w:tcBorders>
              <w:bottom w:val="single" w:sz="8" w:color="auto"/>
            </w:tcBorders>
          </w:tcPr>
          <w:p>
            <w:pPr>
              <w:ind w:left="840"/>
              <w:spacing w:after="0"/>
              <w:rPr>
                <w:sz w:val="20"/>
                <w:szCs w:val="20"/>
                <w:color w:val="auto"/>
              </w:rPr>
            </w:pPr>
            <w:r>
              <w:rPr>
                <w:rFonts w:ascii="Arial" w:cs="Arial" w:eastAsia="Arial" w:hAnsi="Arial"/>
                <w:sz w:val="12"/>
                <w:szCs w:val="12"/>
                <w:b w:val="1"/>
                <w:bCs w:val="1"/>
                <w:color w:val="auto"/>
              </w:rPr>
              <w:t>Element</w:t>
            </w:r>
          </w:p>
        </w:tc>
        <w:tc>
          <w:tcPr>
            <w:tcW w:w="740" w:type="dxa"/>
            <w:vAlign w:val="bottom"/>
          </w:tcPr>
          <w:p>
            <w:pPr>
              <w:spacing w:after="0"/>
              <w:rPr>
                <w:sz w:val="12"/>
                <w:szCs w:val="12"/>
                <w:color w:val="auto"/>
              </w:rPr>
            </w:pPr>
          </w:p>
        </w:tc>
        <w:tc>
          <w:tcPr>
            <w:tcW w:w="2300" w:type="dxa"/>
            <w:vAlign w:val="bottom"/>
            <w:tcBorders>
              <w:bottom w:val="single" w:sz="8" w:color="auto"/>
            </w:tcBorders>
          </w:tcPr>
          <w:p>
            <w:pPr>
              <w:ind w:left="900"/>
              <w:spacing w:after="0"/>
              <w:rPr>
                <w:sz w:val="20"/>
                <w:szCs w:val="20"/>
                <w:color w:val="auto"/>
              </w:rPr>
            </w:pPr>
            <w:r>
              <w:rPr>
                <w:rFonts w:ascii="Arial" w:cs="Arial" w:eastAsia="Arial" w:hAnsi="Arial"/>
                <w:sz w:val="12"/>
                <w:szCs w:val="12"/>
                <w:b w:val="1"/>
                <w:bCs w:val="1"/>
                <w:color w:val="auto"/>
              </w:rPr>
              <w:t>Purpose</w:t>
            </w:r>
          </w:p>
        </w:tc>
      </w:tr>
      <w:tr>
        <w:trPr>
          <w:trHeight w:val="126"/>
        </w:trPr>
        <w:tc>
          <w:tcPr>
            <w:tcW w:w="20" w:type="dxa"/>
            <w:vAlign w:val="bottom"/>
          </w:tcPr>
          <w:p>
            <w:pPr>
              <w:spacing w:after="0"/>
              <w:rPr>
                <w:sz w:val="10"/>
                <w:szCs w:val="10"/>
                <w:color w:val="auto"/>
              </w:rPr>
            </w:pPr>
          </w:p>
        </w:tc>
        <w:tc>
          <w:tcPr>
            <w:tcW w:w="2180" w:type="dxa"/>
            <w:vAlign w:val="bottom"/>
          </w:tcPr>
          <w:p>
            <w:pPr>
              <w:spacing w:after="0" w:line="126" w:lineRule="exact"/>
              <w:rPr>
                <w:sz w:val="20"/>
                <w:szCs w:val="20"/>
                <w:color w:val="auto"/>
              </w:rPr>
            </w:pPr>
            <w:r>
              <w:rPr>
                <w:rFonts w:ascii="Arial" w:cs="Arial" w:eastAsia="Arial" w:hAnsi="Arial"/>
                <w:sz w:val="12"/>
                <w:szCs w:val="12"/>
                <w:color w:val="auto"/>
              </w:rPr>
              <w:t>Performance bonus</w:t>
            </w:r>
          </w:p>
        </w:tc>
        <w:tc>
          <w:tcPr>
            <w:tcW w:w="740" w:type="dxa"/>
            <w:vAlign w:val="bottom"/>
          </w:tcPr>
          <w:p>
            <w:pPr>
              <w:spacing w:after="0"/>
              <w:rPr>
                <w:sz w:val="10"/>
                <w:szCs w:val="10"/>
                <w:color w:val="auto"/>
              </w:rPr>
            </w:pPr>
          </w:p>
        </w:tc>
        <w:tc>
          <w:tcPr>
            <w:tcW w:w="2300" w:type="dxa"/>
            <w:vAlign w:val="bottom"/>
          </w:tcPr>
          <w:p>
            <w:pPr>
              <w:spacing w:after="0" w:line="126" w:lineRule="exact"/>
              <w:rPr>
                <w:sz w:val="20"/>
                <w:szCs w:val="20"/>
                <w:color w:val="auto"/>
              </w:rPr>
            </w:pPr>
            <w:r>
              <w:rPr>
                <w:rFonts w:ascii="Arial" w:cs="Arial" w:eastAsia="Arial" w:hAnsi="Arial"/>
                <w:sz w:val="12"/>
                <w:szCs w:val="12"/>
                <w:color w:val="auto"/>
              </w:rPr>
              <w:t>To motivate executives and reward them</w:t>
            </w:r>
          </w:p>
        </w:tc>
      </w:tr>
      <w:tr>
        <w:trPr>
          <w:trHeight w:val="135"/>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300" w:type="dxa"/>
            <w:vAlign w:val="bottom"/>
          </w:tcPr>
          <w:p>
            <w:pPr>
              <w:spacing w:after="0" w:line="135" w:lineRule="exact"/>
              <w:rPr>
                <w:sz w:val="20"/>
                <w:szCs w:val="20"/>
                <w:color w:val="auto"/>
              </w:rPr>
            </w:pPr>
            <w:r>
              <w:rPr>
                <w:rFonts w:ascii="Arial" w:cs="Arial" w:eastAsia="Arial" w:hAnsi="Arial"/>
                <w:sz w:val="12"/>
                <w:szCs w:val="12"/>
                <w:color w:val="auto"/>
              </w:rPr>
              <w:t>according to the company’s performance</w:t>
            </w:r>
          </w:p>
        </w:tc>
      </w:tr>
      <w:tr>
        <w:trPr>
          <w:trHeight w:val="135"/>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300" w:type="dxa"/>
            <w:vAlign w:val="bottom"/>
          </w:tcPr>
          <w:p>
            <w:pPr>
              <w:spacing w:after="0" w:line="135" w:lineRule="exact"/>
              <w:rPr>
                <w:sz w:val="20"/>
                <w:szCs w:val="20"/>
                <w:color w:val="auto"/>
              </w:rPr>
            </w:pPr>
            <w:r>
              <w:rPr>
                <w:rFonts w:ascii="Arial" w:cs="Arial" w:eastAsia="Arial" w:hAnsi="Arial"/>
                <w:sz w:val="12"/>
                <w:szCs w:val="12"/>
                <w:color w:val="auto"/>
              </w:rPr>
              <w:t>and the executive’s individual</w:t>
            </w:r>
          </w:p>
        </w:tc>
      </w:tr>
      <w:tr>
        <w:trPr>
          <w:trHeight w:val="147"/>
        </w:trPr>
        <w:tc>
          <w:tcPr>
            <w:tcW w:w="2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300" w:type="dxa"/>
            <w:vAlign w:val="bottom"/>
          </w:tcPr>
          <w:p>
            <w:pPr>
              <w:spacing w:after="0"/>
              <w:rPr>
                <w:sz w:val="20"/>
                <w:szCs w:val="20"/>
                <w:color w:val="auto"/>
              </w:rPr>
            </w:pPr>
            <w:r>
              <w:rPr>
                <w:rFonts w:ascii="Arial" w:cs="Arial" w:eastAsia="Arial" w:hAnsi="Arial"/>
                <w:sz w:val="12"/>
                <w:szCs w:val="12"/>
                <w:color w:val="auto"/>
              </w:rPr>
              <w:t>performance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6985</wp:posOffset>
            </wp:positionV>
            <wp:extent cx="153289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32890" cy="7620"/>
                    </a:xfrm>
                    <a:prstGeom prst="rect">
                      <a:avLst/>
                    </a:prstGeom>
                    <a:noFill/>
                  </pic:spPr>
                </pic:pic>
              </a:graphicData>
            </a:graphic>
          </wp:anchor>
        </w:drawing>
      </w:r>
    </w:p>
    <w:p>
      <w:pPr>
        <w:spacing w:after="0" w:line="3" w:lineRule="exact"/>
        <w:rPr>
          <w:sz w:val="20"/>
          <w:szCs w:val="20"/>
          <w:color w:val="auto"/>
        </w:rPr>
      </w:pPr>
    </w:p>
    <w:p>
      <w:pPr>
        <w:ind w:right="200"/>
        <w:spacing w:after="0" w:line="242" w:lineRule="auto"/>
        <w:rPr>
          <w:sz w:val="20"/>
          <w:szCs w:val="20"/>
          <w:color w:val="auto"/>
        </w:rPr>
      </w:pPr>
      <w:r>
        <w:rPr>
          <w:rFonts w:ascii="Arial" w:cs="Arial" w:eastAsia="Arial" w:hAnsi="Arial"/>
          <w:sz w:val="12"/>
          <w:szCs w:val="12"/>
          <w:color w:val="auto"/>
        </w:rPr>
        <w:t>Bonus is set to bring total cash compensation (base salary, profit sharing and bonus) to the appropriate level.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-3797935</wp:posOffset>
            </wp:positionH>
            <wp:positionV relativeFrom="paragraph">
              <wp:posOffset>-264160</wp:posOffset>
            </wp:positionV>
            <wp:extent cx="7259320" cy="34315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9320" cy="3431540"/>
                    </a:xfrm>
                    <a:prstGeom prst="rect">
                      <a:avLst/>
                    </a:prstGeom>
                    <a:noFill/>
                  </pic:spPr>
                </pic:pic>
              </a:graphicData>
            </a:graphic>
          </wp:anchor>
        </w:drawing>
      </w:r>
    </w:p>
    <w:p>
      <w:pPr>
        <w:spacing w:after="0" w:line="163" w:lineRule="exact"/>
        <w:rPr>
          <w:sz w:val="20"/>
          <w:szCs w:val="20"/>
          <w:color w:val="auto"/>
        </w:rPr>
      </w:pPr>
    </w:p>
    <w:p>
      <w:pPr>
        <w:ind w:right="20"/>
        <w:spacing w:after="0" w:line="235" w:lineRule="auto"/>
        <w:rPr>
          <w:sz w:val="20"/>
          <w:szCs w:val="20"/>
          <w:color w:val="auto"/>
        </w:rPr>
      </w:pPr>
      <w:r>
        <w:rPr>
          <w:rFonts w:ascii="Arial" w:cs="Arial" w:eastAsia="Arial" w:hAnsi="Arial"/>
          <w:sz w:val="12"/>
          <w:szCs w:val="12"/>
          <w:color w:val="auto"/>
        </w:rPr>
        <w:t>The appropriate level for total cash compensation is determined primarily on the basis of relative one-year company performance on certain measures (revenue growth percent, operating margin and total shareholder return) and, about equally, our strategic progress in key markets and with</w:t>
      </w:r>
    </w:p>
    <w:p>
      <w:pPr>
        <w:spacing w:after="0" w:line="4" w:lineRule="exact"/>
        <w:rPr>
          <w:sz w:val="20"/>
          <w:szCs w:val="20"/>
          <w:color w:val="auto"/>
        </w:rPr>
      </w:pPr>
    </w:p>
    <w:p>
      <w:pPr>
        <w:spacing w:after="0"/>
        <w:rPr>
          <w:sz w:val="20"/>
          <w:szCs w:val="20"/>
          <w:color w:val="auto"/>
        </w:rPr>
      </w:pPr>
      <w:r>
        <w:rPr>
          <w:rFonts w:ascii="Arial" w:cs="Arial" w:eastAsia="Arial" w:hAnsi="Arial"/>
          <w:sz w:val="12"/>
          <w:szCs w:val="12"/>
          <w:color w:val="auto"/>
        </w:rPr>
        <w:t>customers.</w:t>
      </w:r>
      <w:r>
        <w:rPr>
          <w:rFonts w:ascii="Arial" w:cs="Arial" w:eastAsia="Arial" w:hAnsi="Arial"/>
          <w:sz w:val="20"/>
          <w:szCs w:val="20"/>
          <w:color w:val="auto"/>
          <w:vertAlign w:val="superscript"/>
        </w:rPr>
        <w:t>2</w:t>
      </w:r>
    </w:p>
    <w:p>
      <w:pPr>
        <w:spacing w:after="0" w:line="131" w:lineRule="exact"/>
        <w:rPr>
          <w:sz w:val="20"/>
          <w:szCs w:val="20"/>
          <w:color w:val="auto"/>
        </w:rPr>
      </w:pPr>
    </w:p>
    <w:p>
      <w:pPr>
        <w:ind w:right="20"/>
        <w:spacing w:after="0" w:line="237" w:lineRule="auto"/>
        <w:rPr>
          <w:sz w:val="20"/>
          <w:szCs w:val="20"/>
          <w:color w:val="auto"/>
        </w:rPr>
      </w:pPr>
      <w:r>
        <w:rPr>
          <w:rFonts w:ascii="Arial" w:cs="Arial" w:eastAsia="Arial" w:hAnsi="Arial"/>
          <w:sz w:val="12"/>
          <w:szCs w:val="12"/>
          <w:color w:val="auto"/>
        </w:rPr>
        <w:t>The committee aims to pay total cash compensation appropriately above median if company performance is above that of competitors, and pay total cash compensation appropriately below median if company performance is below competitors.</w:t>
      </w:r>
    </w:p>
    <w:p>
      <w:pPr>
        <w:spacing w:after="0" w:line="187" w:lineRule="exact"/>
        <w:rPr>
          <w:sz w:val="20"/>
          <w:szCs w:val="20"/>
          <w:color w:val="auto"/>
        </w:rPr>
      </w:pPr>
    </w:p>
    <w:p>
      <w:pPr>
        <w:ind w:right="40"/>
        <w:spacing w:after="0" w:line="242" w:lineRule="auto"/>
        <w:rPr>
          <w:sz w:val="20"/>
          <w:szCs w:val="20"/>
          <w:color w:val="auto"/>
        </w:rPr>
      </w:pPr>
      <w:r>
        <w:rPr>
          <w:rFonts w:ascii="Arial" w:cs="Arial" w:eastAsia="Arial" w:hAnsi="Arial"/>
          <w:sz w:val="12"/>
          <w:szCs w:val="12"/>
          <w:color w:val="auto"/>
        </w:rPr>
        <w:t>The competitors referred to above are those included in the Comparator Group of companies (discussed on page 20).</w:t>
      </w:r>
    </w:p>
    <w:p>
      <w:pPr>
        <w:spacing w:after="0" w:line="183" w:lineRule="exact"/>
        <w:rPr>
          <w:sz w:val="20"/>
          <w:szCs w:val="20"/>
          <w:color w:val="auto"/>
        </w:rPr>
      </w:pPr>
    </w:p>
    <w:p>
      <w:pPr>
        <w:ind w:right="20"/>
        <w:spacing w:after="0" w:line="234" w:lineRule="auto"/>
        <w:rPr>
          <w:sz w:val="20"/>
          <w:szCs w:val="20"/>
          <w:color w:val="auto"/>
        </w:rPr>
      </w:pPr>
      <w:r>
        <w:rPr>
          <w:rFonts w:ascii="Arial" w:cs="Arial" w:eastAsia="Arial" w:hAnsi="Arial"/>
          <w:sz w:val="12"/>
          <w:szCs w:val="12"/>
          <w:color w:val="auto"/>
        </w:rPr>
        <w:t>Our general policy is to pay the bonus under the Texas Instruments Executive Officer Performance Plan (approved by stockholders in 2002). It provides for a bonus of 0.5% of TI consolidated income, as defined in the plan, to each executive officer, subject to the committee’s authority to reduce the amount to any level it considers appropriate, including $0.</w:t>
      </w:r>
    </w:p>
    <w:p>
      <w:pPr>
        <w:spacing w:after="0" w:line="2" w:lineRule="exact"/>
        <w:rPr>
          <w:sz w:val="20"/>
          <w:szCs w:val="20"/>
          <w:color w:val="auto"/>
        </w:rPr>
      </w:pPr>
    </w:p>
    <w:p>
      <w:pPr>
        <w:ind w:right="80"/>
        <w:spacing w:after="0" w:line="238" w:lineRule="auto"/>
        <w:rPr>
          <w:sz w:val="20"/>
          <w:szCs w:val="20"/>
          <w:color w:val="auto"/>
        </w:rPr>
      </w:pPr>
      <w:r>
        <w:rPr>
          <w:rFonts w:ascii="Arial" w:cs="Arial" w:eastAsia="Arial" w:hAnsi="Arial"/>
          <w:sz w:val="12"/>
          <w:szCs w:val="12"/>
          <w:color w:val="auto"/>
        </w:rPr>
        <w:t>The committee reserves the right to pay bonuses outside the plan if it considers it in stockholder interests to do so. For 2007 performance, the committee awarded bonuses under the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6985</wp:posOffset>
            </wp:positionV>
            <wp:extent cx="146304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463040" cy="7620"/>
                    </a:xfrm>
                    <a:prstGeom prst="rect">
                      <a:avLst/>
                    </a:prstGeom>
                    <a:noFill/>
                  </pic:spPr>
                </pic:pic>
              </a:graphicData>
            </a:graphic>
          </wp:anchor>
        </w:drawing>
      </w:r>
    </w:p>
    <w:p>
      <w:pPr>
        <w:spacing w:after="0" w:line="3" w:lineRule="exact"/>
        <w:rPr>
          <w:sz w:val="20"/>
          <w:szCs w:val="20"/>
          <w:color w:val="auto"/>
        </w:rPr>
      </w:pPr>
    </w:p>
    <w:p>
      <w:pPr>
        <w:ind w:right="60"/>
        <w:spacing w:after="0" w:line="242" w:lineRule="auto"/>
        <w:rPr>
          <w:sz w:val="20"/>
          <w:szCs w:val="20"/>
          <w:color w:val="auto"/>
        </w:rPr>
      </w:pPr>
      <w:r>
        <w:rPr>
          <w:rFonts w:ascii="Arial" w:cs="Arial" w:eastAsia="Arial" w:hAnsi="Arial"/>
          <w:sz w:val="12"/>
          <w:szCs w:val="12"/>
          <w:color w:val="auto"/>
        </w:rPr>
        <w:t>Determined by the committee and paid in a single payment after the performance year</w:t>
      </w:r>
    </w:p>
    <w:p>
      <w:pPr>
        <w:spacing w:after="0" w:line="5190" w:lineRule="exact"/>
        <w:rPr>
          <w:sz w:val="20"/>
          <w:szCs w:val="20"/>
          <w:color w:val="auto"/>
        </w:rPr>
      </w:pPr>
    </w:p>
    <w:p>
      <w:pPr>
        <w:sectPr>
          <w:pgSz w:w="11900" w:h="16838" w:orient="portrait"/>
          <w:cols w:equalWidth="0" w:num="3">
            <w:col w:w="5260" w:space="720"/>
            <w:col w:w="2420" w:space="720"/>
            <w:col w:w="2300"/>
          </w:cols>
          <w:pgMar w:left="240" w:top="142" w:right="239" w:bottom="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Long-term compensation, awarded in equity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180" w:type="dxa"/>
            <w:vAlign w:val="bottom"/>
            <w:tcBorders>
              <w:bottom w:val="single" w:sz="8" w:color="auto"/>
            </w:tcBorders>
          </w:tcPr>
          <w:p>
            <w:pPr>
              <w:ind w:left="820"/>
              <w:spacing w:after="0"/>
              <w:rPr>
                <w:sz w:val="20"/>
                <w:szCs w:val="20"/>
                <w:color w:val="auto"/>
              </w:rPr>
            </w:pPr>
            <w:r>
              <w:rPr>
                <w:rFonts w:ascii="Arial" w:cs="Arial" w:eastAsia="Arial" w:hAnsi="Arial"/>
                <w:sz w:val="12"/>
                <w:szCs w:val="12"/>
                <w:b w:val="1"/>
                <w:bCs w:val="1"/>
                <w:color w:val="auto"/>
              </w:rPr>
              <w:t>Element</w:t>
            </w:r>
          </w:p>
        </w:tc>
        <w:tc>
          <w:tcPr>
            <w:tcW w:w="740" w:type="dxa"/>
            <w:vAlign w:val="bottom"/>
          </w:tcPr>
          <w:p>
            <w:pPr>
              <w:spacing w:after="0"/>
              <w:rPr>
                <w:sz w:val="14"/>
                <w:szCs w:val="14"/>
                <w:color w:val="auto"/>
              </w:rPr>
            </w:pPr>
          </w:p>
        </w:tc>
        <w:tc>
          <w:tcPr>
            <w:tcW w:w="2300" w:type="dxa"/>
            <w:vAlign w:val="bottom"/>
            <w:tcBorders>
              <w:bottom w:val="single" w:sz="8" w:color="auto"/>
            </w:tcBorders>
          </w:tcPr>
          <w:p>
            <w:pPr>
              <w:ind w:left="880"/>
              <w:spacing w:after="0"/>
              <w:rPr>
                <w:sz w:val="20"/>
                <w:szCs w:val="20"/>
                <w:color w:val="auto"/>
              </w:rPr>
            </w:pPr>
            <w:r>
              <w:rPr>
                <w:rFonts w:ascii="Arial" w:cs="Arial" w:eastAsia="Arial" w:hAnsi="Arial"/>
                <w:sz w:val="12"/>
                <w:szCs w:val="12"/>
                <w:b w:val="1"/>
                <w:bCs w:val="1"/>
                <w:color w:val="auto"/>
              </w:rPr>
              <w:t>Purpose</w:t>
            </w:r>
          </w:p>
        </w:tc>
        <w:tc>
          <w:tcPr>
            <w:tcW w:w="740" w:type="dxa"/>
            <w:vAlign w:val="bottom"/>
          </w:tcPr>
          <w:p>
            <w:pPr>
              <w:spacing w:after="0"/>
              <w:rPr>
                <w:sz w:val="14"/>
                <w:szCs w:val="14"/>
                <w:color w:val="auto"/>
              </w:rPr>
            </w:pPr>
          </w:p>
        </w:tc>
        <w:tc>
          <w:tcPr>
            <w:tcW w:w="2420" w:type="dxa"/>
            <w:vAlign w:val="bottom"/>
            <w:tcBorders>
              <w:bottom w:val="single" w:sz="8" w:color="auto"/>
            </w:tcBorders>
          </w:tcPr>
          <w:p>
            <w:pPr>
              <w:ind w:left="1000"/>
              <w:spacing w:after="0"/>
              <w:rPr>
                <w:sz w:val="20"/>
                <w:szCs w:val="20"/>
                <w:color w:val="auto"/>
              </w:rPr>
            </w:pPr>
            <w:r>
              <w:rPr>
                <w:rFonts w:ascii="Arial" w:cs="Arial" w:eastAsia="Arial" w:hAnsi="Arial"/>
                <w:sz w:val="12"/>
                <w:szCs w:val="12"/>
                <w:b w:val="1"/>
                <w:bCs w:val="1"/>
                <w:color w:val="auto"/>
              </w:rPr>
              <w:t>Policy</w:t>
            </w:r>
          </w:p>
        </w:tc>
        <w:tc>
          <w:tcPr>
            <w:tcW w:w="720" w:type="dxa"/>
            <w:vAlign w:val="bottom"/>
          </w:tcPr>
          <w:p>
            <w:pPr>
              <w:spacing w:after="0"/>
              <w:rPr>
                <w:sz w:val="14"/>
                <w:szCs w:val="14"/>
                <w:color w:val="auto"/>
              </w:rPr>
            </w:pPr>
          </w:p>
        </w:tc>
        <w:tc>
          <w:tcPr>
            <w:tcW w:w="2300" w:type="dxa"/>
            <w:vAlign w:val="bottom"/>
            <w:tcBorders>
              <w:bottom w:val="single" w:sz="8" w:color="auto"/>
            </w:tcBorders>
          </w:tcPr>
          <w:p>
            <w:pPr>
              <w:ind w:left="960"/>
              <w:spacing w:after="0"/>
              <w:rPr>
                <w:sz w:val="20"/>
                <w:szCs w:val="20"/>
                <w:color w:val="auto"/>
              </w:rPr>
            </w:pPr>
            <w:r>
              <w:rPr>
                <w:rFonts w:ascii="Arial" w:cs="Arial" w:eastAsia="Arial" w:hAnsi="Arial"/>
                <w:sz w:val="12"/>
                <w:szCs w:val="12"/>
                <w:b w:val="1"/>
                <w:bCs w:val="1"/>
                <w:color w:val="auto"/>
              </w:rPr>
              <w:t>Terms</w:t>
            </w:r>
          </w:p>
        </w:tc>
      </w:tr>
      <w:tr>
        <w:trPr>
          <w:trHeight w:val="133"/>
        </w:trPr>
        <w:tc>
          <w:tcPr>
            <w:tcW w:w="20" w:type="dxa"/>
            <w:vAlign w:val="bottom"/>
          </w:tcPr>
          <w:p>
            <w:pPr>
              <w:spacing w:after="0"/>
              <w:rPr>
                <w:sz w:val="11"/>
                <w:szCs w:val="11"/>
                <w:color w:val="auto"/>
              </w:rPr>
            </w:pPr>
          </w:p>
        </w:tc>
        <w:tc>
          <w:tcPr>
            <w:tcW w:w="2180" w:type="dxa"/>
            <w:vAlign w:val="bottom"/>
            <w:shd w:val="clear" w:color="auto" w:fill="C0C0C0"/>
          </w:tcPr>
          <w:p>
            <w:pPr>
              <w:spacing w:after="0" w:line="133" w:lineRule="exact"/>
              <w:rPr>
                <w:sz w:val="20"/>
                <w:szCs w:val="20"/>
                <w:color w:val="auto"/>
              </w:rPr>
            </w:pPr>
            <w:r>
              <w:rPr>
                <w:rFonts w:ascii="Arial" w:cs="Arial" w:eastAsia="Arial" w:hAnsi="Arial"/>
                <w:sz w:val="12"/>
                <w:szCs w:val="12"/>
                <w:color w:val="auto"/>
              </w:rPr>
              <w:t>Non-qualified stock options and</w:t>
            </w:r>
          </w:p>
        </w:tc>
        <w:tc>
          <w:tcPr>
            <w:tcW w:w="740" w:type="dxa"/>
            <w:vAlign w:val="bottom"/>
            <w:shd w:val="clear" w:color="auto" w:fill="C0C0C0"/>
          </w:tcPr>
          <w:p>
            <w:pPr>
              <w:spacing w:after="0"/>
              <w:rPr>
                <w:sz w:val="11"/>
                <w:szCs w:val="11"/>
                <w:color w:val="auto"/>
              </w:rPr>
            </w:pPr>
          </w:p>
        </w:tc>
        <w:tc>
          <w:tcPr>
            <w:tcW w:w="2300" w:type="dxa"/>
            <w:vAlign w:val="bottom"/>
            <w:shd w:val="clear" w:color="auto" w:fill="C0C0C0"/>
          </w:tcPr>
          <w:p>
            <w:pPr>
              <w:spacing w:after="0" w:line="133" w:lineRule="exact"/>
              <w:rPr>
                <w:sz w:val="20"/>
                <w:szCs w:val="20"/>
                <w:color w:val="auto"/>
              </w:rPr>
            </w:pPr>
            <w:r>
              <w:rPr>
                <w:rFonts w:ascii="Arial" w:cs="Arial" w:eastAsia="Arial" w:hAnsi="Arial"/>
                <w:sz w:val="12"/>
                <w:szCs w:val="12"/>
                <w:color w:val="auto"/>
              </w:rPr>
              <w:t>Alignment with stockholders; long-term</w:t>
            </w:r>
          </w:p>
        </w:tc>
        <w:tc>
          <w:tcPr>
            <w:tcW w:w="740" w:type="dxa"/>
            <w:vAlign w:val="bottom"/>
            <w:shd w:val="clear" w:color="auto" w:fill="C0C0C0"/>
          </w:tcPr>
          <w:p>
            <w:pPr>
              <w:spacing w:after="0"/>
              <w:rPr>
                <w:sz w:val="11"/>
                <w:szCs w:val="11"/>
                <w:color w:val="auto"/>
              </w:rPr>
            </w:pPr>
          </w:p>
        </w:tc>
        <w:tc>
          <w:tcPr>
            <w:tcW w:w="2420" w:type="dxa"/>
            <w:vAlign w:val="bottom"/>
            <w:shd w:val="clear" w:color="auto" w:fill="C0C0C0"/>
          </w:tcPr>
          <w:p>
            <w:pPr>
              <w:spacing w:after="0" w:line="133" w:lineRule="exact"/>
              <w:rPr>
                <w:sz w:val="20"/>
                <w:szCs w:val="20"/>
                <w:color w:val="auto"/>
              </w:rPr>
            </w:pPr>
            <w:r>
              <w:rPr>
                <w:rFonts w:ascii="Arial" w:cs="Arial" w:eastAsia="Arial" w:hAnsi="Arial"/>
                <w:sz w:val="12"/>
                <w:szCs w:val="12"/>
                <w:color w:val="auto"/>
              </w:rPr>
              <w:t>We generally grant a combination of stock</w:t>
            </w:r>
          </w:p>
        </w:tc>
        <w:tc>
          <w:tcPr>
            <w:tcW w:w="720" w:type="dxa"/>
            <w:vAlign w:val="bottom"/>
            <w:shd w:val="clear" w:color="auto" w:fill="C0C0C0"/>
          </w:tcPr>
          <w:p>
            <w:pPr>
              <w:spacing w:after="0"/>
              <w:rPr>
                <w:sz w:val="11"/>
                <w:szCs w:val="11"/>
                <w:color w:val="auto"/>
              </w:rPr>
            </w:pPr>
          </w:p>
        </w:tc>
        <w:tc>
          <w:tcPr>
            <w:tcW w:w="2300" w:type="dxa"/>
            <w:vAlign w:val="bottom"/>
            <w:shd w:val="clear" w:color="auto" w:fill="C0C0C0"/>
          </w:tcPr>
          <w:p>
            <w:pPr>
              <w:spacing w:after="0" w:line="133" w:lineRule="exact"/>
              <w:rPr>
                <w:sz w:val="20"/>
                <w:szCs w:val="20"/>
                <w:color w:val="auto"/>
              </w:rPr>
            </w:pPr>
            <w:r>
              <w:rPr>
                <w:rFonts w:ascii="Arial" w:cs="Arial" w:eastAsia="Arial" w:hAnsi="Arial"/>
                <w:sz w:val="12"/>
                <w:szCs w:val="12"/>
                <w:color w:val="auto"/>
              </w:rPr>
              <w:t>The terms and conditions of stock options</w:t>
            </w:r>
          </w:p>
        </w:tc>
      </w:tr>
      <w:tr>
        <w:trPr>
          <w:trHeight w:val="135"/>
        </w:trPr>
        <w:tc>
          <w:tcPr>
            <w:tcW w:w="20" w:type="dxa"/>
            <w:vAlign w:val="bottom"/>
          </w:tcPr>
          <w:p>
            <w:pPr>
              <w:spacing w:after="0"/>
              <w:rPr>
                <w:sz w:val="11"/>
                <w:szCs w:val="11"/>
                <w:color w:val="auto"/>
              </w:rPr>
            </w:pPr>
          </w:p>
        </w:tc>
        <w:tc>
          <w:tcPr>
            <w:tcW w:w="2180" w:type="dxa"/>
            <w:vAlign w:val="bottom"/>
            <w:shd w:val="clear" w:color="auto" w:fill="C0C0C0"/>
          </w:tcPr>
          <w:p>
            <w:pPr>
              <w:spacing w:after="0" w:line="135" w:lineRule="exact"/>
              <w:rPr>
                <w:sz w:val="20"/>
                <w:szCs w:val="20"/>
                <w:color w:val="auto"/>
              </w:rPr>
            </w:pPr>
            <w:r>
              <w:rPr>
                <w:rFonts w:ascii="Arial" w:cs="Arial" w:eastAsia="Arial" w:hAnsi="Arial"/>
                <w:sz w:val="12"/>
                <w:szCs w:val="12"/>
                <w:color w:val="auto"/>
              </w:rPr>
              <w:t>restricted stock units</w:t>
            </w:r>
          </w:p>
        </w:tc>
        <w:tc>
          <w:tcPr>
            <w:tcW w:w="740" w:type="dxa"/>
            <w:vAlign w:val="bottom"/>
            <w:shd w:val="clear" w:color="auto" w:fill="C0C0C0"/>
          </w:tcPr>
          <w:p>
            <w:pPr>
              <w:spacing w:after="0"/>
              <w:rPr>
                <w:sz w:val="11"/>
                <w:szCs w:val="11"/>
                <w:color w:val="auto"/>
              </w:rPr>
            </w:pPr>
          </w:p>
        </w:tc>
        <w:tc>
          <w:tcPr>
            <w:tcW w:w="2300" w:type="dxa"/>
            <w:vAlign w:val="bottom"/>
            <w:shd w:val="clear" w:color="auto" w:fill="C0C0C0"/>
          </w:tcPr>
          <w:p>
            <w:pPr>
              <w:spacing w:after="0" w:line="135" w:lineRule="exact"/>
              <w:rPr>
                <w:sz w:val="20"/>
                <w:szCs w:val="20"/>
                <w:color w:val="auto"/>
              </w:rPr>
            </w:pPr>
            <w:r>
              <w:rPr>
                <w:rFonts w:ascii="Arial" w:cs="Arial" w:eastAsia="Arial" w:hAnsi="Arial"/>
                <w:sz w:val="12"/>
                <w:szCs w:val="12"/>
                <w:color w:val="auto"/>
              </w:rPr>
              <w:t>focus; retention, particularly with respect</w:t>
            </w:r>
          </w:p>
        </w:tc>
        <w:tc>
          <w:tcPr>
            <w:tcW w:w="3160" w:type="dxa"/>
            <w:vAlign w:val="bottom"/>
            <w:gridSpan w:val="2"/>
            <w:shd w:val="clear" w:color="auto" w:fill="C0C0C0"/>
          </w:tcPr>
          <w:p>
            <w:pPr>
              <w:ind w:left="740"/>
              <w:spacing w:after="0" w:line="135" w:lineRule="exact"/>
              <w:rPr>
                <w:sz w:val="20"/>
                <w:szCs w:val="20"/>
                <w:color w:val="auto"/>
              </w:rPr>
            </w:pPr>
            <w:r>
              <w:rPr>
                <w:rFonts w:ascii="Arial" w:cs="Arial" w:eastAsia="Arial" w:hAnsi="Arial"/>
                <w:sz w:val="12"/>
                <w:szCs w:val="12"/>
                <w:color w:val="auto"/>
              </w:rPr>
              <w:t>options and restricted stock units, targeted</w:t>
            </w:r>
          </w:p>
        </w:tc>
        <w:tc>
          <w:tcPr>
            <w:tcW w:w="3020" w:type="dxa"/>
            <w:vAlign w:val="bottom"/>
            <w:gridSpan w:val="2"/>
            <w:shd w:val="clear" w:color="auto" w:fill="C0C0C0"/>
          </w:tcPr>
          <w:p>
            <w:pPr>
              <w:ind w:left="720"/>
              <w:spacing w:after="0" w:line="135" w:lineRule="exact"/>
              <w:rPr>
                <w:sz w:val="20"/>
                <w:szCs w:val="20"/>
                <w:color w:val="auto"/>
              </w:rPr>
            </w:pPr>
            <w:r>
              <w:rPr>
                <w:rFonts w:ascii="Arial" w:cs="Arial" w:eastAsia="Arial" w:hAnsi="Arial"/>
                <w:sz w:val="12"/>
                <w:szCs w:val="12"/>
                <w:color w:val="auto"/>
              </w:rPr>
              <w:t>and restricted stock units are summarized</w:t>
            </w:r>
          </w:p>
        </w:tc>
      </w:tr>
      <w:tr>
        <w:trPr>
          <w:trHeight w:val="135"/>
        </w:trPr>
        <w:tc>
          <w:tcPr>
            <w:tcW w:w="20" w:type="dxa"/>
            <w:vAlign w:val="bottom"/>
          </w:tcPr>
          <w:p>
            <w:pPr>
              <w:spacing w:after="0"/>
              <w:rPr>
                <w:sz w:val="11"/>
                <w:szCs w:val="11"/>
                <w:color w:val="auto"/>
              </w:rPr>
            </w:pPr>
          </w:p>
        </w:tc>
        <w:tc>
          <w:tcPr>
            <w:tcW w:w="2180" w:type="dxa"/>
            <w:vAlign w:val="bottom"/>
            <w:shd w:val="clear" w:color="auto" w:fill="C0C0C0"/>
          </w:tcPr>
          <w:p>
            <w:pPr>
              <w:spacing w:after="0"/>
              <w:rPr>
                <w:sz w:val="11"/>
                <w:szCs w:val="11"/>
                <w:color w:val="auto"/>
              </w:rPr>
            </w:pPr>
          </w:p>
        </w:tc>
        <w:tc>
          <w:tcPr>
            <w:tcW w:w="740" w:type="dxa"/>
            <w:vAlign w:val="bottom"/>
            <w:shd w:val="clear" w:color="auto" w:fill="C0C0C0"/>
          </w:tcPr>
          <w:p>
            <w:pPr>
              <w:spacing w:after="0"/>
              <w:rPr>
                <w:sz w:val="11"/>
                <w:szCs w:val="11"/>
                <w:color w:val="auto"/>
              </w:rPr>
            </w:pPr>
          </w:p>
        </w:tc>
        <w:tc>
          <w:tcPr>
            <w:tcW w:w="2300" w:type="dxa"/>
            <w:vAlign w:val="bottom"/>
            <w:shd w:val="clear" w:color="auto" w:fill="C0C0C0"/>
          </w:tcPr>
          <w:p>
            <w:pPr>
              <w:spacing w:after="0" w:line="135" w:lineRule="exact"/>
              <w:rPr>
                <w:sz w:val="20"/>
                <w:szCs w:val="20"/>
                <w:color w:val="auto"/>
              </w:rPr>
            </w:pPr>
            <w:r>
              <w:rPr>
                <w:rFonts w:ascii="Arial" w:cs="Arial" w:eastAsia="Arial" w:hAnsi="Arial"/>
                <w:sz w:val="12"/>
                <w:szCs w:val="12"/>
                <w:color w:val="auto"/>
              </w:rPr>
              <w:t>to restricted stock units</w:t>
            </w:r>
          </w:p>
        </w:tc>
        <w:tc>
          <w:tcPr>
            <w:tcW w:w="3160" w:type="dxa"/>
            <w:vAlign w:val="bottom"/>
            <w:gridSpan w:val="2"/>
            <w:shd w:val="clear" w:color="auto" w:fill="C0C0C0"/>
          </w:tcPr>
          <w:p>
            <w:pPr>
              <w:ind w:left="740"/>
              <w:spacing w:after="0" w:line="135" w:lineRule="exact"/>
              <w:rPr>
                <w:sz w:val="20"/>
                <w:szCs w:val="20"/>
                <w:color w:val="auto"/>
              </w:rPr>
            </w:pPr>
            <w:r>
              <w:rPr>
                <w:rFonts w:ascii="Arial" w:cs="Arial" w:eastAsia="Arial" w:hAnsi="Arial"/>
                <w:sz w:val="12"/>
                <w:szCs w:val="12"/>
                <w:color w:val="auto"/>
              </w:rPr>
              <w:t>at the median level of grants to executives</w:t>
            </w:r>
          </w:p>
        </w:tc>
        <w:tc>
          <w:tcPr>
            <w:tcW w:w="3020" w:type="dxa"/>
            <w:vAlign w:val="bottom"/>
            <w:gridSpan w:val="2"/>
            <w:shd w:val="clear" w:color="auto" w:fill="C0C0C0"/>
          </w:tcPr>
          <w:p>
            <w:pPr>
              <w:ind w:left="720"/>
              <w:spacing w:after="0" w:line="135" w:lineRule="exact"/>
              <w:rPr>
                <w:sz w:val="20"/>
                <w:szCs w:val="20"/>
                <w:color w:val="auto"/>
              </w:rPr>
            </w:pPr>
            <w:r>
              <w:rPr>
                <w:rFonts w:ascii="Arial" w:cs="Arial" w:eastAsia="Arial" w:hAnsi="Arial"/>
                <w:sz w:val="12"/>
                <w:szCs w:val="12"/>
                <w:color w:val="auto"/>
              </w:rPr>
              <w:t>on pages 36-37.</w:t>
            </w:r>
          </w:p>
        </w:tc>
      </w:tr>
      <w:tr>
        <w:trPr>
          <w:trHeight w:val="135"/>
        </w:trPr>
        <w:tc>
          <w:tcPr>
            <w:tcW w:w="20" w:type="dxa"/>
            <w:vAlign w:val="bottom"/>
          </w:tcPr>
          <w:p>
            <w:pPr>
              <w:spacing w:after="0"/>
              <w:rPr>
                <w:sz w:val="11"/>
                <w:szCs w:val="11"/>
                <w:color w:val="auto"/>
              </w:rPr>
            </w:pPr>
          </w:p>
        </w:tc>
        <w:tc>
          <w:tcPr>
            <w:tcW w:w="2180" w:type="dxa"/>
            <w:vAlign w:val="bottom"/>
            <w:shd w:val="clear" w:color="auto" w:fill="C0C0C0"/>
          </w:tcPr>
          <w:p>
            <w:pPr>
              <w:spacing w:after="0"/>
              <w:rPr>
                <w:sz w:val="11"/>
                <w:szCs w:val="11"/>
                <w:color w:val="auto"/>
              </w:rPr>
            </w:pPr>
          </w:p>
        </w:tc>
        <w:tc>
          <w:tcPr>
            <w:tcW w:w="740" w:type="dxa"/>
            <w:vAlign w:val="bottom"/>
            <w:shd w:val="clear" w:color="auto" w:fill="C0C0C0"/>
          </w:tcPr>
          <w:p>
            <w:pPr>
              <w:spacing w:after="0"/>
              <w:rPr>
                <w:sz w:val="11"/>
                <w:szCs w:val="11"/>
                <w:color w:val="auto"/>
              </w:rPr>
            </w:pPr>
          </w:p>
        </w:tc>
        <w:tc>
          <w:tcPr>
            <w:tcW w:w="2300" w:type="dxa"/>
            <w:vAlign w:val="bottom"/>
            <w:shd w:val="clear" w:color="auto" w:fill="C0C0C0"/>
          </w:tcPr>
          <w:p>
            <w:pPr>
              <w:spacing w:after="0"/>
              <w:rPr>
                <w:sz w:val="11"/>
                <w:szCs w:val="11"/>
                <w:color w:val="auto"/>
              </w:rPr>
            </w:pPr>
          </w:p>
        </w:tc>
        <w:tc>
          <w:tcPr>
            <w:tcW w:w="3160" w:type="dxa"/>
            <w:vAlign w:val="bottom"/>
            <w:gridSpan w:val="2"/>
            <w:shd w:val="clear" w:color="auto" w:fill="C0C0C0"/>
          </w:tcPr>
          <w:p>
            <w:pPr>
              <w:ind w:left="740"/>
              <w:spacing w:after="0" w:line="135" w:lineRule="exact"/>
              <w:rPr>
                <w:sz w:val="20"/>
                <w:szCs w:val="20"/>
                <w:color w:val="auto"/>
              </w:rPr>
            </w:pPr>
            <w:r>
              <w:rPr>
                <w:rFonts w:ascii="Arial" w:cs="Arial" w:eastAsia="Arial" w:hAnsi="Arial"/>
                <w:sz w:val="12"/>
                <w:szCs w:val="12"/>
                <w:color w:val="auto"/>
              </w:rPr>
              <w:t>in similar positions at the Comparator Group</w:t>
            </w:r>
          </w:p>
        </w:tc>
        <w:tc>
          <w:tcPr>
            <w:tcW w:w="720" w:type="dxa"/>
            <w:vAlign w:val="bottom"/>
            <w:shd w:val="clear" w:color="auto" w:fill="C0C0C0"/>
          </w:tcPr>
          <w:p>
            <w:pPr>
              <w:spacing w:after="0"/>
              <w:rPr>
                <w:sz w:val="11"/>
                <w:szCs w:val="11"/>
                <w:color w:val="auto"/>
              </w:rPr>
            </w:pPr>
          </w:p>
        </w:tc>
        <w:tc>
          <w:tcPr>
            <w:tcW w:w="2300" w:type="dxa"/>
            <w:vAlign w:val="bottom"/>
            <w:shd w:val="clear" w:color="auto" w:fill="C0C0C0"/>
          </w:tcPr>
          <w:p>
            <w:pPr>
              <w:spacing w:after="0"/>
              <w:rPr>
                <w:sz w:val="11"/>
                <w:szCs w:val="11"/>
                <w:color w:val="auto"/>
              </w:rPr>
            </w:pPr>
          </w:p>
        </w:tc>
      </w:tr>
      <w:tr>
        <w:trPr>
          <w:trHeight w:val="135"/>
        </w:trPr>
        <w:tc>
          <w:tcPr>
            <w:tcW w:w="20" w:type="dxa"/>
            <w:vAlign w:val="bottom"/>
          </w:tcPr>
          <w:p>
            <w:pPr>
              <w:spacing w:after="0"/>
              <w:rPr>
                <w:sz w:val="11"/>
                <w:szCs w:val="11"/>
                <w:color w:val="auto"/>
              </w:rPr>
            </w:pPr>
          </w:p>
        </w:tc>
        <w:tc>
          <w:tcPr>
            <w:tcW w:w="2180" w:type="dxa"/>
            <w:vAlign w:val="bottom"/>
            <w:shd w:val="clear" w:color="auto" w:fill="C0C0C0"/>
          </w:tcPr>
          <w:p>
            <w:pPr>
              <w:spacing w:after="0"/>
              <w:rPr>
                <w:sz w:val="11"/>
                <w:szCs w:val="11"/>
                <w:color w:val="auto"/>
              </w:rPr>
            </w:pPr>
          </w:p>
        </w:tc>
        <w:tc>
          <w:tcPr>
            <w:tcW w:w="740" w:type="dxa"/>
            <w:vAlign w:val="bottom"/>
            <w:shd w:val="clear" w:color="auto" w:fill="C0C0C0"/>
          </w:tcPr>
          <w:p>
            <w:pPr>
              <w:spacing w:after="0"/>
              <w:rPr>
                <w:sz w:val="11"/>
                <w:szCs w:val="11"/>
                <w:color w:val="auto"/>
              </w:rPr>
            </w:pPr>
          </w:p>
        </w:tc>
        <w:tc>
          <w:tcPr>
            <w:tcW w:w="2300" w:type="dxa"/>
            <w:vAlign w:val="bottom"/>
            <w:shd w:val="clear" w:color="auto" w:fill="C0C0C0"/>
          </w:tcPr>
          <w:p>
            <w:pPr>
              <w:spacing w:after="0"/>
              <w:rPr>
                <w:sz w:val="11"/>
                <w:szCs w:val="11"/>
                <w:color w:val="auto"/>
              </w:rPr>
            </w:pPr>
          </w:p>
        </w:tc>
        <w:tc>
          <w:tcPr>
            <w:tcW w:w="3160" w:type="dxa"/>
            <w:vAlign w:val="bottom"/>
            <w:gridSpan w:val="2"/>
            <w:shd w:val="clear" w:color="auto" w:fill="C0C0C0"/>
          </w:tcPr>
          <w:p>
            <w:pPr>
              <w:ind w:left="740"/>
              <w:spacing w:after="0" w:line="136" w:lineRule="exact"/>
              <w:rPr>
                <w:sz w:val="20"/>
                <w:szCs w:val="20"/>
                <w:color w:val="auto"/>
              </w:rPr>
            </w:pPr>
            <w:r>
              <w:rPr>
                <w:rFonts w:ascii="Arial" w:cs="Arial" w:eastAsia="Arial" w:hAnsi="Arial"/>
                <w:sz w:val="12"/>
                <w:szCs w:val="12"/>
                <w:color w:val="auto"/>
              </w:rPr>
              <w:t>companies.</w:t>
            </w:r>
          </w:p>
        </w:tc>
        <w:tc>
          <w:tcPr>
            <w:tcW w:w="720" w:type="dxa"/>
            <w:vAlign w:val="bottom"/>
            <w:shd w:val="clear" w:color="auto" w:fill="C0C0C0"/>
          </w:tcPr>
          <w:p>
            <w:pPr>
              <w:spacing w:after="0"/>
              <w:rPr>
                <w:sz w:val="11"/>
                <w:szCs w:val="11"/>
                <w:color w:val="auto"/>
              </w:rPr>
            </w:pPr>
          </w:p>
        </w:tc>
        <w:tc>
          <w:tcPr>
            <w:tcW w:w="2300" w:type="dxa"/>
            <w:vAlign w:val="bottom"/>
            <w:shd w:val="clear" w:color="auto" w:fill="C0C0C0"/>
          </w:tcPr>
          <w:p>
            <w:pPr>
              <w:spacing w:after="0"/>
              <w:rPr>
                <w:sz w:val="11"/>
                <w:szCs w:val="11"/>
                <w:color w:val="auto"/>
              </w:rPr>
            </w:pPr>
          </w:p>
        </w:tc>
      </w:tr>
    </w:tbl>
    <w:p>
      <w:pPr>
        <w:sectPr>
          <w:pgSz w:w="11900" w:h="16838" w:orient="portrait"/>
          <w:cols w:equalWidth="0" w:num="1">
            <w:col w:w="11420"/>
          </w:cols>
          <w:pgMar w:left="240" w:top="142" w:right="239" w:bottom="0" w:gutter="0" w:footer="0" w:header="0"/>
          <w:type w:val="continuous"/>
        </w:sectPr>
      </w:pPr>
    </w:p>
    <w:bookmarkStart w:id="13" w:name="page14"/>
    <w:bookmarkEnd w:id="13"/>
    <w:p>
      <w:pPr>
        <w:ind w:left="2"/>
        <w:spacing w:after="0"/>
        <w:rPr>
          <w:sz w:val="20"/>
          <w:szCs w:val="20"/>
          <w:color w:val="auto"/>
        </w:rPr>
      </w:pPr>
      <w:r>
        <w:rPr>
          <w:rFonts w:ascii="Arial" w:cs="Arial" w:eastAsia="Arial" w:hAnsi="Arial"/>
          <w:sz w:val="16"/>
          <w:szCs w:val="16"/>
          <w:b w:val="1"/>
          <w:bCs w:val="1"/>
          <w:color w:val="auto"/>
        </w:rPr>
        <w:t>Comparator Group for 2007</w:t>
      </w:r>
    </w:p>
    <w:p>
      <w:pPr>
        <w:spacing w:after="0" w:line="216" w:lineRule="exact"/>
        <w:rPr>
          <w:sz w:val="20"/>
          <w:szCs w:val="20"/>
          <w:color w:val="auto"/>
        </w:rPr>
      </w:pPr>
    </w:p>
    <w:p>
      <w:pPr>
        <w:ind w:left="2" w:right="60"/>
        <w:spacing w:after="0" w:line="269" w:lineRule="auto"/>
        <w:rPr>
          <w:sz w:val="20"/>
          <w:szCs w:val="20"/>
          <w:color w:val="auto"/>
        </w:rPr>
      </w:pPr>
      <w:r>
        <w:rPr>
          <w:rFonts w:ascii="Arial" w:cs="Arial" w:eastAsia="Arial" w:hAnsi="Arial"/>
          <w:sz w:val="15"/>
          <w:szCs w:val="15"/>
          <w:color w:val="auto"/>
        </w:rPr>
        <w:t>The Compensation Committee evaluates the company’s performance and sets the level of executive compensation by comparison to a Comparator Group of companies. In evaluating TI’s relative performance, the committee compares our performance with that of the “competitors” in the Comparator Group. To estimate the market level of pay, the committee considers compensation paid by companies in the entire list of Comparator Group to similarly situated executives.</w:t>
      </w:r>
    </w:p>
    <w:p>
      <w:pPr>
        <w:spacing w:after="0" w:line="167" w:lineRule="exact"/>
        <w:rPr>
          <w:sz w:val="20"/>
          <w:szCs w:val="20"/>
          <w:color w:val="auto"/>
        </w:rPr>
      </w:pPr>
    </w:p>
    <w:p>
      <w:pPr>
        <w:ind w:left="2"/>
        <w:spacing w:after="0"/>
        <w:rPr>
          <w:sz w:val="20"/>
          <w:szCs w:val="20"/>
          <w:color w:val="auto"/>
        </w:rPr>
      </w:pPr>
      <w:r>
        <w:rPr>
          <w:rFonts w:ascii="Arial" w:cs="Arial" w:eastAsia="Arial" w:hAnsi="Arial"/>
          <w:sz w:val="16"/>
          <w:szCs w:val="16"/>
          <w:color w:val="auto"/>
        </w:rPr>
        <w:t>____________________</w:t>
      </w:r>
    </w:p>
    <w:p>
      <w:pPr>
        <w:spacing w:after="0" w:line="196" w:lineRule="exact"/>
        <w:rPr>
          <w:sz w:val="20"/>
          <w:szCs w:val="20"/>
          <w:color w:val="auto"/>
        </w:rPr>
      </w:pPr>
    </w:p>
    <w:p>
      <w:pPr>
        <w:ind w:left="322" w:right="740" w:hanging="322"/>
        <w:spacing w:after="0" w:line="191" w:lineRule="auto"/>
        <w:tabs>
          <w:tab w:leader="none" w:pos="322"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“Total shareholder return” refers to the percentage change in the value of a stockholder’s investment in a company over the relevant time period, as determined by dividends paid and the change in the company’s share price during the period.</w:t>
      </w:r>
    </w:p>
    <w:p>
      <w:pPr>
        <w:spacing w:after="0" w:line="18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96" w:lineRule="exact"/>
        <w:rPr>
          <w:sz w:val="20"/>
          <w:szCs w:val="20"/>
          <w:color w:val="auto"/>
        </w:rPr>
      </w:pPr>
    </w:p>
    <w:p>
      <w:pPr>
        <w:ind w:left="2" w:right="20"/>
        <w:spacing w:after="0" w:line="245" w:lineRule="auto"/>
        <w:rPr>
          <w:sz w:val="20"/>
          <w:szCs w:val="20"/>
          <w:color w:val="auto"/>
        </w:rPr>
      </w:pPr>
      <w:r>
        <w:rPr>
          <w:rFonts w:ascii="Arial" w:cs="Arial" w:eastAsia="Arial" w:hAnsi="Arial"/>
          <w:sz w:val="16"/>
          <w:szCs w:val="16"/>
          <w:color w:val="auto"/>
        </w:rPr>
        <w:t>The Comparator Group is intended to reflect the markets in which we compete for key talent. It consists of semiconductor competitors and other high-technology companies. The competitors include large and small companies, both broad-based suppliers and niche suppliers, that operate in our key markets of analog and/or digital signal processors (DSPs) or offer technology that competes with our products.</w:t>
      </w:r>
    </w:p>
    <w:p>
      <w:pPr>
        <w:spacing w:after="0" w:line="184" w:lineRule="exact"/>
        <w:rPr>
          <w:sz w:val="20"/>
          <w:szCs w:val="20"/>
          <w:color w:val="auto"/>
        </w:rPr>
      </w:pPr>
    </w:p>
    <w:p>
      <w:pPr>
        <w:ind w:left="2" w:right="120"/>
        <w:spacing w:after="0" w:line="243" w:lineRule="auto"/>
        <w:rPr>
          <w:sz w:val="20"/>
          <w:szCs w:val="20"/>
          <w:color w:val="auto"/>
        </w:rPr>
      </w:pPr>
      <w:r>
        <w:rPr>
          <w:rFonts w:ascii="Arial" w:cs="Arial" w:eastAsia="Arial" w:hAnsi="Arial"/>
          <w:sz w:val="16"/>
          <w:szCs w:val="16"/>
          <w:color w:val="auto"/>
        </w:rPr>
        <w:t>Every three years, the committee resets the Comparator Group after thoroughly reviewing the companies for comparability in markets and performance. The committee carried out that review in 2006. Annually the committee considers whether it would be appropriate to make minor changes to the Comparator Group – for example, because a Comparator Group company has divested its semiconductor operations or merged with another Comparator Group company. This process is designed to keep the Comparator Group generally stable but also reflective of changes in relevant markets.</w:t>
      </w:r>
    </w:p>
    <w:p>
      <w:pPr>
        <w:spacing w:after="0" w:line="186"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companies were in the Comparator Group used in compensation decisions for 2007:</w:t>
      </w:r>
    </w:p>
    <w:p>
      <w:pPr>
        <w:spacing w:after="0" w:line="176" w:lineRule="exact"/>
        <w:rPr>
          <w:sz w:val="20"/>
          <w:szCs w:val="20"/>
          <w:color w:val="auto"/>
        </w:rPr>
      </w:pPr>
    </w:p>
    <w:tbl>
      <w:tblPr>
        <w:tblLayout w:type="fixed"/>
        <w:tblInd w:w="2" w:type="dxa"/>
        <w:tblCellMar>
          <w:top w:w="0" w:type="dxa"/>
          <w:left w:w="0" w:type="dxa"/>
          <w:bottom w:w="0" w:type="dxa"/>
          <w:right w:w="0" w:type="dxa"/>
        </w:tblCellMar>
      </w:tblPr>
      <w:tr>
        <w:trPr>
          <w:trHeight w:val="212"/>
        </w:trPr>
        <w:tc>
          <w:tcPr>
            <w:tcW w:w="3560" w:type="dxa"/>
            <w:vAlign w:val="bottom"/>
          </w:tcPr>
          <w:p>
            <w:pPr>
              <w:spacing w:after="0"/>
              <w:rPr>
                <w:sz w:val="18"/>
                <w:szCs w:val="18"/>
                <w:color w:val="auto"/>
              </w:rPr>
            </w:pPr>
          </w:p>
        </w:tc>
        <w:tc>
          <w:tcPr>
            <w:tcW w:w="7860" w:type="dxa"/>
            <w:vAlign w:val="bottom"/>
          </w:tcPr>
          <w:p>
            <w:pPr>
              <w:jc w:val="center"/>
              <w:ind w:right="3498"/>
              <w:spacing w:after="0"/>
              <w:rPr>
                <w:sz w:val="20"/>
                <w:szCs w:val="20"/>
                <w:color w:val="auto"/>
              </w:rPr>
            </w:pPr>
            <w:r>
              <w:rPr>
                <w:rFonts w:ascii="Arial" w:cs="Arial" w:eastAsia="Arial" w:hAnsi="Arial"/>
                <w:sz w:val="16"/>
                <w:szCs w:val="16"/>
                <w:b w:val="1"/>
                <w:bCs w:val="1"/>
                <w:color w:val="auto"/>
                <w:w w:val="99"/>
              </w:rPr>
              <w:t>Comparator Group</w:t>
            </w:r>
          </w:p>
        </w:tc>
      </w:tr>
      <w:tr>
        <w:trPr>
          <w:trHeight w:val="320"/>
        </w:trPr>
        <w:tc>
          <w:tcPr>
            <w:tcW w:w="356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jc w:val="center"/>
              <w:ind w:right="3478"/>
              <w:spacing w:after="0"/>
              <w:rPr>
                <w:sz w:val="20"/>
                <w:szCs w:val="20"/>
                <w:color w:val="auto"/>
              </w:rPr>
            </w:pPr>
            <w:r>
              <w:rPr>
                <w:rFonts w:ascii="Arial" w:cs="Arial" w:eastAsia="Arial" w:hAnsi="Arial"/>
                <w:sz w:val="12"/>
                <w:szCs w:val="12"/>
                <w:b w:val="1"/>
                <w:bCs w:val="1"/>
                <w:color w:val="auto"/>
              </w:rPr>
              <w:t>Competitors:</w:t>
            </w:r>
          </w:p>
        </w:tc>
      </w:tr>
      <w:tr>
        <w:trPr>
          <w:trHeight w:val="200"/>
        </w:trPr>
        <w:tc>
          <w:tcPr>
            <w:tcW w:w="3560" w:type="dxa"/>
            <w:vAlign w:val="bottom"/>
          </w:tcPr>
          <w:p>
            <w:pPr>
              <w:spacing w:after="0"/>
              <w:rPr>
                <w:sz w:val="20"/>
                <w:szCs w:val="20"/>
                <w:color w:val="auto"/>
              </w:rPr>
            </w:pPr>
            <w:r>
              <w:rPr>
                <w:rFonts w:ascii="Arial" w:cs="Arial" w:eastAsia="Arial" w:hAnsi="Arial"/>
                <w:sz w:val="12"/>
                <w:szCs w:val="12"/>
                <w:color w:val="auto"/>
              </w:rPr>
              <w:t>Advanced Micro Devices, Inc.</w:t>
            </w:r>
          </w:p>
        </w:tc>
        <w:tc>
          <w:tcPr>
            <w:tcW w:w="7860" w:type="dxa"/>
            <w:vAlign w:val="bottom"/>
          </w:tcPr>
          <w:p>
            <w:pPr>
              <w:ind w:left="2280"/>
              <w:spacing w:after="0"/>
              <w:rPr>
                <w:sz w:val="20"/>
                <w:szCs w:val="20"/>
                <w:color w:val="auto"/>
              </w:rPr>
            </w:pPr>
            <w:r>
              <w:rPr>
                <w:rFonts w:ascii="Arial" w:cs="Arial" w:eastAsia="Arial" w:hAnsi="Arial"/>
                <w:sz w:val="12"/>
                <w:szCs w:val="12"/>
                <w:color w:val="auto"/>
              </w:rPr>
              <w:t>Linear Technology Corporation</w:t>
            </w:r>
          </w:p>
        </w:tc>
      </w:tr>
      <w:tr>
        <w:trPr>
          <w:trHeight w:val="221"/>
        </w:trPr>
        <w:tc>
          <w:tcPr>
            <w:tcW w:w="3560" w:type="dxa"/>
            <w:vAlign w:val="bottom"/>
          </w:tcPr>
          <w:p>
            <w:pPr>
              <w:spacing w:after="0"/>
              <w:rPr>
                <w:sz w:val="20"/>
                <w:szCs w:val="20"/>
                <w:color w:val="auto"/>
              </w:rPr>
            </w:pPr>
            <w:r>
              <w:rPr>
                <w:rFonts w:ascii="Arial" w:cs="Arial" w:eastAsia="Arial" w:hAnsi="Arial"/>
                <w:sz w:val="12"/>
                <w:szCs w:val="12"/>
                <w:color w:val="auto"/>
              </w:rPr>
              <w:t>Agere Systems Inc.*</w:t>
            </w:r>
          </w:p>
        </w:tc>
        <w:tc>
          <w:tcPr>
            <w:tcW w:w="7860" w:type="dxa"/>
            <w:vAlign w:val="bottom"/>
          </w:tcPr>
          <w:p>
            <w:pPr>
              <w:ind w:left="2280"/>
              <w:spacing w:after="0"/>
              <w:rPr>
                <w:sz w:val="20"/>
                <w:szCs w:val="20"/>
                <w:color w:val="auto"/>
              </w:rPr>
            </w:pPr>
            <w:r>
              <w:rPr>
                <w:rFonts w:ascii="Arial" w:cs="Arial" w:eastAsia="Arial" w:hAnsi="Arial"/>
                <w:sz w:val="12"/>
                <w:szCs w:val="12"/>
                <w:color w:val="auto"/>
              </w:rPr>
              <w:t>LSI Logic Corporation</w:t>
            </w:r>
          </w:p>
        </w:tc>
      </w:tr>
      <w:tr>
        <w:trPr>
          <w:trHeight w:val="221"/>
        </w:trPr>
        <w:tc>
          <w:tcPr>
            <w:tcW w:w="3560" w:type="dxa"/>
            <w:vAlign w:val="bottom"/>
          </w:tcPr>
          <w:p>
            <w:pPr>
              <w:spacing w:after="0"/>
              <w:rPr>
                <w:sz w:val="20"/>
                <w:szCs w:val="20"/>
                <w:color w:val="auto"/>
              </w:rPr>
            </w:pPr>
            <w:r>
              <w:rPr>
                <w:rFonts w:ascii="Arial" w:cs="Arial" w:eastAsia="Arial" w:hAnsi="Arial"/>
                <w:sz w:val="12"/>
                <w:szCs w:val="12"/>
                <w:color w:val="auto"/>
              </w:rPr>
              <w:t>Altera Corporation</w:t>
            </w:r>
          </w:p>
        </w:tc>
        <w:tc>
          <w:tcPr>
            <w:tcW w:w="7860" w:type="dxa"/>
            <w:vAlign w:val="bottom"/>
          </w:tcPr>
          <w:p>
            <w:pPr>
              <w:ind w:left="2280"/>
              <w:spacing w:after="0"/>
              <w:rPr>
                <w:sz w:val="20"/>
                <w:szCs w:val="20"/>
                <w:color w:val="auto"/>
              </w:rPr>
            </w:pPr>
            <w:r>
              <w:rPr>
                <w:rFonts w:ascii="Arial" w:cs="Arial" w:eastAsia="Arial" w:hAnsi="Arial"/>
                <w:sz w:val="12"/>
                <w:szCs w:val="12"/>
                <w:color w:val="auto"/>
              </w:rPr>
              <w:t>Marvell Technology Group Ltd.** ***</w:t>
            </w:r>
          </w:p>
        </w:tc>
      </w:tr>
      <w:tr>
        <w:trPr>
          <w:trHeight w:val="221"/>
        </w:trPr>
        <w:tc>
          <w:tcPr>
            <w:tcW w:w="3560" w:type="dxa"/>
            <w:vAlign w:val="bottom"/>
          </w:tcPr>
          <w:p>
            <w:pPr>
              <w:spacing w:after="0"/>
              <w:rPr>
                <w:sz w:val="20"/>
                <w:szCs w:val="20"/>
                <w:color w:val="auto"/>
              </w:rPr>
            </w:pPr>
            <w:r>
              <w:rPr>
                <w:rFonts w:ascii="Arial" w:cs="Arial" w:eastAsia="Arial" w:hAnsi="Arial"/>
                <w:sz w:val="12"/>
                <w:szCs w:val="12"/>
                <w:color w:val="auto"/>
              </w:rPr>
              <w:t>Analog Devices, Inc.</w:t>
            </w:r>
          </w:p>
        </w:tc>
        <w:tc>
          <w:tcPr>
            <w:tcW w:w="7860" w:type="dxa"/>
            <w:vAlign w:val="bottom"/>
          </w:tcPr>
          <w:p>
            <w:pPr>
              <w:ind w:left="2280"/>
              <w:spacing w:after="0"/>
              <w:rPr>
                <w:sz w:val="20"/>
                <w:szCs w:val="20"/>
                <w:color w:val="auto"/>
              </w:rPr>
            </w:pPr>
            <w:r>
              <w:rPr>
                <w:rFonts w:ascii="Arial" w:cs="Arial" w:eastAsia="Arial" w:hAnsi="Arial"/>
                <w:sz w:val="12"/>
                <w:szCs w:val="12"/>
                <w:color w:val="auto"/>
              </w:rPr>
              <w:t>Maxim Integrated Products, Inc.</w:t>
            </w:r>
          </w:p>
        </w:tc>
      </w:tr>
      <w:tr>
        <w:trPr>
          <w:trHeight w:val="221"/>
        </w:trPr>
        <w:tc>
          <w:tcPr>
            <w:tcW w:w="3560" w:type="dxa"/>
            <w:vAlign w:val="bottom"/>
          </w:tcPr>
          <w:p>
            <w:pPr>
              <w:spacing w:after="0"/>
              <w:rPr>
                <w:sz w:val="20"/>
                <w:szCs w:val="20"/>
                <w:color w:val="auto"/>
              </w:rPr>
            </w:pPr>
            <w:r>
              <w:rPr>
                <w:rFonts w:ascii="Arial" w:cs="Arial" w:eastAsia="Arial" w:hAnsi="Arial"/>
                <w:sz w:val="12"/>
                <w:szCs w:val="12"/>
                <w:color w:val="auto"/>
              </w:rPr>
              <w:t>Broadcom Corporation</w:t>
            </w:r>
          </w:p>
        </w:tc>
        <w:tc>
          <w:tcPr>
            <w:tcW w:w="7860" w:type="dxa"/>
            <w:vAlign w:val="bottom"/>
          </w:tcPr>
          <w:p>
            <w:pPr>
              <w:ind w:left="2280"/>
              <w:spacing w:after="0"/>
              <w:rPr>
                <w:sz w:val="20"/>
                <w:szCs w:val="20"/>
                <w:color w:val="auto"/>
              </w:rPr>
            </w:pPr>
            <w:r>
              <w:rPr>
                <w:rFonts w:ascii="Arial" w:cs="Arial" w:eastAsia="Arial" w:hAnsi="Arial"/>
                <w:sz w:val="12"/>
                <w:szCs w:val="12"/>
                <w:color w:val="auto"/>
              </w:rPr>
              <w:t>Microchip Technology Incorporated</w:t>
            </w:r>
          </w:p>
        </w:tc>
      </w:tr>
      <w:tr>
        <w:trPr>
          <w:trHeight w:val="221"/>
        </w:trPr>
        <w:tc>
          <w:tcPr>
            <w:tcW w:w="3560" w:type="dxa"/>
            <w:vAlign w:val="bottom"/>
          </w:tcPr>
          <w:p>
            <w:pPr>
              <w:spacing w:after="0"/>
              <w:rPr>
                <w:sz w:val="20"/>
                <w:szCs w:val="20"/>
                <w:color w:val="auto"/>
              </w:rPr>
            </w:pPr>
            <w:r>
              <w:rPr>
                <w:rFonts w:ascii="Arial" w:cs="Arial" w:eastAsia="Arial" w:hAnsi="Arial"/>
                <w:sz w:val="12"/>
                <w:szCs w:val="12"/>
                <w:color w:val="auto"/>
              </w:rPr>
              <w:t>Conexant Systems, Inc.</w:t>
            </w:r>
          </w:p>
        </w:tc>
        <w:tc>
          <w:tcPr>
            <w:tcW w:w="7860" w:type="dxa"/>
            <w:vAlign w:val="bottom"/>
          </w:tcPr>
          <w:p>
            <w:pPr>
              <w:ind w:left="2280"/>
              <w:spacing w:after="0"/>
              <w:rPr>
                <w:sz w:val="20"/>
                <w:szCs w:val="20"/>
                <w:color w:val="auto"/>
              </w:rPr>
            </w:pPr>
            <w:r>
              <w:rPr>
                <w:rFonts w:ascii="Arial" w:cs="Arial" w:eastAsia="Arial" w:hAnsi="Arial"/>
                <w:sz w:val="12"/>
                <w:szCs w:val="12"/>
                <w:color w:val="auto"/>
              </w:rPr>
              <w:t>National Semiconductor Corporation</w:t>
            </w:r>
          </w:p>
        </w:tc>
      </w:tr>
      <w:tr>
        <w:trPr>
          <w:trHeight w:val="221"/>
        </w:trPr>
        <w:tc>
          <w:tcPr>
            <w:tcW w:w="3560" w:type="dxa"/>
            <w:vAlign w:val="bottom"/>
          </w:tcPr>
          <w:p>
            <w:pPr>
              <w:spacing w:after="0"/>
              <w:rPr>
                <w:sz w:val="20"/>
                <w:szCs w:val="20"/>
                <w:color w:val="auto"/>
              </w:rPr>
            </w:pPr>
            <w:r>
              <w:rPr>
                <w:rFonts w:ascii="Arial" w:cs="Arial" w:eastAsia="Arial" w:hAnsi="Arial"/>
                <w:sz w:val="12"/>
                <w:szCs w:val="12"/>
                <w:color w:val="auto"/>
              </w:rPr>
              <w:t>Fairchild Semiconductor International, Inc.</w:t>
            </w:r>
          </w:p>
        </w:tc>
        <w:tc>
          <w:tcPr>
            <w:tcW w:w="7860" w:type="dxa"/>
            <w:vAlign w:val="bottom"/>
          </w:tcPr>
          <w:p>
            <w:pPr>
              <w:ind w:left="2280"/>
              <w:spacing w:after="0"/>
              <w:rPr>
                <w:sz w:val="20"/>
                <w:szCs w:val="20"/>
                <w:color w:val="auto"/>
              </w:rPr>
            </w:pPr>
            <w:r>
              <w:rPr>
                <w:rFonts w:ascii="Arial" w:cs="Arial" w:eastAsia="Arial" w:hAnsi="Arial"/>
                <w:sz w:val="12"/>
                <w:szCs w:val="12"/>
                <w:color w:val="auto"/>
              </w:rPr>
              <w:t>NVIDIA Corporation***</w:t>
            </w:r>
          </w:p>
        </w:tc>
      </w:tr>
      <w:tr>
        <w:trPr>
          <w:trHeight w:val="221"/>
        </w:trPr>
        <w:tc>
          <w:tcPr>
            <w:tcW w:w="3560" w:type="dxa"/>
            <w:vAlign w:val="bottom"/>
          </w:tcPr>
          <w:p>
            <w:pPr>
              <w:spacing w:after="0"/>
              <w:rPr>
                <w:sz w:val="20"/>
                <w:szCs w:val="20"/>
                <w:color w:val="auto"/>
              </w:rPr>
            </w:pPr>
            <w:r>
              <w:rPr>
                <w:rFonts w:ascii="Arial" w:cs="Arial" w:eastAsia="Arial" w:hAnsi="Arial"/>
                <w:sz w:val="12"/>
                <w:szCs w:val="12"/>
                <w:color w:val="auto"/>
              </w:rPr>
              <w:t>Freescale Semiconductor, Inc.*</w:t>
            </w:r>
          </w:p>
        </w:tc>
        <w:tc>
          <w:tcPr>
            <w:tcW w:w="7860" w:type="dxa"/>
            <w:vAlign w:val="bottom"/>
          </w:tcPr>
          <w:p>
            <w:pPr>
              <w:ind w:left="2280"/>
              <w:spacing w:after="0"/>
              <w:rPr>
                <w:sz w:val="20"/>
                <w:szCs w:val="20"/>
                <w:color w:val="auto"/>
              </w:rPr>
            </w:pPr>
            <w:r>
              <w:rPr>
                <w:rFonts w:ascii="Arial" w:cs="Arial" w:eastAsia="Arial" w:hAnsi="Arial"/>
                <w:sz w:val="12"/>
                <w:szCs w:val="12"/>
                <w:color w:val="auto"/>
              </w:rPr>
              <w:t>ON Semiconductor Corporation</w:t>
            </w:r>
          </w:p>
        </w:tc>
      </w:tr>
      <w:tr>
        <w:trPr>
          <w:trHeight w:val="221"/>
        </w:trPr>
        <w:tc>
          <w:tcPr>
            <w:tcW w:w="3560" w:type="dxa"/>
            <w:vAlign w:val="bottom"/>
          </w:tcPr>
          <w:p>
            <w:pPr>
              <w:spacing w:after="0"/>
              <w:rPr>
                <w:sz w:val="20"/>
                <w:szCs w:val="20"/>
                <w:color w:val="auto"/>
              </w:rPr>
            </w:pPr>
            <w:r>
              <w:rPr>
                <w:rFonts w:ascii="Arial" w:cs="Arial" w:eastAsia="Arial" w:hAnsi="Arial"/>
                <w:sz w:val="12"/>
                <w:szCs w:val="12"/>
                <w:color w:val="auto"/>
              </w:rPr>
              <w:t>Infineon Technologies AG ** ***</w:t>
            </w:r>
          </w:p>
        </w:tc>
        <w:tc>
          <w:tcPr>
            <w:tcW w:w="7860" w:type="dxa"/>
            <w:vAlign w:val="bottom"/>
          </w:tcPr>
          <w:p>
            <w:pPr>
              <w:ind w:left="2280"/>
              <w:spacing w:after="0"/>
              <w:rPr>
                <w:sz w:val="20"/>
                <w:szCs w:val="20"/>
                <w:color w:val="auto"/>
              </w:rPr>
            </w:pPr>
            <w:r>
              <w:rPr>
                <w:rFonts w:ascii="Arial" w:cs="Arial" w:eastAsia="Arial" w:hAnsi="Arial"/>
                <w:sz w:val="12"/>
                <w:szCs w:val="12"/>
                <w:color w:val="auto"/>
              </w:rPr>
              <w:t>QUALCOMM Incorporated</w:t>
            </w:r>
          </w:p>
        </w:tc>
      </w:tr>
      <w:tr>
        <w:trPr>
          <w:trHeight w:val="221"/>
        </w:trPr>
        <w:tc>
          <w:tcPr>
            <w:tcW w:w="3560" w:type="dxa"/>
            <w:vAlign w:val="bottom"/>
          </w:tcPr>
          <w:p>
            <w:pPr>
              <w:spacing w:after="0"/>
              <w:rPr>
                <w:sz w:val="20"/>
                <w:szCs w:val="20"/>
                <w:color w:val="auto"/>
              </w:rPr>
            </w:pPr>
            <w:r>
              <w:rPr>
                <w:rFonts w:ascii="Arial" w:cs="Arial" w:eastAsia="Arial" w:hAnsi="Arial"/>
                <w:sz w:val="12"/>
                <w:szCs w:val="12"/>
                <w:color w:val="auto"/>
              </w:rPr>
              <w:t>Intel Corporation</w:t>
            </w:r>
          </w:p>
        </w:tc>
        <w:tc>
          <w:tcPr>
            <w:tcW w:w="7860" w:type="dxa"/>
            <w:vAlign w:val="bottom"/>
          </w:tcPr>
          <w:p>
            <w:pPr>
              <w:ind w:left="2280"/>
              <w:spacing w:after="0"/>
              <w:rPr>
                <w:sz w:val="20"/>
                <w:szCs w:val="20"/>
                <w:color w:val="auto"/>
              </w:rPr>
            </w:pPr>
            <w:r>
              <w:rPr>
                <w:rFonts w:ascii="Arial" w:cs="Arial" w:eastAsia="Arial" w:hAnsi="Arial"/>
                <w:sz w:val="12"/>
                <w:szCs w:val="12"/>
                <w:color w:val="auto"/>
              </w:rPr>
              <w:t>STMicroelectronics N.V.**</w:t>
            </w:r>
          </w:p>
        </w:tc>
      </w:tr>
      <w:tr>
        <w:trPr>
          <w:trHeight w:val="221"/>
        </w:trPr>
        <w:tc>
          <w:tcPr>
            <w:tcW w:w="3560" w:type="dxa"/>
            <w:vAlign w:val="bottom"/>
          </w:tcPr>
          <w:p>
            <w:pPr>
              <w:spacing w:after="0"/>
              <w:rPr>
                <w:sz w:val="20"/>
                <w:szCs w:val="20"/>
                <w:color w:val="auto"/>
              </w:rPr>
            </w:pPr>
            <w:r>
              <w:rPr>
                <w:rFonts w:ascii="Arial" w:cs="Arial" w:eastAsia="Arial" w:hAnsi="Arial"/>
                <w:sz w:val="12"/>
                <w:szCs w:val="12"/>
                <w:color w:val="auto"/>
              </w:rPr>
              <w:t>Intersil Corporation</w:t>
            </w:r>
          </w:p>
        </w:tc>
        <w:tc>
          <w:tcPr>
            <w:tcW w:w="7860" w:type="dxa"/>
            <w:vAlign w:val="bottom"/>
          </w:tcPr>
          <w:p>
            <w:pPr>
              <w:ind w:left="2280"/>
              <w:spacing w:after="0"/>
              <w:rPr>
                <w:sz w:val="20"/>
                <w:szCs w:val="20"/>
                <w:color w:val="auto"/>
              </w:rPr>
            </w:pPr>
            <w:r>
              <w:rPr>
                <w:rFonts w:ascii="Arial" w:cs="Arial" w:eastAsia="Arial" w:hAnsi="Arial"/>
                <w:sz w:val="12"/>
                <w:szCs w:val="12"/>
                <w:color w:val="auto"/>
              </w:rPr>
              <w:t>Xilinx, Inc.</w:t>
            </w:r>
          </w:p>
        </w:tc>
      </w:tr>
      <w:tr>
        <w:trPr>
          <w:trHeight w:val="368"/>
        </w:trPr>
        <w:tc>
          <w:tcPr>
            <w:tcW w:w="3560" w:type="dxa"/>
            <w:vAlign w:val="bottom"/>
            <w:tcBorders>
              <w:bottom w:val="single" w:sz="8" w:color="auto"/>
            </w:tcBorders>
          </w:tcPr>
          <w:p>
            <w:pPr>
              <w:spacing w:after="0"/>
              <w:rPr>
                <w:sz w:val="24"/>
                <w:szCs w:val="24"/>
                <w:color w:val="auto"/>
              </w:rPr>
            </w:pPr>
          </w:p>
        </w:tc>
        <w:tc>
          <w:tcPr>
            <w:tcW w:w="7860" w:type="dxa"/>
            <w:vAlign w:val="bottom"/>
            <w:tcBorders>
              <w:bottom w:val="single" w:sz="8" w:color="auto"/>
            </w:tcBorders>
          </w:tcPr>
          <w:p>
            <w:pPr>
              <w:jc w:val="center"/>
              <w:ind w:right="3498"/>
              <w:spacing w:after="0"/>
              <w:rPr>
                <w:sz w:val="20"/>
                <w:szCs w:val="20"/>
                <w:color w:val="auto"/>
              </w:rPr>
            </w:pPr>
            <w:r>
              <w:rPr>
                <w:rFonts w:ascii="Arial" w:cs="Arial" w:eastAsia="Arial" w:hAnsi="Arial"/>
                <w:sz w:val="12"/>
                <w:szCs w:val="12"/>
                <w:b w:val="1"/>
                <w:bCs w:val="1"/>
                <w:color w:val="auto"/>
              </w:rPr>
              <w:t>Other technology companies:</w:t>
            </w:r>
          </w:p>
        </w:tc>
      </w:tr>
      <w:tr>
        <w:trPr>
          <w:trHeight w:val="200"/>
        </w:trPr>
        <w:tc>
          <w:tcPr>
            <w:tcW w:w="3560" w:type="dxa"/>
            <w:vAlign w:val="bottom"/>
          </w:tcPr>
          <w:p>
            <w:pPr>
              <w:spacing w:after="0"/>
              <w:rPr>
                <w:sz w:val="20"/>
                <w:szCs w:val="20"/>
                <w:color w:val="auto"/>
              </w:rPr>
            </w:pPr>
            <w:r>
              <w:rPr>
                <w:rFonts w:ascii="Arial" w:cs="Arial" w:eastAsia="Arial" w:hAnsi="Arial"/>
                <w:sz w:val="12"/>
                <w:szCs w:val="12"/>
                <w:color w:val="auto"/>
              </w:rPr>
              <w:t>Apple Computer, Inc.</w:t>
            </w:r>
          </w:p>
        </w:tc>
        <w:tc>
          <w:tcPr>
            <w:tcW w:w="7860" w:type="dxa"/>
            <w:vAlign w:val="bottom"/>
          </w:tcPr>
          <w:p>
            <w:pPr>
              <w:ind w:left="2280"/>
              <w:spacing w:after="0"/>
              <w:rPr>
                <w:sz w:val="20"/>
                <w:szCs w:val="20"/>
                <w:color w:val="auto"/>
              </w:rPr>
            </w:pPr>
            <w:r>
              <w:rPr>
                <w:rFonts w:ascii="Arial" w:cs="Arial" w:eastAsia="Arial" w:hAnsi="Arial"/>
                <w:sz w:val="12"/>
                <w:szCs w:val="12"/>
                <w:color w:val="auto"/>
              </w:rPr>
              <w:t>Jabil Circuit, Inc.</w:t>
            </w:r>
          </w:p>
        </w:tc>
      </w:tr>
      <w:tr>
        <w:trPr>
          <w:trHeight w:val="221"/>
        </w:trPr>
        <w:tc>
          <w:tcPr>
            <w:tcW w:w="3560" w:type="dxa"/>
            <w:vAlign w:val="bottom"/>
          </w:tcPr>
          <w:p>
            <w:pPr>
              <w:spacing w:after="0"/>
              <w:rPr>
                <w:sz w:val="20"/>
                <w:szCs w:val="20"/>
                <w:color w:val="auto"/>
              </w:rPr>
            </w:pPr>
            <w:r>
              <w:rPr>
                <w:rFonts w:ascii="Arial" w:cs="Arial" w:eastAsia="Arial" w:hAnsi="Arial"/>
                <w:sz w:val="12"/>
                <w:szCs w:val="12"/>
                <w:color w:val="auto"/>
              </w:rPr>
              <w:t>Applied Materials, Inc.</w:t>
            </w:r>
          </w:p>
        </w:tc>
        <w:tc>
          <w:tcPr>
            <w:tcW w:w="7860" w:type="dxa"/>
            <w:vAlign w:val="bottom"/>
          </w:tcPr>
          <w:p>
            <w:pPr>
              <w:ind w:left="2280"/>
              <w:spacing w:after="0"/>
              <w:rPr>
                <w:sz w:val="20"/>
                <w:szCs w:val="20"/>
                <w:color w:val="auto"/>
              </w:rPr>
            </w:pPr>
            <w:r>
              <w:rPr>
                <w:rFonts w:ascii="Arial" w:cs="Arial" w:eastAsia="Arial" w:hAnsi="Arial"/>
                <w:sz w:val="12"/>
                <w:szCs w:val="12"/>
                <w:color w:val="auto"/>
              </w:rPr>
              <w:t>Microsoft Corporation</w:t>
            </w:r>
          </w:p>
        </w:tc>
      </w:tr>
      <w:tr>
        <w:trPr>
          <w:trHeight w:val="221"/>
        </w:trPr>
        <w:tc>
          <w:tcPr>
            <w:tcW w:w="3560" w:type="dxa"/>
            <w:vAlign w:val="bottom"/>
          </w:tcPr>
          <w:p>
            <w:pPr>
              <w:spacing w:after="0"/>
              <w:rPr>
                <w:sz w:val="20"/>
                <w:szCs w:val="20"/>
                <w:color w:val="auto"/>
              </w:rPr>
            </w:pPr>
            <w:r>
              <w:rPr>
                <w:rFonts w:ascii="Arial" w:cs="Arial" w:eastAsia="Arial" w:hAnsi="Arial"/>
                <w:sz w:val="12"/>
                <w:szCs w:val="12"/>
                <w:color w:val="auto"/>
              </w:rPr>
              <w:t>Cisco Systems, Inc.</w:t>
            </w:r>
          </w:p>
        </w:tc>
        <w:tc>
          <w:tcPr>
            <w:tcW w:w="7860" w:type="dxa"/>
            <w:vAlign w:val="bottom"/>
          </w:tcPr>
          <w:p>
            <w:pPr>
              <w:ind w:left="2280"/>
              <w:spacing w:after="0"/>
              <w:rPr>
                <w:sz w:val="20"/>
                <w:szCs w:val="20"/>
                <w:color w:val="auto"/>
              </w:rPr>
            </w:pPr>
            <w:r>
              <w:rPr>
                <w:rFonts w:ascii="Arial" w:cs="Arial" w:eastAsia="Arial" w:hAnsi="Arial"/>
                <w:sz w:val="12"/>
                <w:szCs w:val="12"/>
                <w:color w:val="auto"/>
              </w:rPr>
              <w:t>Motorola, Inc.</w:t>
            </w:r>
          </w:p>
        </w:tc>
      </w:tr>
      <w:tr>
        <w:trPr>
          <w:trHeight w:val="221"/>
        </w:trPr>
        <w:tc>
          <w:tcPr>
            <w:tcW w:w="3560" w:type="dxa"/>
            <w:vAlign w:val="bottom"/>
          </w:tcPr>
          <w:p>
            <w:pPr>
              <w:spacing w:after="0"/>
              <w:rPr>
                <w:sz w:val="20"/>
                <w:szCs w:val="20"/>
                <w:color w:val="auto"/>
              </w:rPr>
            </w:pPr>
            <w:r>
              <w:rPr>
                <w:rFonts w:ascii="Arial" w:cs="Arial" w:eastAsia="Arial" w:hAnsi="Arial"/>
                <w:sz w:val="12"/>
                <w:szCs w:val="12"/>
                <w:color w:val="auto"/>
              </w:rPr>
              <w:t>Dell Inc.</w:t>
            </w:r>
          </w:p>
        </w:tc>
        <w:tc>
          <w:tcPr>
            <w:tcW w:w="7860" w:type="dxa"/>
            <w:vAlign w:val="bottom"/>
          </w:tcPr>
          <w:p>
            <w:pPr>
              <w:ind w:left="2280"/>
              <w:spacing w:after="0"/>
              <w:rPr>
                <w:sz w:val="20"/>
                <w:szCs w:val="20"/>
                <w:color w:val="auto"/>
              </w:rPr>
            </w:pPr>
            <w:r>
              <w:rPr>
                <w:rFonts w:ascii="Arial" w:cs="Arial" w:eastAsia="Arial" w:hAnsi="Arial"/>
                <w:sz w:val="12"/>
                <w:szCs w:val="12"/>
                <w:color w:val="auto"/>
              </w:rPr>
              <w:t>Oracle Corporation</w:t>
            </w:r>
          </w:p>
        </w:tc>
      </w:tr>
      <w:tr>
        <w:trPr>
          <w:trHeight w:val="214"/>
        </w:trPr>
        <w:tc>
          <w:tcPr>
            <w:tcW w:w="3560" w:type="dxa"/>
            <w:vAlign w:val="bottom"/>
          </w:tcPr>
          <w:p>
            <w:pPr>
              <w:spacing w:after="0"/>
              <w:rPr>
                <w:sz w:val="20"/>
                <w:szCs w:val="20"/>
                <w:color w:val="auto"/>
              </w:rPr>
            </w:pPr>
            <w:r>
              <w:rPr>
                <w:rFonts w:ascii="Arial" w:cs="Arial" w:eastAsia="Arial" w:hAnsi="Arial"/>
                <w:sz w:val="12"/>
                <w:szCs w:val="12"/>
                <w:color w:val="auto"/>
              </w:rPr>
              <w:t>EMC Corporation</w:t>
            </w:r>
          </w:p>
        </w:tc>
        <w:tc>
          <w:tcPr>
            <w:tcW w:w="7860" w:type="dxa"/>
            <w:vAlign w:val="bottom"/>
          </w:tcPr>
          <w:p>
            <w:pPr>
              <w:ind w:left="2280"/>
              <w:spacing w:after="0"/>
              <w:rPr>
                <w:sz w:val="20"/>
                <w:szCs w:val="20"/>
                <w:color w:val="auto"/>
              </w:rPr>
            </w:pPr>
            <w:r>
              <w:rPr>
                <w:rFonts w:ascii="Arial" w:cs="Arial" w:eastAsia="Arial" w:hAnsi="Arial"/>
                <w:sz w:val="12"/>
                <w:szCs w:val="12"/>
                <w:color w:val="auto"/>
              </w:rPr>
              <w:t>Seagate Technology</w:t>
            </w:r>
          </w:p>
        </w:tc>
      </w:tr>
      <w:tr>
        <w:trPr>
          <w:trHeight w:val="249"/>
        </w:trPr>
        <w:tc>
          <w:tcPr>
            <w:tcW w:w="3560" w:type="dxa"/>
            <w:vAlign w:val="bottom"/>
          </w:tcPr>
          <w:p>
            <w:pPr>
              <w:spacing w:after="0"/>
              <w:rPr>
                <w:sz w:val="20"/>
                <w:szCs w:val="20"/>
                <w:color w:val="auto"/>
              </w:rPr>
            </w:pPr>
            <w:r>
              <w:rPr>
                <w:rFonts w:ascii="Arial" w:cs="Arial" w:eastAsia="Arial" w:hAnsi="Arial"/>
                <w:sz w:val="20"/>
                <w:szCs w:val="20"/>
                <w:color w:val="auto"/>
              </w:rPr>
              <w:t>____________________</w:t>
            </w:r>
          </w:p>
        </w:tc>
        <w:tc>
          <w:tcPr>
            <w:tcW w:w="7860" w:type="dxa"/>
            <w:vAlign w:val="bottom"/>
          </w:tcPr>
          <w:p>
            <w:pPr>
              <w:spacing w:after="0"/>
              <w:rPr>
                <w:sz w:val="21"/>
                <w:szCs w:val="21"/>
                <w:color w:val="auto"/>
              </w:rPr>
            </w:pPr>
          </w:p>
        </w:tc>
      </w:tr>
    </w:tbl>
    <w:p>
      <w:pPr>
        <w:spacing w:after="0" w:line="227" w:lineRule="exact"/>
        <w:rPr>
          <w:sz w:val="20"/>
          <w:szCs w:val="20"/>
          <w:color w:val="auto"/>
        </w:rPr>
      </w:pPr>
    </w:p>
    <w:p>
      <w:pPr>
        <w:ind w:left="2" w:right="1160" w:hanging="2"/>
        <w:spacing w:after="0" w:line="543" w:lineRule="auto"/>
        <w:tabs>
          <w:tab w:leader="none" w:pos="443"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Removed in June 2007 (Agere had been acquired by another Comparator Group company; Freescale had ceased to be a public company). ** For performance comparison only.</w:t>
      </w:r>
    </w:p>
    <w:p>
      <w:pPr>
        <w:spacing w:after="0" w:line="1" w:lineRule="exact"/>
        <w:rPr>
          <w:sz w:val="20"/>
          <w:szCs w:val="20"/>
          <w:color w:val="auto"/>
        </w:rPr>
      </w:pPr>
    </w:p>
    <w:p>
      <w:pPr>
        <w:ind w:left="442" w:right="480" w:hanging="442"/>
        <w:spacing w:after="0" w:line="250" w:lineRule="auto"/>
        <w:tabs>
          <w:tab w:leader="none" w:pos="442"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Added in June 2007 (determined appropriate to add to the Comparator Group because it is a TI competitor and its business profile had become more comparable to TI’s).</w:t>
      </w:r>
    </w:p>
    <w:p>
      <w:pPr>
        <w:spacing w:after="0" w:line="16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Analysis of Compensation Determinations for 2007</w:t>
      </w:r>
    </w:p>
    <w:p>
      <w:pPr>
        <w:spacing w:after="0" w:line="216" w:lineRule="exact"/>
        <w:rPr>
          <w:sz w:val="20"/>
          <w:szCs w:val="20"/>
          <w:color w:val="auto"/>
        </w:rPr>
      </w:pPr>
    </w:p>
    <w:p>
      <w:pPr>
        <w:jc w:val="both"/>
        <w:ind w:left="2" w:right="140"/>
        <w:spacing w:after="0" w:line="245" w:lineRule="auto"/>
        <w:rPr>
          <w:sz w:val="20"/>
          <w:szCs w:val="20"/>
          <w:color w:val="auto"/>
        </w:rPr>
      </w:pPr>
      <w:r>
        <w:rPr>
          <w:rFonts w:ascii="Arial" w:cs="Arial" w:eastAsia="Arial" w:hAnsi="Arial"/>
          <w:sz w:val="16"/>
          <w:szCs w:val="16"/>
          <w:color w:val="auto"/>
        </w:rPr>
        <w:t>In setting compensation, the committee applied the same policies to all named executive officers, except Mr. Delfassy where noted in the discussion below. The committee determined each named executive officer’s compensation separately, without using any formula to set one officer’s compensation at a higher or lower level than another officer’s.</w:t>
      </w:r>
    </w:p>
    <w:p>
      <w:pPr>
        <w:spacing w:after="0" w:line="184" w:lineRule="exact"/>
        <w:rPr>
          <w:sz w:val="20"/>
          <w:szCs w:val="20"/>
          <w:color w:val="auto"/>
        </w:rPr>
      </w:pPr>
    </w:p>
    <w:p>
      <w:pPr>
        <w:ind w:left="2" w:right="200"/>
        <w:spacing w:after="0" w:line="243" w:lineRule="auto"/>
        <w:rPr>
          <w:sz w:val="20"/>
          <w:szCs w:val="20"/>
          <w:color w:val="auto"/>
        </w:rPr>
      </w:pPr>
      <w:r>
        <w:rPr>
          <w:rFonts w:ascii="Arial" w:cs="Arial" w:eastAsia="Arial" w:hAnsi="Arial"/>
          <w:sz w:val="16"/>
          <w:szCs w:val="16"/>
          <w:u w:val="single" w:color="auto"/>
          <w:color w:val="auto"/>
        </w:rPr>
        <w:t>Total Compensation</w:t>
      </w:r>
      <w:r>
        <w:rPr>
          <w:rFonts w:ascii="Arial" w:cs="Arial" w:eastAsia="Arial" w:hAnsi="Arial"/>
          <w:sz w:val="16"/>
          <w:szCs w:val="16"/>
          <w:color w:val="auto"/>
        </w:rPr>
        <w:t xml:space="preserve"> – Before finalizing the compensation of the executive officers, the committee performed a “tally sheet” review (i.e., a review covering all elements of compensation) in order to understand fully the impact that its decisions will have on the officers’ total pay. The tally sheets included estimates of the information contained in the Summary Compensation Table (page 30) and the information on page 26. Based on this review, the committee determined that the level of compensation was appropriate.</w:t>
      </w:r>
    </w:p>
    <w:p>
      <w:pPr>
        <w:spacing w:after="0" w:line="18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96" w:lineRule="exact"/>
        <w:rPr>
          <w:sz w:val="20"/>
          <w:szCs w:val="20"/>
          <w:color w:val="auto"/>
        </w:rPr>
      </w:pPr>
    </w:p>
    <w:p>
      <w:pPr>
        <w:ind w:left="2" w:right="180"/>
        <w:spacing w:after="0" w:line="260" w:lineRule="auto"/>
        <w:rPr>
          <w:sz w:val="20"/>
          <w:szCs w:val="20"/>
          <w:color w:val="auto"/>
        </w:rPr>
      </w:pPr>
      <w:r>
        <w:rPr>
          <w:rFonts w:ascii="Arial" w:cs="Arial" w:eastAsia="Arial" w:hAnsi="Arial"/>
          <w:sz w:val="16"/>
          <w:szCs w:val="16"/>
          <w:u w:val="single" w:color="auto"/>
          <w:color w:val="auto"/>
        </w:rPr>
        <w:t>Base Salary</w:t>
      </w:r>
      <w:r>
        <w:rPr>
          <w:rFonts w:ascii="Arial" w:cs="Arial" w:eastAsia="Arial" w:hAnsi="Arial"/>
          <w:sz w:val="16"/>
          <w:szCs w:val="16"/>
          <w:color w:val="auto"/>
        </w:rPr>
        <w:t xml:space="preserve"> – In January 2007, the committee set the base salary of each named executive officer for 2007. In keeping with its strategy, the committee targeted base salary for the named executive officers below the estimated median level of salaries that will be paid to similarly situated executives of the Comparator Group of companies in 2007. As a result of the committee’s decisions, the 2007 rate of base salary for the officers was as follows</w:t>
      </w:r>
      <w:r>
        <w:rPr>
          <w:rFonts w:ascii="Arial" w:cs="Arial" w:eastAsia="Arial" w:hAnsi="Arial"/>
          <w:sz w:val="26"/>
          <w:szCs w:val="26"/>
          <w:color w:val="auto"/>
          <w:vertAlign w:val="superscript"/>
        </w:rPr>
        <w:t>3</w:t>
      </w:r>
      <w:r>
        <w:rPr>
          <w:rFonts w:ascii="Arial" w:cs="Arial" w:eastAsia="Arial" w:hAnsi="Arial"/>
          <w:sz w:val="16"/>
          <w:szCs w:val="16"/>
          <w:color w:val="auto"/>
        </w:rPr>
        <w:t>:</w:t>
      </w:r>
    </w:p>
    <w:p>
      <w:pPr>
        <w:spacing w:after="0" w:line="118" w:lineRule="exact"/>
        <w:rPr>
          <w:sz w:val="20"/>
          <w:szCs w:val="20"/>
          <w:color w:val="auto"/>
        </w:rPr>
      </w:pPr>
    </w:p>
    <w:tbl>
      <w:tblPr>
        <w:tblLayout w:type="fixed"/>
        <w:tblInd w:w="2862" w:type="dxa"/>
        <w:tblCellMar>
          <w:top w:w="0" w:type="dxa"/>
          <w:left w:w="0" w:type="dxa"/>
          <w:bottom w:w="0" w:type="dxa"/>
          <w:right w:w="0" w:type="dxa"/>
        </w:tblCellMar>
      </w:tblPr>
      <w:tr>
        <w:trPr>
          <w:trHeight w:val="149"/>
        </w:trPr>
        <w:tc>
          <w:tcPr>
            <w:tcW w:w="1060" w:type="dxa"/>
            <w:vAlign w:val="bottom"/>
          </w:tcPr>
          <w:p>
            <w:pPr>
              <w:ind w:left="320"/>
              <w:spacing w:after="0"/>
              <w:rPr>
                <w:sz w:val="20"/>
                <w:szCs w:val="20"/>
                <w:color w:val="auto"/>
              </w:rPr>
            </w:pPr>
            <w:r>
              <w:rPr>
                <w:rFonts w:ascii="Arial" w:cs="Arial" w:eastAsia="Arial" w:hAnsi="Arial"/>
                <w:sz w:val="12"/>
                <w:szCs w:val="12"/>
                <w:b w:val="1"/>
                <w:bCs w:val="1"/>
                <w:color w:val="auto"/>
              </w:rPr>
              <w:t>Officer</w:t>
            </w:r>
          </w:p>
        </w:tc>
        <w:tc>
          <w:tcPr>
            <w:tcW w:w="9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b w:val="1"/>
                <w:bCs w:val="1"/>
                <w:color w:val="auto"/>
              </w:rPr>
              <w:t>2007 annual rate*</w:t>
            </w:r>
          </w:p>
        </w:tc>
        <w:tc>
          <w:tcPr>
            <w:tcW w:w="2660" w:type="dxa"/>
            <w:vAlign w:val="bottom"/>
            <w:gridSpan w:val="2"/>
          </w:tcPr>
          <w:p>
            <w:pPr>
              <w:jc w:val="right"/>
              <w:spacing w:after="0"/>
              <w:rPr>
                <w:sz w:val="20"/>
                <w:szCs w:val="20"/>
                <w:color w:val="auto"/>
              </w:rPr>
            </w:pPr>
            <w:r>
              <w:rPr>
                <w:rFonts w:ascii="Arial" w:cs="Arial" w:eastAsia="Arial" w:hAnsi="Arial"/>
                <w:sz w:val="12"/>
                <w:szCs w:val="12"/>
                <w:b w:val="1"/>
                <w:bCs w:val="1"/>
                <w:color w:val="auto"/>
              </w:rPr>
              <w:t>Change from 2006 annual rate</w:t>
            </w:r>
          </w:p>
        </w:tc>
      </w:tr>
      <w:tr>
        <w:trPr>
          <w:trHeight w:val="213"/>
        </w:trPr>
        <w:tc>
          <w:tcPr>
            <w:tcW w:w="10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2"/>
                <w:szCs w:val="12"/>
                <w:color w:val="auto"/>
              </w:rPr>
              <w:t>Mr. Templeton</w:t>
            </w:r>
          </w:p>
        </w:tc>
        <w:tc>
          <w:tcPr>
            <w:tcW w:w="900" w:type="dxa"/>
            <w:vAlign w:val="bottom"/>
            <w:shd w:val="clear" w:color="auto" w:fill="C0C0C0"/>
          </w:tcPr>
          <w:p>
            <w:pPr>
              <w:spacing w:after="0"/>
              <w:rPr>
                <w:sz w:val="18"/>
                <w:szCs w:val="18"/>
                <w:color w:val="auto"/>
              </w:rPr>
            </w:pPr>
          </w:p>
        </w:tc>
        <w:tc>
          <w:tcPr>
            <w:tcW w:w="1100" w:type="dxa"/>
            <w:vAlign w:val="bottom"/>
            <w:tcBorders>
              <w:top w:val="single" w:sz="8" w:color="auto"/>
            </w:tcBorders>
            <w:shd w:val="clear" w:color="auto" w:fill="C0C0C0"/>
          </w:tcPr>
          <w:p>
            <w:pPr>
              <w:jc w:val="right"/>
              <w:ind w:right="259"/>
              <w:spacing w:after="0"/>
              <w:rPr>
                <w:sz w:val="20"/>
                <w:szCs w:val="20"/>
                <w:color w:val="auto"/>
              </w:rPr>
            </w:pPr>
            <w:r>
              <w:rPr>
                <w:rFonts w:ascii="Arial" w:cs="Arial" w:eastAsia="Arial" w:hAnsi="Arial"/>
                <w:sz w:val="12"/>
                <w:szCs w:val="12"/>
                <w:color w:val="auto"/>
              </w:rPr>
              <w:t>$935,040</w:t>
            </w:r>
          </w:p>
        </w:tc>
        <w:tc>
          <w:tcPr>
            <w:tcW w:w="920" w:type="dxa"/>
            <w:vAlign w:val="bottom"/>
            <w:shd w:val="clear" w:color="auto" w:fill="C0C0C0"/>
          </w:tcPr>
          <w:p>
            <w:pPr>
              <w:spacing w:after="0"/>
              <w:rPr>
                <w:sz w:val="18"/>
                <w:szCs w:val="18"/>
                <w:color w:val="auto"/>
              </w:rPr>
            </w:pPr>
          </w:p>
        </w:tc>
        <w:tc>
          <w:tcPr>
            <w:tcW w:w="1740" w:type="dxa"/>
            <w:vAlign w:val="bottom"/>
            <w:tcBorders>
              <w:top w:val="single" w:sz="8" w:color="auto"/>
            </w:tcBorders>
            <w:shd w:val="clear" w:color="auto" w:fill="C0C0C0"/>
          </w:tcPr>
          <w:p>
            <w:pPr>
              <w:jc w:val="right"/>
              <w:ind w:right="619"/>
              <w:spacing w:after="0" w:line="213" w:lineRule="exact"/>
              <w:rPr>
                <w:sz w:val="20"/>
                <w:szCs w:val="20"/>
                <w:color w:val="auto"/>
              </w:rPr>
            </w:pPr>
            <w:r>
              <w:rPr>
                <w:rFonts w:ascii="Arial" w:cs="Arial" w:eastAsia="Arial" w:hAnsi="Arial"/>
                <w:sz w:val="12"/>
                <w:szCs w:val="12"/>
                <w:color w:val="auto"/>
              </w:rPr>
              <w:t>+3.9</w:t>
            </w:r>
            <w:r>
              <w:rPr>
                <w:rFonts w:ascii="Arial" w:cs="Arial" w:eastAsia="Arial" w:hAnsi="Arial"/>
                <w:sz w:val="24"/>
                <w:szCs w:val="24"/>
                <w:color w:val="auto"/>
                <w:vertAlign w:val="superscript"/>
              </w:rPr>
              <w:t>%</w:t>
            </w:r>
          </w:p>
        </w:tc>
      </w:tr>
      <w:tr>
        <w:trPr>
          <w:trHeight w:val="221"/>
        </w:trPr>
        <w:tc>
          <w:tcPr>
            <w:tcW w:w="1060" w:type="dxa"/>
            <w:vAlign w:val="bottom"/>
          </w:tcPr>
          <w:p>
            <w:pPr>
              <w:spacing w:after="0"/>
              <w:rPr>
                <w:sz w:val="20"/>
                <w:szCs w:val="20"/>
                <w:color w:val="auto"/>
              </w:rPr>
            </w:pPr>
            <w:r>
              <w:rPr>
                <w:rFonts w:ascii="Arial" w:cs="Arial" w:eastAsia="Arial" w:hAnsi="Arial"/>
                <w:sz w:val="12"/>
                <w:szCs w:val="12"/>
                <w:color w:val="auto"/>
              </w:rPr>
              <w:t>Mr. March</w:t>
            </w:r>
          </w:p>
        </w:tc>
        <w:tc>
          <w:tcPr>
            <w:tcW w:w="2000" w:type="dxa"/>
            <w:vAlign w:val="bottom"/>
            <w:gridSpan w:val="2"/>
          </w:tcPr>
          <w:p>
            <w:pPr>
              <w:jc w:val="right"/>
              <w:ind w:right="259"/>
              <w:spacing w:after="0"/>
              <w:rPr>
                <w:sz w:val="20"/>
                <w:szCs w:val="20"/>
                <w:color w:val="auto"/>
              </w:rPr>
            </w:pPr>
            <w:r>
              <w:rPr>
                <w:rFonts w:ascii="Arial" w:cs="Arial" w:eastAsia="Arial" w:hAnsi="Arial"/>
                <w:sz w:val="12"/>
                <w:szCs w:val="12"/>
                <w:color w:val="auto"/>
              </w:rPr>
              <w:t>$435,000</w:t>
            </w:r>
          </w:p>
        </w:tc>
        <w:tc>
          <w:tcPr>
            <w:tcW w:w="2660" w:type="dxa"/>
            <w:vAlign w:val="bottom"/>
            <w:gridSpan w:val="2"/>
          </w:tcPr>
          <w:p>
            <w:pPr>
              <w:jc w:val="right"/>
              <w:ind w:right="619"/>
              <w:spacing w:after="0" w:line="220" w:lineRule="exact"/>
              <w:rPr>
                <w:sz w:val="20"/>
                <w:szCs w:val="20"/>
                <w:color w:val="auto"/>
              </w:rPr>
            </w:pPr>
            <w:r>
              <w:rPr>
                <w:rFonts w:ascii="Arial" w:cs="Arial" w:eastAsia="Arial" w:hAnsi="Arial"/>
                <w:sz w:val="12"/>
                <w:szCs w:val="12"/>
                <w:color w:val="auto"/>
              </w:rPr>
              <w:t>+14.4</w:t>
            </w:r>
            <w:r>
              <w:rPr>
                <w:rFonts w:ascii="Arial" w:cs="Arial" w:eastAsia="Arial" w:hAnsi="Arial"/>
                <w:sz w:val="24"/>
                <w:szCs w:val="24"/>
                <w:color w:val="auto"/>
                <w:vertAlign w:val="superscript"/>
              </w:rPr>
              <w:t>%</w:t>
            </w:r>
          </w:p>
        </w:tc>
      </w:tr>
      <w:tr>
        <w:trPr>
          <w:trHeight w:val="221"/>
        </w:trPr>
        <w:tc>
          <w:tcPr>
            <w:tcW w:w="1060" w:type="dxa"/>
            <w:vAlign w:val="bottom"/>
            <w:shd w:val="clear" w:color="auto" w:fill="C0C0C0"/>
          </w:tcPr>
          <w:p>
            <w:pPr>
              <w:spacing w:after="0"/>
              <w:rPr>
                <w:sz w:val="20"/>
                <w:szCs w:val="20"/>
                <w:color w:val="auto"/>
              </w:rPr>
            </w:pPr>
            <w:r>
              <w:rPr>
                <w:rFonts w:ascii="Arial" w:cs="Arial" w:eastAsia="Arial" w:hAnsi="Arial"/>
                <w:sz w:val="12"/>
                <w:szCs w:val="12"/>
                <w:color w:val="auto"/>
              </w:rPr>
              <w:t>Mr. Engibous</w:t>
            </w:r>
          </w:p>
        </w:tc>
        <w:tc>
          <w:tcPr>
            <w:tcW w:w="2000" w:type="dxa"/>
            <w:vAlign w:val="bottom"/>
            <w:gridSpan w:val="2"/>
            <w:shd w:val="clear" w:color="auto" w:fill="C0C0C0"/>
          </w:tcPr>
          <w:p>
            <w:pPr>
              <w:jc w:val="right"/>
              <w:ind w:right="259"/>
              <w:spacing w:after="0"/>
              <w:rPr>
                <w:sz w:val="20"/>
                <w:szCs w:val="20"/>
                <w:color w:val="auto"/>
              </w:rPr>
            </w:pPr>
            <w:r>
              <w:rPr>
                <w:rFonts w:ascii="Arial" w:cs="Arial" w:eastAsia="Arial" w:hAnsi="Arial"/>
                <w:sz w:val="12"/>
                <w:szCs w:val="12"/>
                <w:color w:val="auto"/>
              </w:rPr>
              <w:t>$300,000</w:t>
            </w:r>
          </w:p>
        </w:tc>
        <w:tc>
          <w:tcPr>
            <w:tcW w:w="2660" w:type="dxa"/>
            <w:vAlign w:val="bottom"/>
            <w:gridSpan w:val="2"/>
            <w:shd w:val="clear" w:color="auto" w:fill="C0C0C0"/>
          </w:tcPr>
          <w:p>
            <w:pPr>
              <w:jc w:val="right"/>
              <w:ind w:right="619"/>
              <w:spacing w:after="0" w:line="220" w:lineRule="exact"/>
              <w:rPr>
                <w:sz w:val="20"/>
                <w:szCs w:val="20"/>
                <w:color w:val="auto"/>
              </w:rPr>
            </w:pPr>
            <w:r>
              <w:rPr>
                <w:rFonts w:ascii="Arial" w:cs="Arial" w:eastAsia="Arial" w:hAnsi="Arial"/>
                <w:sz w:val="12"/>
                <w:szCs w:val="12"/>
                <w:color w:val="auto"/>
              </w:rPr>
              <w:t>-16.7</w:t>
            </w:r>
            <w:r>
              <w:rPr>
                <w:rFonts w:ascii="Arial" w:cs="Arial" w:eastAsia="Arial" w:hAnsi="Arial"/>
                <w:sz w:val="24"/>
                <w:szCs w:val="24"/>
                <w:color w:val="auto"/>
                <w:vertAlign w:val="superscript"/>
              </w:rPr>
              <w:t>%</w:t>
            </w:r>
          </w:p>
        </w:tc>
      </w:tr>
      <w:tr>
        <w:trPr>
          <w:trHeight w:val="281"/>
        </w:trPr>
        <w:tc>
          <w:tcPr>
            <w:tcW w:w="1060" w:type="dxa"/>
            <w:vAlign w:val="bottom"/>
          </w:tcPr>
          <w:p>
            <w:pPr>
              <w:spacing w:after="0"/>
              <w:rPr>
                <w:sz w:val="20"/>
                <w:szCs w:val="20"/>
                <w:color w:val="auto"/>
              </w:rPr>
            </w:pPr>
            <w:r>
              <w:rPr>
                <w:rFonts w:ascii="Arial" w:cs="Arial" w:eastAsia="Arial" w:hAnsi="Arial"/>
                <w:sz w:val="12"/>
                <w:szCs w:val="12"/>
                <w:color w:val="auto"/>
              </w:rPr>
              <w:t>Mr. Lowe</w:t>
            </w:r>
          </w:p>
        </w:tc>
        <w:tc>
          <w:tcPr>
            <w:tcW w:w="2000" w:type="dxa"/>
            <w:vAlign w:val="bottom"/>
            <w:gridSpan w:val="2"/>
          </w:tcPr>
          <w:p>
            <w:pPr>
              <w:jc w:val="right"/>
              <w:ind w:right="259"/>
              <w:spacing w:after="0"/>
              <w:rPr>
                <w:sz w:val="20"/>
                <w:szCs w:val="20"/>
                <w:color w:val="auto"/>
              </w:rPr>
            </w:pPr>
            <w:r>
              <w:rPr>
                <w:rFonts w:ascii="Arial" w:cs="Arial" w:eastAsia="Arial" w:hAnsi="Arial"/>
                <w:sz w:val="12"/>
                <w:szCs w:val="12"/>
                <w:color w:val="auto"/>
              </w:rPr>
              <w:t>$505,020</w:t>
            </w:r>
          </w:p>
        </w:tc>
        <w:tc>
          <w:tcPr>
            <w:tcW w:w="2660" w:type="dxa"/>
            <w:vAlign w:val="bottom"/>
            <w:gridSpan w:val="2"/>
          </w:tcPr>
          <w:p>
            <w:pPr>
              <w:jc w:val="right"/>
              <w:ind w:right="539"/>
              <w:spacing w:after="0"/>
              <w:rPr>
                <w:sz w:val="20"/>
                <w:szCs w:val="20"/>
                <w:color w:val="auto"/>
              </w:rPr>
            </w:pPr>
            <w:r>
              <w:rPr>
                <w:rFonts w:ascii="Arial" w:cs="Arial" w:eastAsia="Arial" w:hAnsi="Arial"/>
                <w:sz w:val="12"/>
                <w:szCs w:val="12"/>
                <w:color w:val="auto"/>
              </w:rPr>
              <w:t>+6.3</w:t>
            </w:r>
            <w:r>
              <w:rPr>
                <w:rFonts w:ascii="Arial" w:cs="Arial" w:eastAsia="Arial" w:hAnsi="Arial"/>
                <w:sz w:val="24"/>
                <w:szCs w:val="24"/>
                <w:color w:val="auto"/>
                <w:vertAlign w:val="superscript"/>
              </w:rPr>
              <w:t>%**</w:t>
            </w:r>
          </w:p>
        </w:tc>
      </w:tr>
      <w:tr>
        <w:trPr>
          <w:trHeight w:val="157"/>
        </w:trPr>
        <w:tc>
          <w:tcPr>
            <w:tcW w:w="1060" w:type="dxa"/>
            <w:vAlign w:val="bottom"/>
          </w:tcPr>
          <w:p>
            <w:pPr>
              <w:spacing w:after="0"/>
              <w:rPr>
                <w:sz w:val="20"/>
                <w:szCs w:val="20"/>
                <w:color w:val="auto"/>
              </w:rPr>
            </w:pPr>
            <w:r>
              <w:rPr>
                <w:rFonts w:ascii="Arial" w:cs="Arial" w:eastAsia="Arial" w:hAnsi="Arial"/>
                <w:sz w:val="12"/>
                <w:szCs w:val="12"/>
                <w:color w:val="auto"/>
              </w:rPr>
              <w:t>Mr. Hames</w:t>
            </w:r>
          </w:p>
        </w:tc>
        <w:tc>
          <w:tcPr>
            <w:tcW w:w="2000" w:type="dxa"/>
            <w:vAlign w:val="bottom"/>
            <w:gridSpan w:val="2"/>
          </w:tcPr>
          <w:p>
            <w:pPr>
              <w:jc w:val="right"/>
              <w:ind w:right="259"/>
              <w:spacing w:after="0"/>
              <w:rPr>
                <w:sz w:val="20"/>
                <w:szCs w:val="20"/>
                <w:color w:val="auto"/>
              </w:rPr>
            </w:pPr>
            <w:r>
              <w:rPr>
                <w:rFonts w:ascii="Arial" w:cs="Arial" w:eastAsia="Arial" w:hAnsi="Arial"/>
                <w:sz w:val="12"/>
                <w:szCs w:val="12"/>
                <w:color w:val="auto"/>
              </w:rPr>
              <w:t>$450,000</w:t>
            </w:r>
          </w:p>
        </w:tc>
        <w:tc>
          <w:tcPr>
            <w:tcW w:w="2660" w:type="dxa"/>
            <w:vAlign w:val="bottom"/>
            <w:gridSpan w:val="2"/>
          </w:tcPr>
          <w:p>
            <w:pPr>
              <w:jc w:val="right"/>
              <w:ind w:right="619"/>
              <w:spacing w:after="0" w:line="157" w:lineRule="exact"/>
              <w:rPr>
                <w:sz w:val="20"/>
                <w:szCs w:val="20"/>
                <w:color w:val="auto"/>
              </w:rPr>
            </w:pPr>
            <w:r>
              <w:rPr>
                <w:rFonts w:ascii="Arial" w:cs="Arial" w:eastAsia="Arial" w:hAnsi="Arial"/>
                <w:sz w:val="10"/>
                <w:szCs w:val="10"/>
                <w:color w:val="auto"/>
              </w:rPr>
              <w:t>+3.4</w:t>
            </w:r>
            <w:r>
              <w:rPr>
                <w:rFonts w:ascii="Arial" w:cs="Arial" w:eastAsia="Arial" w:hAnsi="Arial"/>
                <w:sz w:val="18"/>
                <w:szCs w:val="18"/>
                <w:color w:val="auto"/>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-137160</wp:posOffset>
            </wp:positionV>
            <wp:extent cx="3625850" cy="140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625850" cy="140335"/>
                    </a:xfrm>
                    <a:prstGeom prst="rect">
                      <a:avLst/>
                    </a:prstGeom>
                    <a:noFill/>
                  </pic:spPr>
                </pic:pic>
              </a:graphicData>
            </a:graphic>
          </wp:anchor>
        </w:drawing>
      </w:r>
    </w:p>
    <w:p>
      <w:pPr>
        <w:ind w:left="2"/>
        <w:spacing w:after="0"/>
        <w:rPr>
          <w:sz w:val="20"/>
          <w:szCs w:val="20"/>
          <w:color w:val="auto"/>
        </w:rPr>
      </w:pPr>
      <w:r>
        <w:rPr>
          <w:rFonts w:ascii="Arial" w:cs="Arial" w:eastAsia="Arial" w:hAnsi="Arial"/>
          <w:sz w:val="20"/>
          <w:szCs w:val="20"/>
          <w:color w:val="auto"/>
        </w:rPr>
        <w:t>____________________</w:t>
      </w:r>
    </w:p>
    <w:p>
      <w:pPr>
        <w:spacing w:after="0" w:line="217" w:lineRule="exact"/>
        <w:rPr>
          <w:sz w:val="20"/>
          <w:szCs w:val="20"/>
          <w:color w:val="auto"/>
        </w:rPr>
      </w:pPr>
    </w:p>
    <w:p>
      <w:pPr>
        <w:ind w:left="382" w:hanging="382"/>
        <w:spacing w:after="0"/>
        <w:tabs>
          <w:tab w:leader="none" w:pos="382" w:val="left"/>
        </w:tabs>
        <w:numPr>
          <w:ilvl w:val="0"/>
          <w:numId w:val="15"/>
        </w:numPr>
        <w:rPr>
          <w:rFonts w:ascii="Arial" w:cs="Arial" w:eastAsia="Arial" w:hAnsi="Arial"/>
          <w:sz w:val="16"/>
          <w:szCs w:val="16"/>
          <w:color w:val="auto"/>
        </w:rPr>
      </w:pPr>
      <w:r>
        <w:rPr>
          <w:rFonts w:ascii="Arial" w:cs="Arial" w:eastAsia="Arial" w:hAnsi="Arial"/>
          <w:sz w:val="16"/>
          <w:szCs w:val="16"/>
          <w:color w:val="auto"/>
        </w:rPr>
        <w:t>Effective February 1, 2007. The numbers in this column differ from the “Salary” column of the Summary Compensation Table on page 30 because (as</w:t>
      </w:r>
    </w:p>
    <w:p>
      <w:pPr>
        <w:sectPr>
          <w:pgSz w:w="11900" w:h="16838" w:orient="portrait"/>
          <w:cols w:equalWidth="0" w:num="1">
            <w:col w:w="11422"/>
          </w:cols>
          <w:pgMar w:left="238" w:top="122" w:right="239" w:bottom="0" w:gutter="0" w:footer="0" w:header="0"/>
        </w:sectPr>
      </w:pPr>
    </w:p>
    <w:bookmarkStart w:id="14" w:name="page15"/>
    <w:bookmarkEnd w:id="14"/>
    <w:p>
      <w:pPr>
        <w:ind w:left="382"/>
        <w:spacing w:after="0"/>
        <w:rPr>
          <w:sz w:val="20"/>
          <w:szCs w:val="20"/>
          <w:color w:val="auto"/>
        </w:rPr>
      </w:pPr>
      <w:r>
        <w:rPr>
          <w:rFonts w:ascii="Arial" w:cs="Arial" w:eastAsia="Arial" w:hAnsi="Arial"/>
          <w:sz w:val="16"/>
          <w:szCs w:val="16"/>
          <w:color w:val="auto"/>
        </w:rPr>
        <w:t>required by SEC rules) the latter shows salary received in the year 2007, including amounts paid in January 2007 at the prior year’s annual rate.</w:t>
      </w:r>
    </w:p>
    <w:p>
      <w:pPr>
        <w:spacing w:after="0" w:line="220" w:lineRule="exact"/>
        <w:rPr>
          <w:sz w:val="20"/>
          <w:szCs w:val="20"/>
          <w:color w:val="auto"/>
        </w:rPr>
      </w:pPr>
    </w:p>
    <w:p>
      <w:pPr>
        <w:ind w:left="382" w:hanging="382"/>
        <w:spacing w:after="0"/>
        <w:tabs>
          <w:tab w:leader="none" w:pos="382"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Compared with annual rate as adjusted in June 2006.</w:t>
      </w:r>
    </w:p>
    <w:p>
      <w:pPr>
        <w:spacing w:after="0" w:line="196"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salary differences among the named executive officers (except the chairman) were driven primarily by differences in the market rate of pay for each officer.</w:t>
      </w:r>
    </w:p>
    <w:p>
      <w:pPr>
        <w:ind w:left="2"/>
        <w:spacing w:after="0"/>
        <w:rPr>
          <w:sz w:val="20"/>
          <w:szCs w:val="20"/>
          <w:color w:val="auto"/>
        </w:rPr>
      </w:pPr>
      <w:r>
        <w:rPr>
          <w:rFonts w:ascii="Arial" w:cs="Arial" w:eastAsia="Arial" w:hAnsi="Arial"/>
          <w:sz w:val="16"/>
          <w:szCs w:val="16"/>
          <w:color w:val="auto"/>
        </w:rPr>
        <w:t>The increase for Mr. Templeton reflected the expected increase in the market rate of base salary for CEOs.</w:t>
      </w:r>
    </w:p>
    <w:p>
      <w:pPr>
        <w:spacing w:after="0" w:line="196" w:lineRule="exact"/>
        <w:rPr>
          <w:sz w:val="20"/>
          <w:szCs w:val="20"/>
          <w:color w:val="auto"/>
        </w:rPr>
      </w:pPr>
    </w:p>
    <w:p>
      <w:pPr>
        <w:ind w:left="2" w:right="740"/>
        <w:spacing w:after="0" w:line="250" w:lineRule="auto"/>
        <w:rPr>
          <w:sz w:val="20"/>
          <w:szCs w:val="20"/>
          <w:color w:val="auto"/>
        </w:rPr>
      </w:pPr>
      <w:r>
        <w:rPr>
          <w:rFonts w:ascii="Arial" w:cs="Arial" w:eastAsia="Arial" w:hAnsi="Arial"/>
          <w:sz w:val="16"/>
          <w:szCs w:val="16"/>
          <w:color w:val="auto"/>
        </w:rPr>
        <w:t>The market level of CFO compensation has risen significantly in recent years. In increasing Mr. March’s base salary by 14.4 percent, the committee was responding to that market movement.</w:t>
      </w:r>
    </w:p>
    <w:p>
      <w:pPr>
        <w:spacing w:after="0" w:line="180" w:lineRule="exact"/>
        <w:rPr>
          <w:sz w:val="20"/>
          <w:szCs w:val="20"/>
          <w:color w:val="auto"/>
        </w:rPr>
      </w:pPr>
    </w:p>
    <w:p>
      <w:pPr>
        <w:jc w:val="both"/>
        <w:ind w:left="2" w:right="160"/>
        <w:spacing w:after="0" w:line="283" w:lineRule="auto"/>
        <w:rPr>
          <w:sz w:val="20"/>
          <w:szCs w:val="20"/>
          <w:color w:val="auto"/>
        </w:rPr>
      </w:pPr>
      <w:r>
        <w:rPr>
          <w:rFonts w:ascii="Arial" w:cs="Arial" w:eastAsia="Arial" w:hAnsi="Arial"/>
          <w:sz w:val="15"/>
          <w:szCs w:val="15"/>
          <w:color w:val="auto"/>
        </w:rPr>
        <w:t>There was limited market information about executive chairmen in the Comparator Group companies. The committee determined that it would be appropriate to set Mr. Engibous’s base salary at an annual rate of $300,000, or a reduction of $60,000 from the rate for 2006, in recognition of the planned transition in his role.</w:t>
      </w:r>
    </w:p>
    <w:p>
      <w:pPr>
        <w:spacing w:after="0" w:line="157" w:lineRule="exact"/>
        <w:rPr>
          <w:sz w:val="20"/>
          <w:szCs w:val="20"/>
          <w:color w:val="auto"/>
        </w:rPr>
      </w:pPr>
    </w:p>
    <w:p>
      <w:pPr>
        <w:ind w:left="2" w:right="60"/>
        <w:spacing w:after="0" w:line="250" w:lineRule="auto"/>
        <w:rPr>
          <w:sz w:val="20"/>
          <w:szCs w:val="20"/>
          <w:color w:val="auto"/>
        </w:rPr>
      </w:pPr>
      <w:r>
        <w:rPr>
          <w:rFonts w:ascii="Arial" w:cs="Arial" w:eastAsia="Arial" w:hAnsi="Arial"/>
          <w:sz w:val="16"/>
          <w:szCs w:val="16"/>
          <w:color w:val="auto"/>
        </w:rPr>
        <w:t>In 2006, Mr. Lowe assumed additional job responsibilities. The increase in his base salary for 2007 was in recognition of his greater level of experience in his new role as well as the expected increase in the applicable market level of base salary.</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increase for Mr. Hames reflected the expected increase in the market rate of base salary for executive officers generally.</w:t>
      </w:r>
    </w:p>
    <w:p>
      <w:pPr>
        <w:spacing w:after="0" w:line="196" w:lineRule="exact"/>
        <w:rPr>
          <w:sz w:val="20"/>
          <w:szCs w:val="20"/>
          <w:color w:val="auto"/>
        </w:rPr>
      </w:pPr>
    </w:p>
    <w:p>
      <w:pPr>
        <w:ind w:left="2" w:right="260"/>
        <w:spacing w:after="0" w:line="255" w:lineRule="auto"/>
        <w:rPr>
          <w:sz w:val="20"/>
          <w:szCs w:val="20"/>
          <w:color w:val="auto"/>
        </w:rPr>
      </w:pPr>
      <w:r>
        <w:rPr>
          <w:rFonts w:ascii="Arial" w:cs="Arial" w:eastAsia="Arial" w:hAnsi="Arial"/>
          <w:sz w:val="15"/>
          <w:szCs w:val="15"/>
          <w:u w:val="single" w:color="auto"/>
          <w:color w:val="auto"/>
        </w:rPr>
        <w:t>Equity Compensation</w:t>
      </w:r>
      <w:r>
        <w:rPr>
          <w:rFonts w:ascii="Arial" w:cs="Arial" w:eastAsia="Arial" w:hAnsi="Arial"/>
          <w:sz w:val="15"/>
          <w:szCs w:val="15"/>
          <w:color w:val="auto"/>
        </w:rPr>
        <w:t xml:space="preserve"> – In January 2007, the committee granted long-term equity compensation to the named executive officers generally using a mix of stock options and restricted stock units. Except in the case of Mr. Delfassy, the amount of equity compensation was based primarily on the median number of shares</w:t>
      </w:r>
    </w:p>
    <w:p>
      <w:pPr>
        <w:spacing w:after="0" w:line="1" w:lineRule="exact"/>
        <w:rPr>
          <w:sz w:val="20"/>
          <w:szCs w:val="20"/>
          <w:color w:val="auto"/>
        </w:rPr>
      </w:pPr>
    </w:p>
    <w:p>
      <w:pPr>
        <w:ind w:left="2" w:right="40"/>
        <w:spacing w:after="0" w:line="205" w:lineRule="auto"/>
        <w:rPr>
          <w:sz w:val="20"/>
          <w:szCs w:val="20"/>
          <w:color w:val="auto"/>
        </w:rPr>
      </w:pPr>
      <w:r>
        <w:rPr>
          <w:rFonts w:ascii="Arial" w:cs="Arial" w:eastAsia="Arial" w:hAnsi="Arial"/>
          <w:sz w:val="16"/>
          <w:szCs w:val="16"/>
          <w:color w:val="auto"/>
        </w:rPr>
        <w:t>that the Comparator Group was expected to grant to similarly situated executives in 2007.</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In addition, the committee considered the intrinsic value of outstanding equity compensation held by the executive officer, noting both the unvested retention value and the vested amount.</w:t>
      </w:r>
    </w:p>
    <w:p>
      <w:pPr>
        <w:spacing w:after="0" w:line="188" w:lineRule="exact"/>
        <w:rPr>
          <w:sz w:val="20"/>
          <w:szCs w:val="20"/>
          <w:color w:val="auto"/>
        </w:rPr>
      </w:pPr>
    </w:p>
    <w:p>
      <w:pPr>
        <w:ind w:left="2"/>
        <w:spacing w:after="0" w:line="255" w:lineRule="auto"/>
        <w:rPr>
          <w:sz w:val="20"/>
          <w:szCs w:val="20"/>
          <w:color w:val="auto"/>
        </w:rPr>
      </w:pPr>
      <w:r>
        <w:rPr>
          <w:rFonts w:ascii="Arial" w:cs="Arial" w:eastAsia="Arial" w:hAnsi="Arial"/>
          <w:sz w:val="15"/>
          <w:szCs w:val="15"/>
          <w:color w:val="auto"/>
        </w:rPr>
        <w:t>In the market assessment, the committee compared “NQ Equivalent” grant levels of the Comparator Group with those of TI. The “NQ Equivalents” were calculated by treating each option share as 1 NQ Equivalent, and each restricted stock unit as 3 NQ Equivalents. This 3:1 ratio approximates the relative accounting expense</w:t>
      </w:r>
    </w:p>
    <w:p>
      <w:pPr>
        <w:spacing w:after="0" w:line="1" w:lineRule="exact"/>
        <w:rPr>
          <w:sz w:val="20"/>
          <w:szCs w:val="20"/>
          <w:color w:val="auto"/>
        </w:rPr>
      </w:pPr>
    </w:p>
    <w:p>
      <w:pPr>
        <w:ind w:left="2" w:right="260"/>
        <w:spacing w:after="0" w:line="215" w:lineRule="auto"/>
        <w:rPr>
          <w:sz w:val="20"/>
          <w:szCs w:val="20"/>
          <w:color w:val="auto"/>
        </w:rPr>
      </w:pPr>
      <w:r>
        <w:rPr>
          <w:rFonts w:ascii="Arial" w:cs="Arial" w:eastAsia="Arial" w:hAnsi="Arial"/>
          <w:sz w:val="15"/>
          <w:szCs w:val="15"/>
          <w:color w:val="auto"/>
        </w:rPr>
        <w:t>of granting one restricted stock unit as compared to an option for one share. In its grant decisions, the committee targeted the range between the 40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and 60</w:t>
      </w:r>
      <w:r>
        <w:rPr>
          <w:rFonts w:ascii="Arial" w:cs="Arial" w:eastAsia="Arial" w:hAnsi="Arial"/>
          <w:sz w:val="25"/>
          <w:szCs w:val="25"/>
          <w:color w:val="auto"/>
          <w:vertAlign w:val="superscript"/>
        </w:rPr>
        <w:t>th</w:t>
      </w:r>
      <w:r>
        <w:rPr>
          <w:rFonts w:ascii="Arial" w:cs="Arial" w:eastAsia="Arial" w:hAnsi="Arial"/>
          <w:sz w:val="15"/>
          <w:szCs w:val="15"/>
          <w:color w:val="auto"/>
        </w:rPr>
        <w:t xml:space="preserve"> percentile of NQ Equivalents expected to be granted by the Comparator Group.</w:t>
      </w:r>
    </w:p>
    <w:p>
      <w:pPr>
        <w:spacing w:after="0" w:line="189" w:lineRule="exact"/>
        <w:rPr>
          <w:sz w:val="20"/>
          <w:szCs w:val="20"/>
          <w:color w:val="auto"/>
        </w:rPr>
      </w:pPr>
    </w:p>
    <w:p>
      <w:pPr>
        <w:ind w:left="2"/>
        <w:spacing w:after="0"/>
        <w:rPr>
          <w:sz w:val="20"/>
          <w:szCs w:val="20"/>
          <w:color w:val="auto"/>
        </w:rPr>
      </w:pPr>
      <w:r>
        <w:rPr>
          <w:rFonts w:ascii="Arial" w:cs="Arial" w:eastAsia="Arial" w:hAnsi="Arial"/>
          <w:sz w:val="16"/>
          <w:szCs w:val="16"/>
          <w:color w:val="auto"/>
        </w:rPr>
        <w:t>____________________</w:t>
      </w:r>
    </w:p>
    <w:p>
      <w:pPr>
        <w:spacing w:after="0" w:line="113" w:lineRule="exact"/>
        <w:rPr>
          <w:sz w:val="20"/>
          <w:szCs w:val="20"/>
          <w:color w:val="auto"/>
        </w:rPr>
      </w:pPr>
    </w:p>
    <w:p>
      <w:pPr>
        <w:ind w:left="322" w:hanging="322"/>
        <w:spacing w:after="0"/>
        <w:tabs>
          <w:tab w:leader="none" w:pos="322" w:val="left"/>
        </w:tabs>
        <w:numPr>
          <w:ilvl w:val="0"/>
          <w:numId w:val="17"/>
        </w:numPr>
        <w:rPr>
          <w:rFonts w:ascii="Arial" w:cs="Arial" w:eastAsia="Arial" w:hAnsi="Arial"/>
          <w:sz w:val="25"/>
          <w:szCs w:val="25"/>
          <w:color w:val="auto"/>
          <w:vertAlign w:val="superscript"/>
        </w:rPr>
      </w:pPr>
      <w:r>
        <w:rPr>
          <w:rFonts w:ascii="Arial" w:cs="Arial" w:eastAsia="Arial" w:hAnsi="Arial"/>
          <w:sz w:val="16"/>
          <w:szCs w:val="16"/>
          <w:color w:val="auto"/>
        </w:rPr>
        <w:t>Mr. Delfassy’s base salary for 2007 is discussed on page 29.</w:t>
      </w:r>
    </w:p>
    <w:p>
      <w:pPr>
        <w:spacing w:after="0" w:line="237" w:lineRule="exact"/>
        <w:rPr>
          <w:sz w:val="20"/>
          <w:szCs w:val="20"/>
          <w:color w:val="auto"/>
        </w:rPr>
      </w:pPr>
    </w:p>
    <w:p>
      <w:pPr>
        <w:ind w:left="5622" w:right="2340" w:hanging="5622"/>
        <w:spacing w:after="0" w:line="371" w:lineRule="auto"/>
        <w:tabs>
          <w:tab w:leader="none" w:pos="313" w:val="left"/>
        </w:tabs>
        <w:numPr>
          <w:ilvl w:val="0"/>
          <w:numId w:val="18"/>
        </w:numPr>
        <w:rPr>
          <w:rFonts w:ascii="Arial" w:cs="Arial" w:eastAsia="Arial" w:hAnsi="Arial"/>
          <w:sz w:val="25"/>
          <w:szCs w:val="25"/>
          <w:color w:val="auto"/>
          <w:vertAlign w:val="superscript"/>
        </w:rPr>
      </w:pPr>
      <w:r>
        <w:rPr>
          <w:rFonts w:ascii="Arial" w:cs="Arial" w:eastAsia="Arial" w:hAnsi="Arial"/>
          <w:sz w:val="16"/>
          <w:szCs w:val="16"/>
          <w:color w:val="auto"/>
        </w:rPr>
        <w:t>For a discussion of the committee’s decision with respect to 2007 equity compensation for Mr. Delfassy, please see page 29.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279640" cy="203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31" w:lineRule="exact"/>
        <w:rPr>
          <w:sz w:val="20"/>
          <w:szCs w:val="20"/>
          <w:color w:val="auto"/>
        </w:rPr>
      </w:pPr>
    </w:p>
    <w:p>
      <w:pPr>
        <w:ind w:left="2" w:right="340"/>
        <w:spacing w:after="0" w:line="250" w:lineRule="auto"/>
        <w:rPr>
          <w:sz w:val="20"/>
          <w:szCs w:val="20"/>
          <w:color w:val="auto"/>
        </w:rPr>
      </w:pPr>
      <w:r>
        <w:rPr>
          <w:rFonts w:ascii="Arial" w:cs="Arial" w:eastAsia="Arial" w:hAnsi="Arial"/>
          <w:sz w:val="16"/>
          <w:szCs w:val="16"/>
          <w:color w:val="auto"/>
        </w:rPr>
        <w:t>Please see the Grants of Plan-Based Awards in 2007 table on page 33 for details concerning the grants, including the exercise price of the stock options. The table below presents additional information, specifically, the changes in the NQ Equivalent levels as compared to 2006.</w:t>
      </w:r>
    </w:p>
    <w:p>
      <w:pPr>
        <w:spacing w:after="0" w:line="249" w:lineRule="exact"/>
        <w:rPr>
          <w:sz w:val="20"/>
          <w:szCs w:val="20"/>
          <w:color w:val="auto"/>
        </w:rPr>
      </w:pPr>
    </w:p>
    <w:tbl>
      <w:tblPr>
        <w:tblLayout w:type="fixed"/>
        <w:tblInd w:w="1722"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rPr>
              <w:t>Restricted</w:t>
            </w: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left="19"/>
              <w:spacing w:after="0"/>
              <w:rPr>
                <w:sz w:val="20"/>
                <w:szCs w:val="20"/>
                <w:color w:val="auto"/>
              </w:rPr>
            </w:pPr>
            <w:r>
              <w:rPr>
                <w:rFonts w:ascii="Arial" w:cs="Arial" w:eastAsia="Arial" w:hAnsi="Arial"/>
                <w:sz w:val="12"/>
                <w:szCs w:val="12"/>
                <w:b w:val="1"/>
                <w:bCs w:val="1"/>
                <w:color w:val="auto"/>
              </w:rPr>
              <w:t>Change in NQ</w:t>
            </w:r>
          </w:p>
        </w:tc>
      </w:tr>
      <w:tr>
        <w:trPr>
          <w:trHeight w:val="221"/>
        </w:trPr>
        <w:tc>
          <w:tcPr>
            <w:tcW w:w="2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20" w:type="dxa"/>
            <w:vAlign w:val="bottom"/>
            <w:gridSpan w:val="3"/>
          </w:tcPr>
          <w:p>
            <w:pPr>
              <w:ind w:left="200"/>
              <w:spacing w:after="0"/>
              <w:rPr>
                <w:sz w:val="20"/>
                <w:szCs w:val="20"/>
                <w:color w:val="auto"/>
              </w:rPr>
            </w:pPr>
            <w:r>
              <w:rPr>
                <w:rFonts w:ascii="Arial" w:cs="Arial" w:eastAsia="Arial" w:hAnsi="Arial"/>
                <w:sz w:val="12"/>
                <w:szCs w:val="12"/>
                <w:b w:val="1"/>
                <w:bCs w:val="1"/>
                <w:color w:val="auto"/>
              </w:rPr>
              <w:t>Stock Options</w:t>
            </w: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rPr>
              <w:t>Stock Units</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Equivalents</w:t>
            </w:r>
          </w:p>
        </w:tc>
      </w:tr>
      <w:tr>
        <w:trPr>
          <w:trHeight w:val="197"/>
        </w:trPr>
        <w:tc>
          <w:tcPr>
            <w:tcW w:w="2940" w:type="dxa"/>
            <w:vAlign w:val="bottom"/>
          </w:tcPr>
          <w:p>
            <w:pPr>
              <w:ind w:left="1260"/>
              <w:spacing w:after="0"/>
              <w:rPr>
                <w:sz w:val="20"/>
                <w:szCs w:val="20"/>
                <w:color w:val="auto"/>
              </w:rPr>
            </w:pPr>
            <w:r>
              <w:rPr>
                <w:rFonts w:ascii="Arial" w:cs="Arial" w:eastAsia="Arial" w:hAnsi="Arial"/>
                <w:sz w:val="12"/>
                <w:szCs w:val="12"/>
                <w:b w:val="1"/>
                <w:bCs w:val="1"/>
                <w:color w:val="auto"/>
              </w:rPr>
              <w:t>Officer</w:t>
            </w:r>
          </w:p>
        </w:tc>
        <w:tc>
          <w:tcPr>
            <w:tcW w:w="200" w:type="dxa"/>
            <w:vAlign w:val="bottom"/>
          </w:tcPr>
          <w:p>
            <w:pPr>
              <w:spacing w:after="0"/>
              <w:rPr>
                <w:sz w:val="17"/>
                <w:szCs w:val="17"/>
                <w:color w:val="auto"/>
              </w:rPr>
            </w:pPr>
          </w:p>
        </w:tc>
        <w:tc>
          <w:tcPr>
            <w:tcW w:w="740" w:type="dxa"/>
            <w:vAlign w:val="bottom"/>
          </w:tcPr>
          <w:p>
            <w:pPr>
              <w:jc w:val="right"/>
              <w:ind w:right="179"/>
              <w:spacing w:after="0"/>
              <w:rPr>
                <w:sz w:val="20"/>
                <w:szCs w:val="20"/>
                <w:color w:val="auto"/>
              </w:rPr>
            </w:pPr>
            <w:r>
              <w:rPr>
                <w:rFonts w:ascii="Arial" w:cs="Arial" w:eastAsia="Arial" w:hAnsi="Arial"/>
                <w:sz w:val="12"/>
                <w:szCs w:val="12"/>
                <w:b w:val="1"/>
                <w:bCs w:val="1"/>
                <w:color w:val="auto"/>
              </w:rPr>
              <w:t>Year</w:t>
            </w:r>
          </w:p>
        </w:tc>
        <w:tc>
          <w:tcPr>
            <w:tcW w:w="200" w:type="dxa"/>
            <w:vAlign w:val="bottom"/>
          </w:tcPr>
          <w:p>
            <w:pPr>
              <w:spacing w:after="0"/>
              <w:rPr>
                <w:sz w:val="17"/>
                <w:szCs w:val="17"/>
                <w:color w:val="auto"/>
              </w:rPr>
            </w:pPr>
          </w:p>
        </w:tc>
        <w:tc>
          <w:tcPr>
            <w:tcW w:w="820" w:type="dxa"/>
            <w:vAlign w:val="bottom"/>
          </w:tcPr>
          <w:p>
            <w:pPr>
              <w:jc w:val="right"/>
              <w:ind w:right="39"/>
              <w:spacing w:after="0"/>
              <w:rPr>
                <w:sz w:val="20"/>
                <w:szCs w:val="20"/>
                <w:color w:val="auto"/>
              </w:rPr>
            </w:pPr>
            <w:r>
              <w:rPr>
                <w:rFonts w:ascii="Arial" w:cs="Arial" w:eastAsia="Arial" w:hAnsi="Arial"/>
                <w:sz w:val="12"/>
                <w:szCs w:val="12"/>
                <w:b w:val="1"/>
                <w:bCs w:val="1"/>
                <w:color w:val="auto"/>
              </w:rPr>
              <w:t>(in shares)</w:t>
            </w:r>
          </w:p>
        </w:tc>
        <w:tc>
          <w:tcPr>
            <w:tcW w:w="200" w:type="dxa"/>
            <w:vAlign w:val="bottom"/>
          </w:tcPr>
          <w:p>
            <w:pPr>
              <w:spacing w:after="0"/>
              <w:rPr>
                <w:sz w:val="17"/>
                <w:szCs w:val="17"/>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rPr>
              <w:t>(in shares)</w:t>
            </w:r>
          </w:p>
        </w:tc>
        <w:tc>
          <w:tcPr>
            <w:tcW w:w="20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NQ Equivalents</w:t>
            </w:r>
          </w:p>
        </w:tc>
        <w:tc>
          <w:tcPr>
            <w:tcW w:w="900" w:type="dxa"/>
            <w:vAlign w:val="bottom"/>
            <w:gridSpan w:val="2"/>
          </w:tcPr>
          <w:p>
            <w:pPr>
              <w:jc w:val="center"/>
              <w:ind w:left="19"/>
              <w:spacing w:after="0"/>
              <w:rPr>
                <w:sz w:val="20"/>
                <w:szCs w:val="20"/>
                <w:color w:val="auto"/>
              </w:rPr>
            </w:pPr>
            <w:r>
              <w:rPr>
                <w:rFonts w:ascii="Arial" w:cs="Arial" w:eastAsia="Arial" w:hAnsi="Arial"/>
                <w:sz w:val="12"/>
                <w:szCs w:val="12"/>
                <w:b w:val="1"/>
                <w:bCs w:val="1"/>
                <w:color w:val="auto"/>
              </w:rPr>
              <w:t>(2006 to 2007)</w:t>
            </w:r>
          </w:p>
        </w:tc>
      </w:tr>
      <w:tr>
        <w:trPr>
          <w:trHeight w:val="213"/>
        </w:trPr>
        <w:tc>
          <w:tcPr>
            <w:tcW w:w="294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2"/>
                <w:szCs w:val="12"/>
                <w:color w:val="auto"/>
              </w:rPr>
              <w:t>Mr. Templeton</w:t>
            </w:r>
          </w:p>
        </w:tc>
        <w:tc>
          <w:tcPr>
            <w:tcW w:w="200" w:type="dxa"/>
            <w:vAlign w:val="bottom"/>
            <w:shd w:val="clear" w:color="auto" w:fill="C0C0C0"/>
          </w:tcPr>
          <w:p>
            <w:pPr>
              <w:spacing w:after="0"/>
              <w:rPr>
                <w:sz w:val="18"/>
                <w:szCs w:val="18"/>
                <w:color w:val="auto"/>
              </w:rPr>
            </w:pPr>
          </w:p>
        </w:tc>
        <w:tc>
          <w:tcPr>
            <w:tcW w:w="740" w:type="dxa"/>
            <w:vAlign w:val="bottom"/>
            <w:tcBorders>
              <w:top w:val="single" w:sz="8" w:color="auto"/>
            </w:tcBorders>
            <w:shd w:val="clear" w:color="auto" w:fill="C0C0C0"/>
          </w:tcPr>
          <w:p>
            <w:pPr>
              <w:jc w:val="right"/>
              <w:ind w:right="199"/>
              <w:spacing w:after="0"/>
              <w:rPr>
                <w:sz w:val="20"/>
                <w:szCs w:val="20"/>
                <w:color w:val="auto"/>
              </w:rPr>
            </w:pPr>
            <w:r>
              <w:rPr>
                <w:rFonts w:ascii="Arial" w:cs="Arial" w:eastAsia="Arial" w:hAnsi="Arial"/>
                <w:sz w:val="12"/>
                <w:szCs w:val="12"/>
                <w:color w:val="auto"/>
              </w:rPr>
              <w:t>2007</w:t>
            </w:r>
          </w:p>
        </w:tc>
        <w:tc>
          <w:tcPr>
            <w:tcW w:w="200" w:type="dxa"/>
            <w:vAlign w:val="bottom"/>
            <w:shd w:val="clear" w:color="auto" w:fill="C0C0C0"/>
          </w:tcPr>
          <w:p>
            <w:pPr>
              <w:spacing w:after="0"/>
              <w:rPr>
                <w:sz w:val="18"/>
                <w:szCs w:val="18"/>
                <w:color w:val="auto"/>
              </w:rPr>
            </w:pPr>
          </w:p>
        </w:tc>
        <w:tc>
          <w:tcPr>
            <w:tcW w:w="820" w:type="dxa"/>
            <w:vAlign w:val="bottom"/>
            <w:tcBorders>
              <w:top w:val="single" w:sz="8" w:color="auto"/>
            </w:tcBorders>
            <w:shd w:val="clear" w:color="auto" w:fill="C0C0C0"/>
          </w:tcPr>
          <w:p>
            <w:pPr>
              <w:jc w:val="right"/>
              <w:ind w:right="99"/>
              <w:spacing w:after="0"/>
              <w:rPr>
                <w:sz w:val="20"/>
                <w:szCs w:val="20"/>
                <w:color w:val="auto"/>
              </w:rPr>
            </w:pPr>
            <w:r>
              <w:rPr>
                <w:rFonts w:ascii="Arial" w:cs="Arial" w:eastAsia="Arial" w:hAnsi="Arial"/>
                <w:sz w:val="12"/>
                <w:szCs w:val="12"/>
                <w:color w:val="auto"/>
              </w:rPr>
              <w:t>270,000</w:t>
            </w:r>
          </w:p>
        </w:tc>
        <w:tc>
          <w:tcPr>
            <w:tcW w:w="200" w:type="dxa"/>
            <w:vAlign w:val="bottom"/>
            <w:shd w:val="clear" w:color="auto" w:fill="C0C0C0"/>
          </w:tcPr>
          <w:p>
            <w:pPr>
              <w:spacing w:after="0"/>
              <w:rPr>
                <w:sz w:val="18"/>
                <w:szCs w:val="18"/>
                <w:color w:val="auto"/>
              </w:rPr>
            </w:pPr>
          </w:p>
        </w:tc>
        <w:tc>
          <w:tcPr>
            <w:tcW w:w="70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2"/>
                <w:szCs w:val="12"/>
                <w:color w:val="auto"/>
              </w:rPr>
              <w:t>150,000</w:t>
            </w:r>
          </w:p>
        </w:tc>
        <w:tc>
          <w:tcPr>
            <w:tcW w:w="100" w:type="dxa"/>
            <w:vAlign w:val="bottom"/>
            <w:tcBorders>
              <w:top w:val="single" w:sz="8" w:color="auto"/>
            </w:tcBorders>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880" w:type="dxa"/>
            <w:vAlign w:val="bottom"/>
            <w:tcBorders>
              <w:top w:val="single" w:sz="8" w:color="auto"/>
            </w:tcBorders>
            <w:shd w:val="clear" w:color="auto" w:fill="C0C0C0"/>
          </w:tcPr>
          <w:p>
            <w:pPr>
              <w:ind w:left="280"/>
              <w:spacing w:after="0"/>
              <w:rPr>
                <w:sz w:val="20"/>
                <w:szCs w:val="20"/>
                <w:color w:val="auto"/>
              </w:rPr>
            </w:pPr>
            <w:r>
              <w:rPr>
                <w:rFonts w:ascii="Arial" w:cs="Arial" w:eastAsia="Arial" w:hAnsi="Arial"/>
                <w:sz w:val="12"/>
                <w:szCs w:val="12"/>
                <w:color w:val="auto"/>
              </w:rPr>
              <w:t>720,000</w:t>
            </w:r>
          </w:p>
        </w:tc>
        <w:tc>
          <w:tcPr>
            <w:tcW w:w="1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820" w:type="dxa"/>
            <w:vAlign w:val="bottom"/>
            <w:tcBorders>
              <w:top w:val="single" w:sz="8" w:color="auto"/>
            </w:tcBorders>
            <w:shd w:val="clear" w:color="auto" w:fill="C0C0C0"/>
          </w:tcPr>
          <w:p>
            <w:pPr>
              <w:jc w:val="right"/>
              <w:ind w:right="159"/>
              <w:spacing w:after="0" w:line="213" w:lineRule="exact"/>
              <w:rPr>
                <w:sz w:val="20"/>
                <w:szCs w:val="20"/>
                <w:color w:val="auto"/>
              </w:rPr>
            </w:pPr>
            <w:r>
              <w:rPr>
                <w:rFonts w:ascii="Arial" w:cs="Arial" w:eastAsia="Arial" w:hAnsi="Arial"/>
                <w:sz w:val="12"/>
                <w:szCs w:val="12"/>
                <w:color w:val="auto"/>
              </w:rPr>
              <w:t>-10</w:t>
            </w:r>
            <w:r>
              <w:rPr>
                <w:rFonts w:ascii="Arial" w:cs="Arial" w:eastAsia="Arial" w:hAnsi="Arial"/>
                <w:sz w:val="24"/>
                <w:szCs w:val="24"/>
                <w:color w:val="auto"/>
                <w:vertAlign w:val="superscript"/>
              </w:rPr>
              <w:t>%</w:t>
            </w:r>
          </w:p>
        </w:tc>
      </w:tr>
      <w:tr>
        <w:trPr>
          <w:trHeight w:val="221"/>
        </w:trPr>
        <w:tc>
          <w:tcPr>
            <w:tcW w:w="2940" w:type="dxa"/>
            <w:vAlign w:val="bottom"/>
            <w:shd w:val="clear" w:color="auto" w:fill="C0C0C0"/>
          </w:tcPr>
          <w:p>
            <w:pPr>
              <w:spacing w:after="0"/>
              <w:rPr>
                <w:sz w:val="19"/>
                <w:szCs w:val="19"/>
                <w:color w:val="auto"/>
              </w:rPr>
            </w:pPr>
          </w:p>
        </w:tc>
        <w:tc>
          <w:tcPr>
            <w:tcW w:w="940" w:type="dxa"/>
            <w:vAlign w:val="bottom"/>
            <w:gridSpan w:val="2"/>
            <w:shd w:val="clear" w:color="auto" w:fill="C0C0C0"/>
          </w:tcPr>
          <w:p>
            <w:pPr>
              <w:jc w:val="right"/>
              <w:ind w:right="199"/>
              <w:spacing w:after="0"/>
              <w:rPr>
                <w:sz w:val="20"/>
                <w:szCs w:val="20"/>
                <w:color w:val="auto"/>
              </w:rPr>
            </w:pPr>
            <w:r>
              <w:rPr>
                <w:rFonts w:ascii="Arial" w:cs="Arial" w:eastAsia="Arial" w:hAnsi="Arial"/>
                <w:sz w:val="12"/>
                <w:szCs w:val="12"/>
                <w:color w:val="auto"/>
              </w:rPr>
              <w:t>2006</w:t>
            </w:r>
          </w:p>
        </w:tc>
        <w:tc>
          <w:tcPr>
            <w:tcW w:w="1020" w:type="dxa"/>
            <w:vAlign w:val="bottom"/>
            <w:gridSpan w:val="2"/>
            <w:shd w:val="clear" w:color="auto" w:fill="C0C0C0"/>
          </w:tcPr>
          <w:p>
            <w:pPr>
              <w:jc w:val="right"/>
              <w:ind w:right="99"/>
              <w:spacing w:after="0"/>
              <w:rPr>
                <w:sz w:val="20"/>
                <w:szCs w:val="20"/>
                <w:color w:val="auto"/>
              </w:rPr>
            </w:pPr>
            <w:r>
              <w:rPr>
                <w:rFonts w:ascii="Arial" w:cs="Arial" w:eastAsia="Arial" w:hAnsi="Arial"/>
                <w:sz w:val="12"/>
                <w:szCs w:val="12"/>
                <w:color w:val="auto"/>
              </w:rPr>
              <w:t>350,000</w:t>
            </w:r>
          </w:p>
        </w:tc>
        <w:tc>
          <w:tcPr>
            <w:tcW w:w="200" w:type="dxa"/>
            <w:vAlign w:val="bottom"/>
            <w:shd w:val="clear" w:color="auto" w:fill="C0C0C0"/>
          </w:tcPr>
          <w:p>
            <w:pPr>
              <w:spacing w:after="0"/>
              <w:rPr>
                <w:sz w:val="19"/>
                <w:szCs w:val="19"/>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150,000</w:t>
            </w:r>
          </w:p>
        </w:tc>
        <w:tc>
          <w:tcPr>
            <w:tcW w:w="100" w:type="dxa"/>
            <w:vAlign w:val="bottom"/>
            <w:shd w:val="clear" w:color="auto" w:fill="C0C0C0"/>
          </w:tcPr>
          <w:p>
            <w:pPr>
              <w:spacing w:after="0"/>
              <w:rPr>
                <w:sz w:val="19"/>
                <w:szCs w:val="19"/>
                <w:color w:val="auto"/>
              </w:rPr>
            </w:pPr>
          </w:p>
        </w:tc>
        <w:tc>
          <w:tcPr>
            <w:tcW w:w="1080" w:type="dxa"/>
            <w:vAlign w:val="bottom"/>
            <w:gridSpan w:val="2"/>
            <w:shd w:val="clear" w:color="auto" w:fill="C0C0C0"/>
          </w:tcPr>
          <w:p>
            <w:pPr>
              <w:ind w:left="480"/>
              <w:spacing w:after="0"/>
              <w:rPr>
                <w:sz w:val="20"/>
                <w:szCs w:val="20"/>
                <w:color w:val="auto"/>
              </w:rPr>
            </w:pPr>
            <w:r>
              <w:rPr>
                <w:rFonts w:ascii="Arial" w:cs="Arial" w:eastAsia="Arial" w:hAnsi="Arial"/>
                <w:sz w:val="12"/>
                <w:szCs w:val="12"/>
                <w:color w:val="auto"/>
              </w:rPr>
              <w:t>800,000</w:t>
            </w:r>
          </w:p>
        </w:tc>
        <w:tc>
          <w:tcPr>
            <w:tcW w:w="1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820" w:type="dxa"/>
            <w:vAlign w:val="bottom"/>
            <w:shd w:val="clear" w:color="auto" w:fill="C0C0C0"/>
          </w:tcPr>
          <w:p>
            <w:pPr>
              <w:spacing w:after="0"/>
              <w:rPr>
                <w:sz w:val="19"/>
                <w:szCs w:val="19"/>
                <w:color w:val="auto"/>
              </w:rPr>
            </w:pPr>
          </w:p>
        </w:tc>
      </w:tr>
      <w:tr>
        <w:trPr>
          <w:trHeight w:val="221"/>
        </w:trPr>
        <w:tc>
          <w:tcPr>
            <w:tcW w:w="294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10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r>
      <w:tr>
        <w:trPr>
          <w:trHeight w:val="208"/>
        </w:trPr>
        <w:tc>
          <w:tcPr>
            <w:tcW w:w="2940" w:type="dxa"/>
            <w:vAlign w:val="bottom"/>
            <w:shd w:val="clear" w:color="auto" w:fill="C0C0C0"/>
          </w:tcPr>
          <w:p>
            <w:pPr>
              <w:spacing w:after="0"/>
              <w:rPr>
                <w:sz w:val="20"/>
                <w:szCs w:val="20"/>
                <w:color w:val="auto"/>
              </w:rPr>
            </w:pPr>
            <w:r>
              <w:rPr>
                <w:rFonts w:ascii="Arial" w:cs="Arial" w:eastAsia="Arial" w:hAnsi="Arial"/>
                <w:sz w:val="12"/>
                <w:szCs w:val="12"/>
                <w:color w:val="auto"/>
              </w:rPr>
              <w:t>Mr. March</w:t>
            </w:r>
          </w:p>
        </w:tc>
        <w:tc>
          <w:tcPr>
            <w:tcW w:w="940" w:type="dxa"/>
            <w:vAlign w:val="bottom"/>
            <w:gridSpan w:val="2"/>
            <w:shd w:val="clear" w:color="auto" w:fill="C0C0C0"/>
          </w:tcPr>
          <w:p>
            <w:pPr>
              <w:jc w:val="right"/>
              <w:ind w:right="199"/>
              <w:spacing w:after="0"/>
              <w:rPr>
                <w:sz w:val="20"/>
                <w:szCs w:val="20"/>
                <w:color w:val="auto"/>
              </w:rPr>
            </w:pPr>
            <w:r>
              <w:rPr>
                <w:rFonts w:ascii="Arial" w:cs="Arial" w:eastAsia="Arial" w:hAnsi="Arial"/>
                <w:sz w:val="12"/>
                <w:szCs w:val="12"/>
                <w:color w:val="auto"/>
              </w:rPr>
              <w:t>2007</w:t>
            </w:r>
          </w:p>
        </w:tc>
        <w:tc>
          <w:tcPr>
            <w:tcW w:w="1020" w:type="dxa"/>
            <w:vAlign w:val="bottom"/>
            <w:gridSpan w:val="2"/>
            <w:shd w:val="clear" w:color="auto" w:fill="C0C0C0"/>
          </w:tcPr>
          <w:p>
            <w:pPr>
              <w:jc w:val="right"/>
              <w:ind w:right="99"/>
              <w:spacing w:after="0"/>
              <w:rPr>
                <w:sz w:val="20"/>
                <w:szCs w:val="20"/>
                <w:color w:val="auto"/>
              </w:rPr>
            </w:pPr>
            <w:r>
              <w:rPr>
                <w:rFonts w:ascii="Arial" w:cs="Arial" w:eastAsia="Arial" w:hAnsi="Arial"/>
                <w:sz w:val="12"/>
                <w:szCs w:val="12"/>
                <w:color w:val="auto"/>
              </w:rPr>
              <w:t>85,000</w:t>
            </w:r>
          </w:p>
        </w:tc>
        <w:tc>
          <w:tcPr>
            <w:tcW w:w="200" w:type="dxa"/>
            <w:vAlign w:val="bottom"/>
            <w:shd w:val="clear" w:color="auto" w:fill="C0C0C0"/>
          </w:tcPr>
          <w:p>
            <w:pPr>
              <w:spacing w:after="0"/>
              <w:rPr>
                <w:sz w:val="18"/>
                <w:szCs w:val="18"/>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35,000</w:t>
            </w:r>
          </w:p>
        </w:tc>
        <w:tc>
          <w:tcPr>
            <w:tcW w:w="100" w:type="dxa"/>
            <w:vAlign w:val="bottom"/>
            <w:shd w:val="clear" w:color="auto" w:fill="C0C0C0"/>
          </w:tcPr>
          <w:p>
            <w:pPr>
              <w:spacing w:after="0"/>
              <w:rPr>
                <w:sz w:val="18"/>
                <w:szCs w:val="18"/>
                <w:color w:val="auto"/>
              </w:rPr>
            </w:pPr>
          </w:p>
        </w:tc>
        <w:tc>
          <w:tcPr>
            <w:tcW w:w="1080" w:type="dxa"/>
            <w:vAlign w:val="bottom"/>
            <w:gridSpan w:val="2"/>
            <w:shd w:val="clear" w:color="auto" w:fill="C0C0C0"/>
          </w:tcPr>
          <w:p>
            <w:pPr>
              <w:ind w:left="480"/>
              <w:spacing w:after="0"/>
              <w:rPr>
                <w:sz w:val="20"/>
                <w:szCs w:val="20"/>
                <w:color w:val="auto"/>
              </w:rPr>
            </w:pPr>
            <w:r>
              <w:rPr>
                <w:rFonts w:ascii="Arial" w:cs="Arial" w:eastAsia="Arial" w:hAnsi="Arial"/>
                <w:sz w:val="12"/>
                <w:szCs w:val="12"/>
                <w:color w:val="auto"/>
              </w:rPr>
              <w:t>190,000</w:t>
            </w:r>
          </w:p>
        </w:tc>
        <w:tc>
          <w:tcPr>
            <w:tcW w:w="120" w:type="dxa"/>
            <w:vAlign w:val="bottom"/>
            <w:shd w:val="clear" w:color="auto" w:fill="C0C0C0"/>
          </w:tcPr>
          <w:p>
            <w:pPr>
              <w:spacing w:after="0"/>
              <w:rPr>
                <w:sz w:val="18"/>
                <w:szCs w:val="18"/>
                <w:color w:val="auto"/>
              </w:rPr>
            </w:pPr>
          </w:p>
        </w:tc>
        <w:tc>
          <w:tcPr>
            <w:tcW w:w="900" w:type="dxa"/>
            <w:vAlign w:val="bottom"/>
            <w:gridSpan w:val="2"/>
            <w:shd w:val="clear" w:color="auto" w:fill="C0C0C0"/>
          </w:tcPr>
          <w:p>
            <w:pPr>
              <w:jc w:val="right"/>
              <w:ind w:right="159"/>
              <w:spacing w:after="0" w:line="209" w:lineRule="exact"/>
              <w:rPr>
                <w:sz w:val="20"/>
                <w:szCs w:val="20"/>
                <w:color w:val="auto"/>
              </w:rPr>
            </w:pPr>
            <w:r>
              <w:rPr>
                <w:rFonts w:ascii="Arial" w:cs="Arial" w:eastAsia="Arial" w:hAnsi="Arial"/>
                <w:sz w:val="12"/>
                <w:szCs w:val="12"/>
                <w:color w:val="auto"/>
              </w:rPr>
              <w:t>+8.6</w:t>
            </w:r>
            <w:r>
              <w:rPr>
                <w:rFonts w:ascii="Arial" w:cs="Arial" w:eastAsia="Arial" w:hAnsi="Arial"/>
                <w:sz w:val="24"/>
                <w:szCs w:val="24"/>
                <w:color w:val="auto"/>
                <w:vertAlign w:val="superscript"/>
              </w:rPr>
              <w:t>%</w:t>
            </w:r>
          </w:p>
        </w:tc>
      </w:tr>
      <w:tr>
        <w:trPr>
          <w:trHeight w:val="233"/>
        </w:trPr>
        <w:tc>
          <w:tcPr>
            <w:tcW w:w="2940" w:type="dxa"/>
            <w:vAlign w:val="bottom"/>
            <w:shd w:val="clear" w:color="auto" w:fill="C0C0C0"/>
          </w:tcPr>
          <w:p>
            <w:pPr>
              <w:spacing w:after="0"/>
              <w:rPr>
                <w:sz w:val="20"/>
                <w:szCs w:val="20"/>
                <w:color w:val="auto"/>
              </w:rPr>
            </w:pPr>
          </w:p>
        </w:tc>
        <w:tc>
          <w:tcPr>
            <w:tcW w:w="940" w:type="dxa"/>
            <w:vAlign w:val="bottom"/>
            <w:gridSpan w:val="2"/>
            <w:shd w:val="clear" w:color="auto" w:fill="C0C0C0"/>
          </w:tcPr>
          <w:p>
            <w:pPr>
              <w:jc w:val="right"/>
              <w:ind w:right="199"/>
              <w:spacing w:after="0"/>
              <w:rPr>
                <w:sz w:val="20"/>
                <w:szCs w:val="20"/>
                <w:color w:val="auto"/>
              </w:rPr>
            </w:pPr>
            <w:r>
              <w:rPr>
                <w:rFonts w:ascii="Arial" w:cs="Arial" w:eastAsia="Arial" w:hAnsi="Arial"/>
                <w:sz w:val="12"/>
                <w:szCs w:val="12"/>
                <w:color w:val="auto"/>
              </w:rPr>
              <w:t>2006</w:t>
            </w:r>
          </w:p>
        </w:tc>
        <w:tc>
          <w:tcPr>
            <w:tcW w:w="1020" w:type="dxa"/>
            <w:vAlign w:val="bottom"/>
            <w:gridSpan w:val="2"/>
            <w:shd w:val="clear" w:color="auto" w:fill="C0C0C0"/>
          </w:tcPr>
          <w:p>
            <w:pPr>
              <w:jc w:val="right"/>
              <w:ind w:right="99"/>
              <w:spacing w:after="0"/>
              <w:rPr>
                <w:sz w:val="20"/>
                <w:szCs w:val="20"/>
                <w:color w:val="auto"/>
              </w:rPr>
            </w:pPr>
            <w:r>
              <w:rPr>
                <w:rFonts w:ascii="Arial" w:cs="Arial" w:eastAsia="Arial" w:hAnsi="Arial"/>
                <w:sz w:val="12"/>
                <w:szCs w:val="12"/>
                <w:color w:val="auto"/>
              </w:rPr>
              <w:t>85,000</w:t>
            </w:r>
          </w:p>
        </w:tc>
        <w:tc>
          <w:tcPr>
            <w:tcW w:w="200" w:type="dxa"/>
            <w:vAlign w:val="bottom"/>
            <w:shd w:val="clear" w:color="auto" w:fill="C0C0C0"/>
          </w:tcPr>
          <w:p>
            <w:pPr>
              <w:spacing w:after="0"/>
              <w:rPr>
                <w:sz w:val="20"/>
                <w:szCs w:val="20"/>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30,000</w:t>
            </w:r>
          </w:p>
        </w:tc>
        <w:tc>
          <w:tcPr>
            <w:tcW w:w="100" w:type="dxa"/>
            <w:vAlign w:val="bottom"/>
            <w:shd w:val="clear" w:color="auto" w:fill="C0C0C0"/>
          </w:tcPr>
          <w:p>
            <w:pPr>
              <w:spacing w:after="0"/>
              <w:rPr>
                <w:sz w:val="20"/>
                <w:szCs w:val="20"/>
                <w:color w:val="auto"/>
              </w:rPr>
            </w:pPr>
          </w:p>
        </w:tc>
        <w:tc>
          <w:tcPr>
            <w:tcW w:w="1080" w:type="dxa"/>
            <w:vAlign w:val="bottom"/>
            <w:gridSpan w:val="2"/>
            <w:shd w:val="clear" w:color="auto" w:fill="C0C0C0"/>
          </w:tcPr>
          <w:p>
            <w:pPr>
              <w:ind w:left="480"/>
              <w:spacing w:after="0"/>
              <w:rPr>
                <w:sz w:val="20"/>
                <w:szCs w:val="20"/>
                <w:color w:val="auto"/>
              </w:rPr>
            </w:pPr>
            <w:r>
              <w:rPr>
                <w:rFonts w:ascii="Arial" w:cs="Arial" w:eastAsia="Arial" w:hAnsi="Arial"/>
                <w:sz w:val="12"/>
                <w:szCs w:val="12"/>
                <w:color w:val="auto"/>
              </w:rPr>
              <w:t>175,000</w:t>
            </w:r>
          </w:p>
        </w:tc>
        <w:tc>
          <w:tcPr>
            <w:tcW w:w="1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r>
      <w:tr>
        <w:trPr>
          <w:trHeight w:val="221"/>
        </w:trPr>
        <w:tc>
          <w:tcPr>
            <w:tcW w:w="294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10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r>
      <w:tr>
        <w:trPr>
          <w:trHeight w:val="208"/>
        </w:trPr>
        <w:tc>
          <w:tcPr>
            <w:tcW w:w="2940" w:type="dxa"/>
            <w:vAlign w:val="bottom"/>
            <w:shd w:val="clear" w:color="auto" w:fill="C0C0C0"/>
          </w:tcPr>
          <w:p>
            <w:pPr>
              <w:spacing w:after="0"/>
              <w:rPr>
                <w:sz w:val="20"/>
                <w:szCs w:val="20"/>
                <w:color w:val="auto"/>
              </w:rPr>
            </w:pPr>
            <w:r>
              <w:rPr>
                <w:rFonts w:ascii="Arial" w:cs="Arial" w:eastAsia="Arial" w:hAnsi="Arial"/>
                <w:sz w:val="12"/>
                <w:szCs w:val="12"/>
                <w:color w:val="auto"/>
              </w:rPr>
              <w:t>Mr. Engibous</w:t>
            </w:r>
          </w:p>
        </w:tc>
        <w:tc>
          <w:tcPr>
            <w:tcW w:w="940" w:type="dxa"/>
            <w:vAlign w:val="bottom"/>
            <w:gridSpan w:val="2"/>
            <w:shd w:val="clear" w:color="auto" w:fill="C0C0C0"/>
          </w:tcPr>
          <w:p>
            <w:pPr>
              <w:jc w:val="right"/>
              <w:ind w:right="199"/>
              <w:spacing w:after="0"/>
              <w:rPr>
                <w:sz w:val="20"/>
                <w:szCs w:val="20"/>
                <w:color w:val="auto"/>
              </w:rPr>
            </w:pPr>
            <w:r>
              <w:rPr>
                <w:rFonts w:ascii="Arial" w:cs="Arial" w:eastAsia="Arial" w:hAnsi="Arial"/>
                <w:sz w:val="12"/>
                <w:szCs w:val="12"/>
                <w:color w:val="auto"/>
              </w:rPr>
              <w:t>2007</w:t>
            </w:r>
          </w:p>
        </w:tc>
        <w:tc>
          <w:tcPr>
            <w:tcW w:w="1020" w:type="dxa"/>
            <w:vAlign w:val="bottom"/>
            <w:gridSpan w:val="2"/>
            <w:shd w:val="clear" w:color="auto" w:fill="C0C0C0"/>
          </w:tcPr>
          <w:p>
            <w:pPr>
              <w:jc w:val="right"/>
              <w:ind w:right="99"/>
              <w:spacing w:after="0"/>
              <w:rPr>
                <w:sz w:val="20"/>
                <w:szCs w:val="20"/>
                <w:color w:val="auto"/>
              </w:rPr>
            </w:pPr>
            <w:r>
              <w:rPr>
                <w:rFonts w:ascii="Arial" w:cs="Arial" w:eastAsia="Arial" w:hAnsi="Arial"/>
                <w:sz w:val="12"/>
                <w:szCs w:val="12"/>
                <w:color w:val="auto"/>
              </w:rPr>
              <w:t>120,000</w:t>
            </w:r>
          </w:p>
        </w:tc>
        <w:tc>
          <w:tcPr>
            <w:tcW w:w="200" w:type="dxa"/>
            <w:vAlign w:val="bottom"/>
            <w:shd w:val="clear" w:color="auto" w:fill="C0C0C0"/>
          </w:tcPr>
          <w:p>
            <w:pPr>
              <w:spacing w:after="0"/>
              <w:rPr>
                <w:sz w:val="18"/>
                <w:szCs w:val="18"/>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00" w:type="dxa"/>
            <w:vAlign w:val="bottom"/>
            <w:shd w:val="clear" w:color="auto" w:fill="C0C0C0"/>
          </w:tcPr>
          <w:p>
            <w:pPr>
              <w:spacing w:after="0"/>
              <w:rPr>
                <w:sz w:val="18"/>
                <w:szCs w:val="18"/>
                <w:color w:val="auto"/>
              </w:rPr>
            </w:pPr>
          </w:p>
        </w:tc>
        <w:tc>
          <w:tcPr>
            <w:tcW w:w="1080" w:type="dxa"/>
            <w:vAlign w:val="bottom"/>
            <w:gridSpan w:val="2"/>
            <w:shd w:val="clear" w:color="auto" w:fill="C0C0C0"/>
          </w:tcPr>
          <w:p>
            <w:pPr>
              <w:ind w:left="480"/>
              <w:spacing w:after="0"/>
              <w:rPr>
                <w:sz w:val="20"/>
                <w:szCs w:val="20"/>
                <w:color w:val="auto"/>
              </w:rPr>
            </w:pPr>
            <w:r>
              <w:rPr>
                <w:rFonts w:ascii="Arial" w:cs="Arial" w:eastAsia="Arial" w:hAnsi="Arial"/>
                <w:sz w:val="12"/>
                <w:szCs w:val="12"/>
                <w:color w:val="auto"/>
              </w:rPr>
              <w:t>120,000</w:t>
            </w:r>
          </w:p>
        </w:tc>
        <w:tc>
          <w:tcPr>
            <w:tcW w:w="120" w:type="dxa"/>
            <w:vAlign w:val="bottom"/>
            <w:shd w:val="clear" w:color="auto" w:fill="C0C0C0"/>
          </w:tcPr>
          <w:p>
            <w:pPr>
              <w:spacing w:after="0"/>
              <w:rPr>
                <w:sz w:val="18"/>
                <w:szCs w:val="18"/>
                <w:color w:val="auto"/>
              </w:rPr>
            </w:pPr>
          </w:p>
        </w:tc>
        <w:tc>
          <w:tcPr>
            <w:tcW w:w="900" w:type="dxa"/>
            <w:vAlign w:val="bottom"/>
            <w:gridSpan w:val="2"/>
            <w:shd w:val="clear" w:color="auto" w:fill="C0C0C0"/>
          </w:tcPr>
          <w:p>
            <w:pPr>
              <w:jc w:val="right"/>
              <w:ind w:right="159"/>
              <w:spacing w:after="0" w:line="209" w:lineRule="exact"/>
              <w:rPr>
                <w:sz w:val="20"/>
                <w:szCs w:val="20"/>
                <w:color w:val="auto"/>
              </w:rPr>
            </w:pPr>
            <w:r>
              <w:rPr>
                <w:rFonts w:ascii="Arial" w:cs="Arial" w:eastAsia="Arial" w:hAnsi="Arial"/>
                <w:sz w:val="12"/>
                <w:szCs w:val="12"/>
                <w:color w:val="auto"/>
              </w:rPr>
              <w:t>-55.6</w:t>
            </w:r>
            <w:r>
              <w:rPr>
                <w:rFonts w:ascii="Arial" w:cs="Arial" w:eastAsia="Arial" w:hAnsi="Arial"/>
                <w:sz w:val="24"/>
                <w:szCs w:val="24"/>
                <w:color w:val="auto"/>
                <w:vertAlign w:val="superscript"/>
              </w:rPr>
              <w:t>%</w:t>
            </w:r>
          </w:p>
        </w:tc>
      </w:tr>
      <w:tr>
        <w:trPr>
          <w:trHeight w:val="233"/>
        </w:trPr>
        <w:tc>
          <w:tcPr>
            <w:tcW w:w="2940" w:type="dxa"/>
            <w:vAlign w:val="bottom"/>
            <w:shd w:val="clear" w:color="auto" w:fill="C0C0C0"/>
          </w:tcPr>
          <w:p>
            <w:pPr>
              <w:spacing w:after="0"/>
              <w:rPr>
                <w:sz w:val="20"/>
                <w:szCs w:val="20"/>
                <w:color w:val="auto"/>
              </w:rPr>
            </w:pPr>
          </w:p>
        </w:tc>
        <w:tc>
          <w:tcPr>
            <w:tcW w:w="940" w:type="dxa"/>
            <w:vAlign w:val="bottom"/>
            <w:gridSpan w:val="2"/>
            <w:shd w:val="clear" w:color="auto" w:fill="C0C0C0"/>
          </w:tcPr>
          <w:p>
            <w:pPr>
              <w:jc w:val="right"/>
              <w:ind w:right="199"/>
              <w:spacing w:after="0"/>
              <w:rPr>
                <w:sz w:val="20"/>
                <w:szCs w:val="20"/>
                <w:color w:val="auto"/>
              </w:rPr>
            </w:pPr>
            <w:r>
              <w:rPr>
                <w:rFonts w:ascii="Arial" w:cs="Arial" w:eastAsia="Arial" w:hAnsi="Arial"/>
                <w:sz w:val="12"/>
                <w:szCs w:val="12"/>
                <w:color w:val="auto"/>
              </w:rPr>
              <w:t>2006</w:t>
            </w:r>
          </w:p>
        </w:tc>
        <w:tc>
          <w:tcPr>
            <w:tcW w:w="1020" w:type="dxa"/>
            <w:vAlign w:val="bottom"/>
            <w:gridSpan w:val="2"/>
            <w:shd w:val="clear" w:color="auto" w:fill="C0C0C0"/>
          </w:tcPr>
          <w:p>
            <w:pPr>
              <w:jc w:val="right"/>
              <w:ind w:right="99"/>
              <w:spacing w:after="0"/>
              <w:rPr>
                <w:sz w:val="20"/>
                <w:szCs w:val="20"/>
                <w:color w:val="auto"/>
              </w:rPr>
            </w:pPr>
            <w:r>
              <w:rPr>
                <w:rFonts w:ascii="Arial" w:cs="Arial" w:eastAsia="Arial" w:hAnsi="Arial"/>
                <w:sz w:val="12"/>
                <w:szCs w:val="12"/>
                <w:color w:val="auto"/>
              </w:rPr>
              <w:t>270,000</w:t>
            </w:r>
          </w:p>
        </w:tc>
        <w:tc>
          <w:tcPr>
            <w:tcW w:w="200" w:type="dxa"/>
            <w:vAlign w:val="bottom"/>
            <w:shd w:val="clear" w:color="auto" w:fill="C0C0C0"/>
          </w:tcPr>
          <w:p>
            <w:pPr>
              <w:spacing w:after="0"/>
              <w:rPr>
                <w:sz w:val="20"/>
                <w:szCs w:val="20"/>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00" w:type="dxa"/>
            <w:vAlign w:val="bottom"/>
            <w:shd w:val="clear" w:color="auto" w:fill="C0C0C0"/>
          </w:tcPr>
          <w:p>
            <w:pPr>
              <w:spacing w:after="0"/>
              <w:rPr>
                <w:sz w:val="20"/>
                <w:szCs w:val="20"/>
                <w:color w:val="auto"/>
              </w:rPr>
            </w:pPr>
          </w:p>
        </w:tc>
        <w:tc>
          <w:tcPr>
            <w:tcW w:w="1080" w:type="dxa"/>
            <w:vAlign w:val="bottom"/>
            <w:gridSpan w:val="2"/>
            <w:shd w:val="clear" w:color="auto" w:fill="C0C0C0"/>
          </w:tcPr>
          <w:p>
            <w:pPr>
              <w:ind w:left="480"/>
              <w:spacing w:after="0"/>
              <w:rPr>
                <w:sz w:val="20"/>
                <w:szCs w:val="20"/>
                <w:color w:val="auto"/>
              </w:rPr>
            </w:pPr>
            <w:r>
              <w:rPr>
                <w:rFonts w:ascii="Arial" w:cs="Arial" w:eastAsia="Arial" w:hAnsi="Arial"/>
                <w:sz w:val="12"/>
                <w:szCs w:val="12"/>
                <w:color w:val="auto"/>
              </w:rPr>
              <w:t>270,000</w:t>
            </w:r>
          </w:p>
        </w:tc>
        <w:tc>
          <w:tcPr>
            <w:tcW w:w="1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r>
      <w:tr>
        <w:trPr>
          <w:trHeight w:val="221"/>
        </w:trPr>
        <w:tc>
          <w:tcPr>
            <w:tcW w:w="294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10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r>
      <w:tr>
        <w:trPr>
          <w:trHeight w:val="208"/>
        </w:trPr>
        <w:tc>
          <w:tcPr>
            <w:tcW w:w="2940" w:type="dxa"/>
            <w:vAlign w:val="bottom"/>
            <w:shd w:val="clear" w:color="auto" w:fill="C0C0C0"/>
          </w:tcPr>
          <w:p>
            <w:pPr>
              <w:spacing w:after="0"/>
              <w:rPr>
                <w:sz w:val="20"/>
                <w:szCs w:val="20"/>
                <w:color w:val="auto"/>
              </w:rPr>
            </w:pPr>
            <w:r>
              <w:rPr>
                <w:rFonts w:ascii="Arial" w:cs="Arial" w:eastAsia="Arial" w:hAnsi="Arial"/>
                <w:sz w:val="12"/>
                <w:szCs w:val="12"/>
                <w:color w:val="auto"/>
              </w:rPr>
              <w:t>Mr. Lowe</w:t>
            </w:r>
          </w:p>
        </w:tc>
        <w:tc>
          <w:tcPr>
            <w:tcW w:w="940" w:type="dxa"/>
            <w:vAlign w:val="bottom"/>
            <w:gridSpan w:val="2"/>
            <w:shd w:val="clear" w:color="auto" w:fill="C0C0C0"/>
          </w:tcPr>
          <w:p>
            <w:pPr>
              <w:jc w:val="right"/>
              <w:ind w:right="199"/>
              <w:spacing w:after="0"/>
              <w:rPr>
                <w:sz w:val="20"/>
                <w:szCs w:val="20"/>
                <w:color w:val="auto"/>
              </w:rPr>
            </w:pPr>
            <w:r>
              <w:rPr>
                <w:rFonts w:ascii="Arial" w:cs="Arial" w:eastAsia="Arial" w:hAnsi="Arial"/>
                <w:sz w:val="12"/>
                <w:szCs w:val="12"/>
                <w:color w:val="auto"/>
              </w:rPr>
              <w:t>2007</w:t>
            </w:r>
          </w:p>
        </w:tc>
        <w:tc>
          <w:tcPr>
            <w:tcW w:w="1020" w:type="dxa"/>
            <w:vAlign w:val="bottom"/>
            <w:gridSpan w:val="2"/>
            <w:shd w:val="clear" w:color="auto" w:fill="C0C0C0"/>
          </w:tcPr>
          <w:p>
            <w:pPr>
              <w:jc w:val="right"/>
              <w:ind w:right="99"/>
              <w:spacing w:after="0"/>
              <w:rPr>
                <w:sz w:val="20"/>
                <w:szCs w:val="20"/>
                <w:color w:val="auto"/>
              </w:rPr>
            </w:pPr>
            <w:r>
              <w:rPr>
                <w:rFonts w:ascii="Arial" w:cs="Arial" w:eastAsia="Arial" w:hAnsi="Arial"/>
                <w:sz w:val="12"/>
                <w:szCs w:val="12"/>
                <w:color w:val="auto"/>
              </w:rPr>
              <w:t>100,000</w:t>
            </w:r>
          </w:p>
        </w:tc>
        <w:tc>
          <w:tcPr>
            <w:tcW w:w="200" w:type="dxa"/>
            <w:vAlign w:val="bottom"/>
            <w:shd w:val="clear" w:color="auto" w:fill="C0C0C0"/>
          </w:tcPr>
          <w:p>
            <w:pPr>
              <w:spacing w:after="0"/>
              <w:rPr>
                <w:sz w:val="18"/>
                <w:szCs w:val="18"/>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60,000</w:t>
            </w:r>
          </w:p>
        </w:tc>
        <w:tc>
          <w:tcPr>
            <w:tcW w:w="100" w:type="dxa"/>
            <w:vAlign w:val="bottom"/>
            <w:shd w:val="clear" w:color="auto" w:fill="C0C0C0"/>
          </w:tcPr>
          <w:p>
            <w:pPr>
              <w:spacing w:after="0"/>
              <w:rPr>
                <w:sz w:val="18"/>
                <w:szCs w:val="18"/>
                <w:color w:val="auto"/>
              </w:rPr>
            </w:pPr>
          </w:p>
        </w:tc>
        <w:tc>
          <w:tcPr>
            <w:tcW w:w="1080" w:type="dxa"/>
            <w:vAlign w:val="bottom"/>
            <w:gridSpan w:val="2"/>
            <w:shd w:val="clear" w:color="auto" w:fill="C0C0C0"/>
          </w:tcPr>
          <w:p>
            <w:pPr>
              <w:ind w:left="480"/>
              <w:spacing w:after="0"/>
              <w:rPr>
                <w:sz w:val="20"/>
                <w:szCs w:val="20"/>
                <w:color w:val="auto"/>
              </w:rPr>
            </w:pPr>
            <w:r>
              <w:rPr>
                <w:rFonts w:ascii="Arial" w:cs="Arial" w:eastAsia="Arial" w:hAnsi="Arial"/>
                <w:sz w:val="12"/>
                <w:szCs w:val="12"/>
                <w:color w:val="auto"/>
              </w:rPr>
              <w:t>280,000</w:t>
            </w:r>
          </w:p>
        </w:tc>
        <w:tc>
          <w:tcPr>
            <w:tcW w:w="120" w:type="dxa"/>
            <w:vAlign w:val="bottom"/>
            <w:shd w:val="clear" w:color="auto" w:fill="C0C0C0"/>
          </w:tcPr>
          <w:p>
            <w:pPr>
              <w:spacing w:after="0"/>
              <w:rPr>
                <w:sz w:val="18"/>
                <w:szCs w:val="18"/>
                <w:color w:val="auto"/>
              </w:rPr>
            </w:pPr>
          </w:p>
        </w:tc>
        <w:tc>
          <w:tcPr>
            <w:tcW w:w="900" w:type="dxa"/>
            <w:vAlign w:val="bottom"/>
            <w:gridSpan w:val="2"/>
            <w:shd w:val="clear" w:color="auto" w:fill="C0C0C0"/>
          </w:tcPr>
          <w:p>
            <w:pPr>
              <w:jc w:val="right"/>
              <w:ind w:right="159"/>
              <w:spacing w:after="0" w:line="209" w:lineRule="exact"/>
              <w:rPr>
                <w:sz w:val="20"/>
                <w:szCs w:val="20"/>
                <w:color w:val="auto"/>
              </w:rPr>
            </w:pPr>
            <w:r>
              <w:rPr>
                <w:rFonts w:ascii="Arial" w:cs="Arial" w:eastAsia="Arial" w:hAnsi="Arial"/>
                <w:sz w:val="12"/>
                <w:szCs w:val="12"/>
                <w:color w:val="auto"/>
              </w:rPr>
              <w:t>-49.1</w:t>
            </w:r>
            <w:r>
              <w:rPr>
                <w:rFonts w:ascii="Arial" w:cs="Arial" w:eastAsia="Arial" w:hAnsi="Arial"/>
                <w:sz w:val="24"/>
                <w:szCs w:val="24"/>
                <w:color w:val="auto"/>
                <w:vertAlign w:val="superscript"/>
              </w:rPr>
              <w:t>%</w:t>
            </w:r>
          </w:p>
        </w:tc>
      </w:tr>
      <w:tr>
        <w:trPr>
          <w:trHeight w:val="233"/>
        </w:trPr>
        <w:tc>
          <w:tcPr>
            <w:tcW w:w="2940" w:type="dxa"/>
            <w:vAlign w:val="bottom"/>
            <w:shd w:val="clear" w:color="auto" w:fill="C0C0C0"/>
          </w:tcPr>
          <w:p>
            <w:pPr>
              <w:spacing w:after="0"/>
              <w:rPr>
                <w:sz w:val="20"/>
                <w:szCs w:val="20"/>
                <w:color w:val="auto"/>
              </w:rPr>
            </w:pPr>
          </w:p>
        </w:tc>
        <w:tc>
          <w:tcPr>
            <w:tcW w:w="940" w:type="dxa"/>
            <w:vAlign w:val="bottom"/>
            <w:gridSpan w:val="2"/>
            <w:shd w:val="clear" w:color="auto" w:fill="C0C0C0"/>
          </w:tcPr>
          <w:p>
            <w:pPr>
              <w:jc w:val="right"/>
              <w:ind w:right="199"/>
              <w:spacing w:after="0"/>
              <w:rPr>
                <w:sz w:val="20"/>
                <w:szCs w:val="20"/>
                <w:color w:val="auto"/>
              </w:rPr>
            </w:pPr>
            <w:r>
              <w:rPr>
                <w:rFonts w:ascii="Arial" w:cs="Arial" w:eastAsia="Arial" w:hAnsi="Arial"/>
                <w:sz w:val="12"/>
                <w:szCs w:val="12"/>
                <w:color w:val="auto"/>
              </w:rPr>
              <w:t>2006</w:t>
            </w:r>
          </w:p>
        </w:tc>
        <w:tc>
          <w:tcPr>
            <w:tcW w:w="1020" w:type="dxa"/>
            <w:vAlign w:val="bottom"/>
            <w:gridSpan w:val="2"/>
            <w:shd w:val="clear" w:color="auto" w:fill="C0C0C0"/>
          </w:tcPr>
          <w:p>
            <w:pPr>
              <w:jc w:val="right"/>
              <w:ind w:right="99"/>
              <w:spacing w:after="0"/>
              <w:rPr>
                <w:sz w:val="20"/>
                <w:szCs w:val="20"/>
                <w:color w:val="auto"/>
              </w:rPr>
            </w:pPr>
            <w:r>
              <w:rPr>
                <w:rFonts w:ascii="Arial" w:cs="Arial" w:eastAsia="Arial" w:hAnsi="Arial"/>
                <w:sz w:val="12"/>
                <w:szCs w:val="12"/>
                <w:color w:val="auto"/>
              </w:rPr>
              <w:t>100,000</w:t>
            </w:r>
          </w:p>
        </w:tc>
        <w:tc>
          <w:tcPr>
            <w:tcW w:w="200" w:type="dxa"/>
            <w:vAlign w:val="bottom"/>
            <w:shd w:val="clear" w:color="auto" w:fill="C0C0C0"/>
          </w:tcPr>
          <w:p>
            <w:pPr>
              <w:spacing w:after="0"/>
              <w:rPr>
                <w:sz w:val="20"/>
                <w:szCs w:val="20"/>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150,000</w:t>
            </w:r>
          </w:p>
        </w:tc>
        <w:tc>
          <w:tcPr>
            <w:tcW w:w="100" w:type="dxa"/>
            <w:vAlign w:val="bottom"/>
            <w:shd w:val="clear" w:color="auto" w:fill="C0C0C0"/>
          </w:tcPr>
          <w:p>
            <w:pPr>
              <w:spacing w:after="0"/>
              <w:rPr>
                <w:sz w:val="20"/>
                <w:szCs w:val="20"/>
                <w:color w:val="auto"/>
              </w:rPr>
            </w:pPr>
          </w:p>
        </w:tc>
        <w:tc>
          <w:tcPr>
            <w:tcW w:w="1080" w:type="dxa"/>
            <w:vAlign w:val="bottom"/>
            <w:gridSpan w:val="2"/>
            <w:shd w:val="clear" w:color="auto" w:fill="C0C0C0"/>
          </w:tcPr>
          <w:p>
            <w:pPr>
              <w:ind w:left="480"/>
              <w:spacing w:after="0" w:line="220" w:lineRule="exact"/>
              <w:rPr>
                <w:sz w:val="20"/>
                <w:szCs w:val="20"/>
                <w:color w:val="auto"/>
              </w:rPr>
            </w:pPr>
            <w:r>
              <w:rPr>
                <w:rFonts w:ascii="Arial" w:cs="Arial" w:eastAsia="Arial" w:hAnsi="Arial"/>
                <w:sz w:val="12"/>
                <w:szCs w:val="12"/>
                <w:color w:val="auto"/>
              </w:rPr>
              <w:t>550,000</w:t>
            </w:r>
            <w:r>
              <w:rPr>
                <w:rFonts w:ascii="Arial" w:cs="Arial" w:eastAsia="Arial" w:hAnsi="Arial"/>
                <w:sz w:val="24"/>
                <w:szCs w:val="24"/>
                <w:color w:val="auto"/>
                <w:vertAlign w:val="superscript"/>
              </w:rPr>
              <w:t>*</w:t>
            </w:r>
          </w:p>
        </w:tc>
        <w:tc>
          <w:tcPr>
            <w:tcW w:w="1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r>
      <w:tr>
        <w:trPr>
          <w:trHeight w:val="221"/>
        </w:trPr>
        <w:tc>
          <w:tcPr>
            <w:tcW w:w="294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10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r>
      <w:tr>
        <w:trPr>
          <w:trHeight w:val="221"/>
        </w:trPr>
        <w:tc>
          <w:tcPr>
            <w:tcW w:w="2940" w:type="dxa"/>
            <w:vAlign w:val="bottom"/>
            <w:shd w:val="clear" w:color="auto" w:fill="C0C0C0"/>
          </w:tcPr>
          <w:p>
            <w:pPr>
              <w:spacing w:after="0"/>
              <w:rPr>
                <w:sz w:val="20"/>
                <w:szCs w:val="20"/>
                <w:color w:val="auto"/>
              </w:rPr>
            </w:pPr>
            <w:r>
              <w:rPr>
                <w:rFonts w:ascii="Arial" w:cs="Arial" w:eastAsia="Arial" w:hAnsi="Arial"/>
                <w:sz w:val="12"/>
                <w:szCs w:val="12"/>
                <w:color w:val="auto"/>
              </w:rPr>
              <w:t>Mr. Hames</w:t>
            </w:r>
          </w:p>
        </w:tc>
        <w:tc>
          <w:tcPr>
            <w:tcW w:w="940" w:type="dxa"/>
            <w:vAlign w:val="bottom"/>
            <w:gridSpan w:val="2"/>
            <w:shd w:val="clear" w:color="auto" w:fill="C0C0C0"/>
          </w:tcPr>
          <w:p>
            <w:pPr>
              <w:jc w:val="right"/>
              <w:ind w:right="199"/>
              <w:spacing w:after="0"/>
              <w:rPr>
                <w:sz w:val="20"/>
                <w:szCs w:val="20"/>
                <w:color w:val="auto"/>
              </w:rPr>
            </w:pPr>
            <w:r>
              <w:rPr>
                <w:rFonts w:ascii="Arial" w:cs="Arial" w:eastAsia="Arial" w:hAnsi="Arial"/>
                <w:sz w:val="12"/>
                <w:szCs w:val="12"/>
                <w:color w:val="auto"/>
              </w:rPr>
              <w:t>2007</w:t>
            </w:r>
          </w:p>
        </w:tc>
        <w:tc>
          <w:tcPr>
            <w:tcW w:w="1020" w:type="dxa"/>
            <w:vAlign w:val="bottom"/>
            <w:gridSpan w:val="2"/>
            <w:shd w:val="clear" w:color="auto" w:fill="C0C0C0"/>
          </w:tcPr>
          <w:p>
            <w:pPr>
              <w:jc w:val="right"/>
              <w:ind w:right="99"/>
              <w:spacing w:after="0"/>
              <w:rPr>
                <w:sz w:val="20"/>
                <w:szCs w:val="20"/>
                <w:color w:val="auto"/>
              </w:rPr>
            </w:pPr>
            <w:r>
              <w:rPr>
                <w:rFonts w:ascii="Arial" w:cs="Arial" w:eastAsia="Arial" w:hAnsi="Arial"/>
                <w:sz w:val="12"/>
                <w:szCs w:val="12"/>
                <w:color w:val="auto"/>
              </w:rPr>
              <w:t>75,000</w:t>
            </w:r>
          </w:p>
        </w:tc>
        <w:tc>
          <w:tcPr>
            <w:tcW w:w="200" w:type="dxa"/>
            <w:vAlign w:val="bottom"/>
            <w:shd w:val="clear" w:color="auto" w:fill="C0C0C0"/>
          </w:tcPr>
          <w:p>
            <w:pPr>
              <w:spacing w:after="0"/>
              <w:rPr>
                <w:sz w:val="19"/>
                <w:szCs w:val="19"/>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45,000</w:t>
            </w:r>
          </w:p>
        </w:tc>
        <w:tc>
          <w:tcPr>
            <w:tcW w:w="100" w:type="dxa"/>
            <w:vAlign w:val="bottom"/>
            <w:shd w:val="clear" w:color="auto" w:fill="C0C0C0"/>
          </w:tcPr>
          <w:p>
            <w:pPr>
              <w:spacing w:after="0"/>
              <w:rPr>
                <w:sz w:val="19"/>
                <w:szCs w:val="19"/>
                <w:color w:val="auto"/>
              </w:rPr>
            </w:pPr>
          </w:p>
        </w:tc>
        <w:tc>
          <w:tcPr>
            <w:tcW w:w="1080" w:type="dxa"/>
            <w:vAlign w:val="bottom"/>
            <w:gridSpan w:val="2"/>
            <w:shd w:val="clear" w:color="auto" w:fill="C0C0C0"/>
          </w:tcPr>
          <w:p>
            <w:pPr>
              <w:ind w:left="480"/>
              <w:spacing w:after="0"/>
              <w:rPr>
                <w:sz w:val="20"/>
                <w:szCs w:val="20"/>
                <w:color w:val="auto"/>
              </w:rPr>
            </w:pPr>
            <w:r>
              <w:rPr>
                <w:rFonts w:ascii="Arial" w:cs="Arial" w:eastAsia="Arial" w:hAnsi="Arial"/>
                <w:sz w:val="12"/>
                <w:szCs w:val="12"/>
                <w:color w:val="auto"/>
              </w:rPr>
              <w:t>210,000</w:t>
            </w:r>
          </w:p>
        </w:tc>
        <w:tc>
          <w:tcPr>
            <w:tcW w:w="120" w:type="dxa"/>
            <w:vAlign w:val="bottom"/>
            <w:shd w:val="clear" w:color="auto" w:fill="C0C0C0"/>
          </w:tcPr>
          <w:p>
            <w:pPr>
              <w:spacing w:after="0"/>
              <w:rPr>
                <w:sz w:val="19"/>
                <w:szCs w:val="19"/>
                <w:color w:val="auto"/>
              </w:rPr>
            </w:pPr>
          </w:p>
        </w:tc>
        <w:tc>
          <w:tcPr>
            <w:tcW w:w="900" w:type="dxa"/>
            <w:vAlign w:val="bottom"/>
            <w:gridSpan w:val="2"/>
            <w:shd w:val="clear" w:color="auto" w:fill="C0C0C0"/>
          </w:tcPr>
          <w:p>
            <w:pPr>
              <w:jc w:val="right"/>
              <w:ind w:right="159"/>
              <w:spacing w:after="0" w:line="209" w:lineRule="exact"/>
              <w:rPr>
                <w:sz w:val="20"/>
                <w:szCs w:val="20"/>
                <w:color w:val="auto"/>
              </w:rPr>
            </w:pPr>
            <w:r>
              <w:rPr>
                <w:rFonts w:ascii="Arial" w:cs="Arial" w:eastAsia="Arial" w:hAnsi="Arial"/>
                <w:sz w:val="12"/>
                <w:szCs w:val="12"/>
                <w:color w:val="auto"/>
              </w:rPr>
              <w:t>-8.7</w:t>
            </w:r>
            <w:r>
              <w:rPr>
                <w:rFonts w:ascii="Arial" w:cs="Arial" w:eastAsia="Arial" w:hAnsi="Arial"/>
                <w:sz w:val="24"/>
                <w:szCs w:val="24"/>
                <w:color w:val="auto"/>
                <w:vertAlign w:val="superscript"/>
              </w:rPr>
              <w:t>%</w:t>
            </w:r>
          </w:p>
        </w:tc>
      </w:tr>
      <w:tr>
        <w:trPr>
          <w:trHeight w:val="208"/>
        </w:trPr>
        <w:tc>
          <w:tcPr>
            <w:tcW w:w="2940" w:type="dxa"/>
            <w:vAlign w:val="bottom"/>
          </w:tcPr>
          <w:p>
            <w:pPr>
              <w:spacing w:after="0"/>
              <w:rPr>
                <w:sz w:val="18"/>
                <w:szCs w:val="18"/>
                <w:color w:val="auto"/>
              </w:rPr>
            </w:pPr>
          </w:p>
        </w:tc>
        <w:tc>
          <w:tcPr>
            <w:tcW w:w="940" w:type="dxa"/>
            <w:vAlign w:val="bottom"/>
            <w:gridSpan w:val="2"/>
          </w:tcPr>
          <w:p>
            <w:pPr>
              <w:jc w:val="right"/>
              <w:ind w:right="199"/>
              <w:spacing w:after="0"/>
              <w:rPr>
                <w:sz w:val="20"/>
                <w:szCs w:val="20"/>
                <w:color w:val="auto"/>
              </w:rPr>
            </w:pPr>
            <w:r>
              <w:rPr>
                <w:rFonts w:ascii="Arial" w:cs="Arial" w:eastAsia="Arial" w:hAnsi="Arial"/>
                <w:sz w:val="12"/>
                <w:szCs w:val="12"/>
                <w:color w:val="auto"/>
              </w:rPr>
              <w:t>2006</w:t>
            </w:r>
          </w:p>
        </w:tc>
        <w:tc>
          <w:tcPr>
            <w:tcW w:w="1020" w:type="dxa"/>
            <w:vAlign w:val="bottom"/>
            <w:gridSpan w:val="2"/>
          </w:tcPr>
          <w:p>
            <w:pPr>
              <w:jc w:val="right"/>
              <w:ind w:right="99"/>
              <w:spacing w:after="0"/>
              <w:rPr>
                <w:sz w:val="20"/>
                <w:szCs w:val="20"/>
                <w:color w:val="auto"/>
              </w:rPr>
            </w:pPr>
            <w:r>
              <w:rPr>
                <w:rFonts w:ascii="Arial" w:cs="Arial" w:eastAsia="Arial" w:hAnsi="Arial"/>
                <w:sz w:val="12"/>
                <w:szCs w:val="12"/>
                <w:color w:val="auto"/>
              </w:rPr>
              <w:t>80,000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50,000</w:t>
            </w:r>
          </w:p>
        </w:tc>
        <w:tc>
          <w:tcPr>
            <w:tcW w:w="100" w:type="dxa"/>
            <w:vAlign w:val="bottom"/>
            <w:shd w:val="clear" w:color="auto" w:fill="C0C0C0"/>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2"/>
                <w:szCs w:val="12"/>
                <w:color w:val="auto"/>
              </w:rPr>
              <w:t>230,000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1089025</wp:posOffset>
            </wp:positionH>
            <wp:positionV relativeFrom="paragraph">
              <wp:posOffset>-271780</wp:posOffset>
            </wp:positionV>
            <wp:extent cx="5080635" cy="280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080635" cy="280035"/>
                    </a:xfrm>
                    <a:prstGeom prst="rect">
                      <a:avLst/>
                    </a:prstGeom>
                    <a:noFill/>
                  </pic:spPr>
                </pic:pic>
              </a:graphicData>
            </a:graphic>
          </wp:anchor>
        </w:drawing>
      </w:r>
    </w:p>
    <w:p>
      <w:pPr>
        <w:ind w:left="2"/>
        <w:spacing w:after="0"/>
        <w:rPr>
          <w:sz w:val="20"/>
          <w:szCs w:val="20"/>
          <w:color w:val="auto"/>
        </w:rPr>
      </w:pPr>
      <w:r>
        <w:rPr>
          <w:rFonts w:ascii="Arial" w:cs="Arial" w:eastAsia="Arial" w:hAnsi="Arial"/>
          <w:sz w:val="20"/>
          <w:szCs w:val="20"/>
          <w:color w:val="auto"/>
        </w:rPr>
        <w:t>____________________</w:t>
      </w:r>
    </w:p>
    <w:p>
      <w:pPr>
        <w:spacing w:after="0" w:line="226" w:lineRule="exact"/>
        <w:rPr>
          <w:sz w:val="20"/>
          <w:szCs w:val="20"/>
          <w:color w:val="auto"/>
        </w:rPr>
      </w:pPr>
    </w:p>
    <w:p>
      <w:pPr>
        <w:ind w:left="322" w:right="640" w:hanging="322"/>
        <w:spacing w:after="0" w:line="250" w:lineRule="auto"/>
        <w:tabs>
          <w:tab w:leader="none" w:pos="322"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Includes a June 2006 retention grant of 100,000 restricted stock units made in connection with his assuming additional responsibilities. Excluding the retention grant, NQ Equivalents were 12 percent higher in 2007 than in 2006.</w:t>
      </w:r>
    </w:p>
    <w:p>
      <w:pPr>
        <w:spacing w:after="0" w:line="180" w:lineRule="exact"/>
        <w:rPr>
          <w:sz w:val="20"/>
          <w:szCs w:val="20"/>
          <w:color w:val="auto"/>
        </w:rPr>
      </w:pPr>
    </w:p>
    <w:p>
      <w:pPr>
        <w:ind w:left="2" w:right="80"/>
        <w:spacing w:after="0" w:line="243" w:lineRule="auto"/>
        <w:rPr>
          <w:sz w:val="20"/>
          <w:szCs w:val="20"/>
          <w:color w:val="auto"/>
        </w:rPr>
      </w:pPr>
      <w:r>
        <w:rPr>
          <w:rFonts w:ascii="Arial" w:cs="Arial" w:eastAsia="Arial" w:hAnsi="Arial"/>
          <w:sz w:val="16"/>
          <w:szCs w:val="16"/>
          <w:color w:val="auto"/>
        </w:rPr>
        <w:t>The differences in the equity granted to our named executive officers were primarily the result of differences in the applicable market level of equity compensation for their positions. In responding to anticipated changes in market levels of equity compensation, the committee believed it was appropriate generally to grant proportionally fewer shares under stock options while maintaining the number of restricted stock units, because of the stronger retention effect of restricted stock unit awards.</w:t>
      </w:r>
    </w:p>
    <w:p>
      <w:pPr>
        <w:spacing w:after="0" w:line="186" w:lineRule="exact"/>
        <w:rPr>
          <w:sz w:val="20"/>
          <w:szCs w:val="20"/>
          <w:color w:val="auto"/>
        </w:rPr>
      </w:pPr>
    </w:p>
    <w:p>
      <w:pPr>
        <w:ind w:left="2" w:right="60"/>
        <w:spacing w:after="0" w:line="241" w:lineRule="auto"/>
        <w:rPr>
          <w:sz w:val="20"/>
          <w:szCs w:val="20"/>
          <w:color w:val="auto"/>
        </w:rPr>
      </w:pPr>
      <w:r>
        <w:rPr>
          <w:rFonts w:ascii="Arial" w:cs="Arial" w:eastAsia="Arial" w:hAnsi="Arial"/>
          <w:sz w:val="16"/>
          <w:szCs w:val="16"/>
          <w:color w:val="auto"/>
        </w:rPr>
        <w:t>The committee made its grant decisions in terms of specific numbers of restricted stock units and stock option shares. However, before approving the awards, the committee considered the estimated value of the grants it intended to make. The value was estimated using the same methodology used for financial accounting. The committee considered the value in order to assess the financial impact of the grants on the company and to confirm that the value was within an acceptable range as compared with the anticipated value of awards granted by the Comparator Group to similarly situated executives. The committee also reviewed the total amount of equity compensation held by the officers in order to assess the retention value of outstanding unvested grants. In making these assessments, the committee used its judgment and did not apply any formula, threshold or maximum. These considerations did not result in an adjustment of the proposed awards from the targeted levels, which the committee considered to be appropriate.</w:t>
      </w:r>
    </w:p>
    <w:p>
      <w:pPr>
        <w:spacing w:after="0" w:line="189" w:lineRule="exact"/>
        <w:rPr>
          <w:sz w:val="20"/>
          <w:szCs w:val="20"/>
          <w:color w:val="auto"/>
        </w:rPr>
      </w:pPr>
    </w:p>
    <w:p>
      <w:pPr>
        <w:ind w:left="2" w:right="60"/>
        <w:spacing w:after="0" w:line="243" w:lineRule="auto"/>
        <w:rPr>
          <w:sz w:val="20"/>
          <w:szCs w:val="20"/>
          <w:color w:val="auto"/>
        </w:rPr>
      </w:pPr>
      <w:r>
        <w:rPr>
          <w:rFonts w:ascii="Arial" w:cs="Arial" w:eastAsia="Arial" w:hAnsi="Arial"/>
          <w:sz w:val="16"/>
          <w:szCs w:val="16"/>
          <w:color w:val="auto"/>
        </w:rPr>
        <w:t>In setting equity compensation levels for Mr. Templeton, the committee believed that equity compensation levels for CEOs would be lower in 2007 than in 2006. Exercising its judgment, the committee determined that a 10 percent reduction in the number of NQ Equivalents for Mr. Templeton would be reasonable in anticipation of the decline in the market level. The committee held the number of restricted stock units at the same level as 2006 (150,000 shares) for the reasons stated above, and, therefore, the entire 10 percent reduction in NQ Equivalents was made with respect to the stock option grant.</w:t>
      </w:r>
    </w:p>
    <w:p>
      <w:pPr>
        <w:spacing w:after="0" w:line="186" w:lineRule="exact"/>
        <w:rPr>
          <w:sz w:val="20"/>
          <w:szCs w:val="20"/>
          <w:color w:val="auto"/>
        </w:rPr>
      </w:pPr>
    </w:p>
    <w:p>
      <w:pPr>
        <w:ind w:left="2" w:right="240"/>
        <w:spacing w:after="0" w:line="269" w:lineRule="auto"/>
        <w:rPr>
          <w:sz w:val="20"/>
          <w:szCs w:val="20"/>
          <w:color w:val="auto"/>
        </w:rPr>
      </w:pPr>
      <w:r>
        <w:rPr>
          <w:rFonts w:ascii="Arial" w:cs="Arial" w:eastAsia="Arial" w:hAnsi="Arial"/>
          <w:sz w:val="15"/>
          <w:szCs w:val="15"/>
          <w:color w:val="auto"/>
        </w:rPr>
        <w:t>Perceiving a continuation of the trend toward higher levels of equity compensation for chief financial officers in 2007 as compared with 2006, the committee decided to grant Mr. March more equity compensation than in the previous year. The increase (5,000 restricted stock units) was focused on the restricted stock unit award because of the greater retention effect of such awards. As a result, the number of stock options granted to Mr. March was unchanged from last year.</w:t>
      </w:r>
    </w:p>
    <w:p>
      <w:pPr>
        <w:sectPr>
          <w:pgSz w:w="11900" w:h="16838" w:orient="portrait"/>
          <w:cols w:equalWidth="0" w:num="1">
            <w:col w:w="11422"/>
          </w:cols>
          <w:pgMar w:left="238" w:top="142" w:right="239" w:bottom="0" w:gutter="0" w:footer="0" w:header="0"/>
        </w:sectPr>
      </w:pPr>
    </w:p>
    <w:bookmarkStart w:id="15" w:name="page16"/>
    <w:bookmarkEnd w:id="15"/>
    <w:p>
      <w:pPr>
        <w:ind w:left="2"/>
        <w:spacing w:after="0"/>
        <w:rPr>
          <w:sz w:val="20"/>
          <w:szCs w:val="20"/>
          <w:color w:val="auto"/>
        </w:rPr>
      </w:pPr>
      <w:r>
        <w:rPr>
          <w:rFonts w:ascii="Arial" w:cs="Arial" w:eastAsia="Arial" w:hAnsi="Arial"/>
          <w:sz w:val="16"/>
          <w:szCs w:val="16"/>
          <w:color w:val="auto"/>
        </w:rPr>
        <w:t>In response to the continued evolution of the chairman’s role, the committee decided to grant Mr. Engibous a stock option for fewer shares than in 2006.</w:t>
      </w:r>
    </w:p>
    <w:p>
      <w:pPr>
        <w:ind w:left="2"/>
        <w:spacing w:after="0"/>
        <w:rPr>
          <w:sz w:val="20"/>
          <w:szCs w:val="20"/>
          <w:color w:val="auto"/>
        </w:rPr>
      </w:pPr>
      <w:r>
        <w:rPr>
          <w:rFonts w:ascii="Arial" w:cs="Arial" w:eastAsia="Arial" w:hAnsi="Arial"/>
          <w:sz w:val="16"/>
          <w:szCs w:val="16"/>
          <w:color w:val="auto"/>
        </w:rPr>
        <w:t>Exercising its judgment, the committee set the level of the grant at 120,000 shares, a reduction of about 55 percent from the prior year’s grant.</w:t>
      </w:r>
    </w:p>
    <w:p>
      <w:pPr>
        <w:spacing w:after="0" w:line="196"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96" w:lineRule="exact"/>
        <w:rPr>
          <w:sz w:val="20"/>
          <w:szCs w:val="20"/>
          <w:color w:val="auto"/>
        </w:rPr>
      </w:pPr>
    </w:p>
    <w:p>
      <w:pPr>
        <w:ind w:left="2" w:right="80"/>
        <w:spacing w:after="0" w:line="243" w:lineRule="auto"/>
        <w:rPr>
          <w:sz w:val="20"/>
          <w:szCs w:val="20"/>
          <w:color w:val="auto"/>
        </w:rPr>
      </w:pPr>
      <w:r>
        <w:rPr>
          <w:rFonts w:ascii="Arial" w:cs="Arial" w:eastAsia="Arial" w:hAnsi="Arial"/>
          <w:sz w:val="16"/>
          <w:szCs w:val="16"/>
          <w:color w:val="auto"/>
        </w:rPr>
        <w:t>The approximately 50-percent decrease in the number of NQ Equivalents for Mr. Lowe from 2006 to 2007 is attributable to an off-cycle retention grant that he received in June 2006. Excluding the retention grant, NQ Equivalents were 12 percent higher in 2007 than 2006 because of his additional job responsibilities. For increased retention, the committee granted more restricted stock units in 2007 than in January 2006 while holding the number of shares under stock options the same as in 2006.</w:t>
      </w:r>
    </w:p>
    <w:p>
      <w:pPr>
        <w:spacing w:after="0" w:line="186" w:lineRule="exact"/>
        <w:rPr>
          <w:sz w:val="20"/>
          <w:szCs w:val="20"/>
          <w:color w:val="auto"/>
        </w:rPr>
      </w:pPr>
    </w:p>
    <w:p>
      <w:pPr>
        <w:ind w:left="2" w:right="160"/>
        <w:spacing w:after="0" w:line="243" w:lineRule="auto"/>
        <w:rPr>
          <w:sz w:val="20"/>
          <w:szCs w:val="20"/>
          <w:color w:val="auto"/>
        </w:rPr>
      </w:pPr>
      <w:r>
        <w:rPr>
          <w:rFonts w:ascii="Arial" w:cs="Arial" w:eastAsia="Arial" w:hAnsi="Arial"/>
          <w:sz w:val="16"/>
          <w:szCs w:val="16"/>
          <w:color w:val="auto"/>
        </w:rPr>
        <w:t>Anticipating that the market level of equity compensation for business managers would decline in 2007, the committee decided to reduce the number of NQ Equivalents for Mr. Hames by about 9 percent. The committee believed that a slight reduction in the number of restricted stock units was appropriate to maintain approximately the same proportion of restricted stock units and stock options as in 2006. The rest of the reduction in NQ Equivalents was taken from the stock option grant.</w:t>
      </w:r>
    </w:p>
    <w:p>
      <w:pPr>
        <w:spacing w:after="0" w:line="186" w:lineRule="exact"/>
        <w:rPr>
          <w:sz w:val="20"/>
          <w:szCs w:val="20"/>
          <w:color w:val="auto"/>
        </w:rPr>
      </w:pPr>
    </w:p>
    <w:p>
      <w:pPr>
        <w:ind w:left="2" w:right="20"/>
        <w:spacing w:after="0" w:line="250" w:lineRule="auto"/>
        <w:rPr>
          <w:sz w:val="20"/>
          <w:szCs w:val="20"/>
          <w:color w:val="auto"/>
        </w:rPr>
      </w:pPr>
      <w:r>
        <w:rPr>
          <w:rFonts w:ascii="Arial" w:cs="Arial" w:eastAsia="Arial" w:hAnsi="Arial"/>
          <w:sz w:val="16"/>
          <w:szCs w:val="16"/>
          <w:color w:val="auto"/>
        </w:rPr>
        <w:t>All grants of equity compensation were made under the Texas Instruments 2000 Long-Term Incentive Plan, which stockholders approved in April 2000. The grants have the terms described on pages 36-37.</w:t>
      </w:r>
    </w:p>
    <w:p>
      <w:pPr>
        <w:spacing w:after="0" w:line="180" w:lineRule="exact"/>
        <w:rPr>
          <w:sz w:val="20"/>
          <w:szCs w:val="20"/>
          <w:color w:val="auto"/>
        </w:rPr>
      </w:pPr>
    </w:p>
    <w:p>
      <w:pPr>
        <w:jc w:val="both"/>
        <w:ind w:left="2" w:right="140"/>
        <w:spacing w:after="0" w:line="245" w:lineRule="auto"/>
        <w:rPr>
          <w:sz w:val="20"/>
          <w:szCs w:val="20"/>
          <w:color w:val="auto"/>
        </w:rPr>
      </w:pPr>
      <w:r>
        <w:rPr>
          <w:rFonts w:ascii="Arial" w:cs="Arial" w:eastAsia="Arial" w:hAnsi="Arial"/>
          <w:sz w:val="16"/>
          <w:szCs w:val="16"/>
          <w:u w:val="single" w:color="auto"/>
          <w:color w:val="auto"/>
        </w:rPr>
        <w:t>Bonus</w:t>
      </w:r>
      <w:r>
        <w:rPr>
          <w:rFonts w:ascii="Arial" w:cs="Arial" w:eastAsia="Arial" w:hAnsi="Arial"/>
          <w:sz w:val="16"/>
          <w:szCs w:val="16"/>
          <w:color w:val="auto"/>
        </w:rPr>
        <w:t xml:space="preserve"> – In January 2008, the committee set the 2007 bonus compensation for executive officers based on its assessment of 2007 performance. The committee considered the bonus amount specified by the Executive Officer Performance Plan. In deciding whether to reduce that amount, the committee used the following performance measures to assess the company:</w:t>
      </w:r>
    </w:p>
    <w:p>
      <w:pPr>
        <w:spacing w:after="0" w:line="208" w:lineRule="exact"/>
        <w:rPr>
          <w:sz w:val="20"/>
          <w:szCs w:val="20"/>
          <w:color w:val="auto"/>
        </w:rPr>
      </w:pPr>
    </w:p>
    <w:p>
      <w:pPr>
        <w:ind w:left="682"/>
        <w:spacing w:after="0"/>
        <w:rPr>
          <w:sz w:val="20"/>
          <w:szCs w:val="20"/>
          <w:color w:val="auto"/>
        </w:rPr>
      </w:pPr>
      <w:r>
        <w:rPr>
          <w:rFonts w:ascii="Arial" w:cs="Arial" w:eastAsia="Arial" w:hAnsi="Arial"/>
          <w:sz w:val="16"/>
          <w:szCs w:val="16"/>
          <w:color w:val="auto"/>
        </w:rPr>
        <w:t>The relative one-year and three-year performance of TI as compared with competitor companies, as measured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-92075</wp:posOffset>
            </wp:positionV>
            <wp:extent cx="64135" cy="641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13" w:lineRule="exact"/>
        <w:rPr>
          <w:sz w:val="20"/>
          <w:szCs w:val="20"/>
          <w:color w:val="auto"/>
        </w:rPr>
      </w:pPr>
    </w:p>
    <w:p>
      <w:pPr>
        <w:ind w:left="482"/>
        <w:spacing w:after="0"/>
        <w:rPr>
          <w:sz w:val="20"/>
          <w:szCs w:val="20"/>
          <w:color w:val="auto"/>
        </w:rPr>
      </w:pPr>
      <w:r>
        <w:rPr>
          <w:rFonts w:ascii="Arial" w:cs="Arial" w:eastAsia="Arial" w:hAnsi="Arial"/>
          <w:sz w:val="16"/>
          <w:szCs w:val="16"/>
          <w:color w:val="auto"/>
        </w:rPr>
        <w:t>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-92075</wp:posOffset>
            </wp:positionV>
            <wp:extent cx="64135" cy="641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482"/>
        <w:spacing w:after="0"/>
        <w:rPr>
          <w:sz w:val="20"/>
          <w:szCs w:val="20"/>
          <w:color w:val="auto"/>
        </w:rPr>
      </w:pPr>
      <w:r>
        <w:rPr>
          <w:rFonts w:ascii="Arial" w:cs="Arial" w:eastAsia="Arial" w:hAnsi="Arial"/>
          <w:sz w:val="16"/>
          <w:szCs w:val="16"/>
          <w:color w:val="auto"/>
        </w:rPr>
        <w:t>profit from operations as a percentage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-92075</wp:posOffset>
            </wp:positionV>
            <wp:extent cx="64135" cy="641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482"/>
        <w:spacing w:after="0"/>
        <w:rPr>
          <w:sz w:val="20"/>
          <w:szCs w:val="20"/>
          <w:color w:val="auto"/>
        </w:rPr>
      </w:pPr>
      <w:r>
        <w:rPr>
          <w:rFonts w:ascii="Arial" w:cs="Arial" w:eastAsia="Arial" w:hAnsi="Arial"/>
          <w:sz w:val="16"/>
          <w:szCs w:val="16"/>
          <w:color w:val="auto"/>
        </w:rPr>
        <w:t>total shareholder return;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-92075</wp:posOffset>
            </wp:positionV>
            <wp:extent cx="64135" cy="641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13" w:lineRule="exact"/>
        <w:rPr>
          <w:sz w:val="20"/>
          <w:szCs w:val="20"/>
          <w:color w:val="auto"/>
        </w:rPr>
      </w:pPr>
    </w:p>
    <w:p>
      <w:pPr>
        <w:ind w:left="682"/>
        <w:spacing w:after="0"/>
        <w:rPr>
          <w:sz w:val="20"/>
          <w:szCs w:val="20"/>
          <w:color w:val="auto"/>
        </w:rPr>
      </w:pPr>
      <w:r>
        <w:rPr>
          <w:rFonts w:ascii="Arial" w:cs="Arial" w:eastAsia="Arial" w:hAnsi="Arial"/>
          <w:sz w:val="16"/>
          <w:szCs w:val="16"/>
          <w:color w:val="auto"/>
        </w:rPr>
        <w:t>The absolute one-year and three-year performance of TI on the above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-92075</wp:posOffset>
            </wp:positionV>
            <wp:extent cx="64135" cy="641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88" w:lineRule="exact"/>
        <w:rPr>
          <w:sz w:val="20"/>
          <w:szCs w:val="20"/>
          <w:color w:val="auto"/>
        </w:rPr>
      </w:pPr>
    </w:p>
    <w:p>
      <w:pPr>
        <w:ind w:left="2" w:right="40"/>
        <w:spacing w:after="0" w:line="250" w:lineRule="auto"/>
        <w:rPr>
          <w:sz w:val="20"/>
          <w:szCs w:val="20"/>
          <w:color w:val="auto"/>
        </w:rPr>
      </w:pPr>
      <w:r>
        <w:rPr>
          <w:rFonts w:ascii="Arial" w:cs="Arial" w:eastAsia="Arial" w:hAnsi="Arial"/>
          <w:sz w:val="16"/>
          <w:szCs w:val="16"/>
          <w:color w:val="auto"/>
        </w:rPr>
        <w:t>In addition, the committee considered our strategic progress by reviewing how competitive we are in key markets with our core products and technologies, as well as the strength of our relationships with key customers.</w:t>
      </w:r>
    </w:p>
    <w:p>
      <w:pPr>
        <w:spacing w:after="0" w:line="180" w:lineRule="exact"/>
        <w:rPr>
          <w:sz w:val="20"/>
          <w:szCs w:val="20"/>
          <w:color w:val="auto"/>
        </w:rPr>
      </w:pPr>
    </w:p>
    <w:p>
      <w:pPr>
        <w:ind w:left="2" w:right="80"/>
        <w:spacing w:after="0" w:line="243" w:lineRule="auto"/>
        <w:rPr>
          <w:sz w:val="20"/>
          <w:szCs w:val="20"/>
          <w:color w:val="auto"/>
        </w:rPr>
      </w:pPr>
      <w:r>
        <w:rPr>
          <w:rFonts w:ascii="Arial" w:cs="Arial" w:eastAsia="Arial" w:hAnsi="Arial"/>
          <w:sz w:val="16"/>
          <w:szCs w:val="16"/>
          <w:color w:val="auto"/>
        </w:rPr>
        <w:t>One-year relative performance on the three measures and one-year strategic progress were the primary considerations in the committee’s assessment of the company’s 2007 performance. The performance measures were intended to provide an overview of our financial performance, as well as our success in pursuing our priorities. In total, this approach provided the committee with insight and knowledge to judge results and set compensation at the levels it considered commensurate with actual performance.</w:t>
      </w:r>
    </w:p>
    <w:p>
      <w:pPr>
        <w:spacing w:after="0" w:line="186" w:lineRule="exact"/>
        <w:rPr>
          <w:sz w:val="20"/>
          <w:szCs w:val="20"/>
          <w:color w:val="auto"/>
        </w:rPr>
      </w:pPr>
    </w:p>
    <w:p>
      <w:pPr>
        <w:ind w:left="2"/>
        <w:spacing w:after="0"/>
        <w:rPr>
          <w:sz w:val="20"/>
          <w:szCs w:val="20"/>
          <w:color w:val="auto"/>
        </w:rPr>
      </w:pPr>
      <w:r>
        <w:rPr>
          <w:rFonts w:ascii="Arial" w:cs="Arial" w:eastAsia="Arial" w:hAnsi="Arial"/>
          <w:sz w:val="16"/>
          <w:szCs w:val="16"/>
          <w:color w:val="auto"/>
        </w:rPr>
        <w:t>In the comparison of relative performance, the companies used were those identified above on page 20 as competitors in the Comparator Group.</w:t>
      </w:r>
      <w:r>
        <w:rPr>
          <w:rFonts w:ascii="Arial" w:cs="Arial" w:eastAsia="Arial" w:hAnsi="Arial"/>
          <w:sz w:val="31"/>
          <w:szCs w:val="31"/>
          <w:color w:val="auto"/>
          <w:vertAlign w:val="superscript"/>
        </w:rPr>
        <w:t>5</w:t>
      </w:r>
    </w:p>
    <w:p>
      <w:pPr>
        <w:spacing w:after="0" w:line="97" w:lineRule="exact"/>
        <w:rPr>
          <w:sz w:val="20"/>
          <w:szCs w:val="20"/>
          <w:color w:val="auto"/>
        </w:rPr>
      </w:pPr>
    </w:p>
    <w:p>
      <w:pPr>
        <w:ind w:left="2" w:right="40"/>
        <w:spacing w:after="0" w:line="241" w:lineRule="auto"/>
        <w:rPr>
          <w:sz w:val="20"/>
          <w:szCs w:val="20"/>
          <w:color w:val="auto"/>
        </w:rPr>
      </w:pPr>
      <w:r>
        <w:rPr>
          <w:rFonts w:ascii="Arial" w:cs="Arial" w:eastAsia="Arial" w:hAnsi="Arial"/>
          <w:sz w:val="16"/>
          <w:szCs w:val="16"/>
          <w:color w:val="auto"/>
        </w:rPr>
        <w:t>Consistent with the policy of holding the named executive officers accountable for company performance, this assessment of company-level performance was the principal factor in setting the officers’ bonus. For the officers other than the CEO and the chairman, the committee also considered, to a lesser extent, the 2007 performance of the organization for which the officer was responsible. The differences in the amounts awarded to our named executive officers were primarily the result of differences in the officers’ level of responsibility and the applicable market level of total cash compensation expected to be paid to similarly situated officers in the Comparator Group. In making these performance assessments, the committee did not apply any formula or performance targets. Instead, the committee considered the various factors and used its judgment.</w:t>
      </w:r>
    </w:p>
    <w:p>
      <w:pPr>
        <w:spacing w:after="0" w:line="168" w:lineRule="exact"/>
        <w:rPr>
          <w:sz w:val="20"/>
          <w:szCs w:val="20"/>
          <w:color w:val="auto"/>
        </w:rPr>
      </w:pPr>
    </w:p>
    <w:p>
      <w:pPr>
        <w:ind w:left="2"/>
        <w:spacing w:after="0"/>
        <w:rPr>
          <w:sz w:val="20"/>
          <w:szCs w:val="20"/>
          <w:color w:val="auto"/>
        </w:rPr>
      </w:pPr>
      <w:r>
        <w:rPr>
          <w:rFonts w:ascii="Arial" w:cs="Arial" w:eastAsia="Arial" w:hAnsi="Arial"/>
          <w:sz w:val="20"/>
          <w:szCs w:val="20"/>
          <w:color w:val="auto"/>
        </w:rPr>
        <w:t>____________________</w:t>
      </w:r>
    </w:p>
    <w:p>
      <w:pPr>
        <w:spacing w:after="0" w:line="209" w:lineRule="exact"/>
        <w:rPr>
          <w:sz w:val="20"/>
          <w:szCs w:val="20"/>
          <w:color w:val="auto"/>
        </w:rPr>
      </w:pPr>
    </w:p>
    <w:p>
      <w:pPr>
        <w:ind w:left="322" w:right="480" w:hanging="322"/>
        <w:spacing w:after="0" w:line="191" w:lineRule="auto"/>
        <w:tabs>
          <w:tab w:leader="none" w:pos="322" w:val="left"/>
        </w:tabs>
        <w:numPr>
          <w:ilvl w:val="0"/>
          <w:numId w:val="20"/>
        </w:numPr>
        <w:rPr>
          <w:rFonts w:ascii="Arial" w:cs="Arial" w:eastAsia="Arial" w:hAnsi="Arial"/>
          <w:sz w:val="25"/>
          <w:szCs w:val="25"/>
          <w:color w:val="auto"/>
          <w:vertAlign w:val="superscript"/>
        </w:rPr>
      </w:pPr>
      <w:r>
        <w:rPr>
          <w:rFonts w:ascii="Arial" w:cs="Arial" w:eastAsia="Arial" w:hAnsi="Arial"/>
          <w:sz w:val="16"/>
          <w:szCs w:val="16"/>
          <w:color w:val="auto"/>
        </w:rPr>
        <w:t>To the extent the companies had not released financial results for the year or most recent quarter, the committee based its evaluation on estimates and projections of the companies’ financial results for 2007.</w:t>
      </w:r>
    </w:p>
    <w:p>
      <w:pPr>
        <w:spacing w:after="0" w:line="188"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96" w:lineRule="exact"/>
        <w:rPr>
          <w:sz w:val="20"/>
          <w:szCs w:val="20"/>
          <w:color w:val="auto"/>
        </w:rPr>
      </w:pPr>
    </w:p>
    <w:p>
      <w:pPr>
        <w:jc w:val="both"/>
        <w:ind w:left="2" w:right="40"/>
        <w:spacing w:after="0" w:line="242" w:lineRule="auto"/>
        <w:rPr>
          <w:sz w:val="20"/>
          <w:szCs w:val="20"/>
          <w:color w:val="auto"/>
        </w:rPr>
      </w:pPr>
      <w:r>
        <w:rPr>
          <w:rFonts w:ascii="Arial" w:cs="Arial" w:eastAsia="Arial" w:hAnsi="Arial"/>
          <w:sz w:val="16"/>
          <w:szCs w:val="16"/>
          <w:color w:val="auto"/>
        </w:rPr>
        <w:t>Overall, the committee determined that TI’s performance in 2007 put it well above the median of competitor companies in operating margin and total shareholder return. The committee also determined that TI’s strategic position was strengthened and remains among the best in the semiconductor industry. Revenue growth was found to be about median on a three-year basis and below median on a one-year basis. After reviewing all these metrics, the committee applied its judgment and determined that, in total, performance in 2007 was about equivalent to 2006 and still well above the median of competitor companies. Below are details of the committee’s assessment.</w:t>
      </w:r>
    </w:p>
    <w:p>
      <w:pPr>
        <w:spacing w:after="0" w:line="194" w:lineRule="exact"/>
        <w:rPr>
          <w:sz w:val="20"/>
          <w:szCs w:val="20"/>
          <w:color w:val="auto"/>
        </w:rPr>
      </w:pPr>
    </w:p>
    <w:p>
      <w:pPr>
        <w:ind w:left="262"/>
        <w:spacing w:after="0"/>
        <w:rPr>
          <w:sz w:val="20"/>
          <w:szCs w:val="20"/>
          <w:color w:val="auto"/>
        </w:rPr>
      </w:pPr>
      <w:r>
        <w:rPr>
          <w:rFonts w:ascii="Arial" w:cs="Arial" w:eastAsia="Arial" w:hAnsi="Arial"/>
          <w:sz w:val="16"/>
          <w:szCs w:val="16"/>
          <w:b w:val="1"/>
          <w:bCs w:val="1"/>
          <w:i w:val="1"/>
          <w:iCs w:val="1"/>
          <w:color w:val="auto"/>
        </w:rPr>
        <w:t>Revenue and Margin</w:t>
      </w:r>
    </w:p>
    <w:p>
      <w:pPr>
        <w:spacing w:after="0" w:line="251" w:lineRule="exact"/>
        <w:rPr>
          <w:sz w:val="20"/>
          <w:szCs w:val="20"/>
          <w:color w:val="auto"/>
        </w:rPr>
      </w:pPr>
    </w:p>
    <w:p>
      <w:pPr>
        <w:ind w:left="682"/>
        <w:spacing w:after="0" w:line="298" w:lineRule="auto"/>
        <w:rPr>
          <w:sz w:val="20"/>
          <w:szCs w:val="20"/>
          <w:color w:val="auto"/>
        </w:rPr>
      </w:pPr>
      <w:r>
        <w:rPr>
          <w:rFonts w:ascii="Arial" w:cs="Arial" w:eastAsia="Arial" w:hAnsi="Arial"/>
          <w:sz w:val="16"/>
          <w:szCs w:val="16"/>
          <w:color w:val="auto"/>
        </w:rPr>
        <w:t>TI’s 2007 revenue declined 2.9 percent from 2006. Almost one point of this decline reflects management’s decision to divest an underperforming product line. TI’s revenue performance was below the median of competitor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-265430</wp:posOffset>
            </wp:positionV>
            <wp:extent cx="64135" cy="641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85" w:lineRule="exact"/>
        <w:rPr>
          <w:sz w:val="20"/>
          <w:szCs w:val="20"/>
          <w:color w:val="auto"/>
        </w:rPr>
      </w:pPr>
    </w:p>
    <w:p>
      <w:pPr>
        <w:ind w:left="682"/>
        <w:spacing w:after="0"/>
        <w:rPr>
          <w:sz w:val="20"/>
          <w:szCs w:val="20"/>
          <w:color w:val="auto"/>
        </w:rPr>
      </w:pPr>
      <w:r>
        <w:rPr>
          <w:rFonts w:ascii="Arial" w:cs="Arial" w:eastAsia="Arial" w:hAnsi="Arial"/>
          <w:sz w:val="16"/>
          <w:szCs w:val="16"/>
          <w:color w:val="auto"/>
        </w:rPr>
        <w:t>Three-year compounded annual revenue growth was 6.2 percent, about the same as the median of competitor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-92075</wp:posOffset>
            </wp:positionV>
            <wp:extent cx="64135" cy="641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2" w:right="540"/>
        <w:spacing w:after="0" w:line="298" w:lineRule="auto"/>
        <w:rPr>
          <w:sz w:val="20"/>
          <w:szCs w:val="20"/>
          <w:color w:val="auto"/>
        </w:rPr>
      </w:pPr>
      <w:r>
        <w:rPr>
          <w:rFonts w:ascii="Arial" w:cs="Arial" w:eastAsia="Arial" w:hAnsi="Arial"/>
          <w:sz w:val="16"/>
          <w:szCs w:val="16"/>
          <w:color w:val="auto"/>
        </w:rPr>
        <w:t>One-year operating profit margin reached a new record in 2007 of 25.3 percent, in the top quartile of competitor companies. In dollars, profit from operations was 3.9 percent higher than in the prior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-265430</wp:posOffset>
            </wp:positionV>
            <wp:extent cx="64135" cy="641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85" w:lineRule="exact"/>
        <w:rPr>
          <w:sz w:val="20"/>
          <w:szCs w:val="20"/>
          <w:color w:val="auto"/>
        </w:rPr>
      </w:pPr>
    </w:p>
    <w:p>
      <w:pPr>
        <w:ind w:left="682" w:right="260"/>
        <w:spacing w:after="0" w:line="298" w:lineRule="auto"/>
        <w:rPr>
          <w:sz w:val="20"/>
          <w:szCs w:val="20"/>
          <w:color w:val="auto"/>
        </w:rPr>
      </w:pPr>
      <w:r>
        <w:rPr>
          <w:rFonts w:ascii="Arial" w:cs="Arial" w:eastAsia="Arial" w:hAnsi="Arial"/>
          <w:sz w:val="16"/>
          <w:szCs w:val="16"/>
          <w:color w:val="auto"/>
        </w:rPr>
        <w:t>Three-year average operating profit margin was 23.2 percent, above the median of competitor companies. In dollars, three-year compounded annual growth in profit from operations was 21.2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-265430</wp:posOffset>
            </wp:positionV>
            <wp:extent cx="64135" cy="641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85" w:lineRule="exact"/>
        <w:rPr>
          <w:sz w:val="20"/>
          <w:szCs w:val="20"/>
          <w:color w:val="auto"/>
        </w:rPr>
      </w:pPr>
    </w:p>
    <w:p>
      <w:pPr>
        <w:ind w:left="682" w:right="420"/>
        <w:spacing w:after="0" w:line="298" w:lineRule="auto"/>
        <w:rPr>
          <w:sz w:val="20"/>
          <w:szCs w:val="20"/>
          <w:color w:val="auto"/>
        </w:rPr>
      </w:pPr>
      <w:r>
        <w:rPr>
          <w:rFonts w:ascii="Arial" w:cs="Arial" w:eastAsia="Arial" w:hAnsi="Arial"/>
          <w:sz w:val="16"/>
          <w:szCs w:val="16"/>
          <w:color w:val="auto"/>
        </w:rPr>
        <w:t>Earnings per share grew 8.3 percent in 2007. This was the fifth consecutive year of growth in earnings per share, and the fifth successive year that earnings grew faster than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-265430</wp:posOffset>
            </wp:positionV>
            <wp:extent cx="64135" cy="641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ectPr>
          <w:pgSz w:w="11900" w:h="16838" w:orient="portrait"/>
          <w:cols w:equalWidth="0" w:num="1">
            <w:col w:w="11422"/>
          </w:cols>
          <w:pgMar w:left="238" w:top="142" w:right="239" w:bottom="60" w:gutter="0" w:footer="0" w:header="0"/>
        </w:sectPr>
      </w:pPr>
    </w:p>
    <w:p>
      <w:pPr>
        <w:spacing w:after="0" w:line="162" w:lineRule="exact"/>
        <w:rPr>
          <w:sz w:val="20"/>
          <w:szCs w:val="20"/>
          <w:color w:val="auto"/>
        </w:rPr>
      </w:pPr>
    </w:p>
    <w:p>
      <w:pPr>
        <w:ind w:left="262"/>
        <w:spacing w:after="0"/>
        <w:rPr>
          <w:sz w:val="20"/>
          <w:szCs w:val="20"/>
          <w:color w:val="auto"/>
        </w:rPr>
      </w:pPr>
      <w:r>
        <w:rPr>
          <w:rFonts w:ascii="Arial" w:cs="Arial" w:eastAsia="Arial" w:hAnsi="Arial"/>
          <w:sz w:val="15"/>
          <w:szCs w:val="15"/>
          <w:b w:val="1"/>
          <w:bCs w:val="1"/>
          <w:i w:val="1"/>
          <w:iCs w:val="1"/>
          <w:color w:val="auto"/>
        </w:rPr>
        <w:t>Total Shareholder Return</w:t>
      </w:r>
    </w:p>
    <w:p>
      <w:pPr>
        <w:sectPr>
          <w:pgSz w:w="11900" w:h="16838" w:orient="portrait"/>
          <w:cols w:equalWidth="0" w:num="1">
            <w:col w:w="11422"/>
          </w:cols>
          <w:pgMar w:left="238" w:top="142" w:right="239" w:bottom="60" w:gutter="0" w:footer="0" w:header="0"/>
          <w:type w:val="continuous"/>
        </w:sectPr>
      </w:pPr>
    </w:p>
    <w:bookmarkStart w:id="16" w:name="page17"/>
    <w:bookmarkEnd w:id="16"/>
    <w:p>
      <w:pPr>
        <w:ind w:left="682"/>
        <w:spacing w:after="0"/>
        <w:rPr>
          <w:sz w:val="20"/>
          <w:szCs w:val="20"/>
          <w:color w:val="auto"/>
        </w:rPr>
      </w:pPr>
      <w:r>
        <w:rPr>
          <w:rFonts w:ascii="Arial" w:cs="Arial" w:eastAsia="Arial" w:hAnsi="Arial"/>
          <w:sz w:val="16"/>
          <w:szCs w:val="16"/>
          <w:color w:val="auto"/>
        </w:rPr>
        <w:t>One-year TSR was 17.0 percent, in the top quartile of competitor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-92075</wp:posOffset>
            </wp:positionV>
            <wp:extent cx="64135" cy="641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2"/>
        <w:spacing w:after="0"/>
        <w:rPr>
          <w:sz w:val="20"/>
          <w:szCs w:val="20"/>
          <w:color w:val="auto"/>
        </w:rPr>
      </w:pPr>
      <w:r>
        <w:rPr>
          <w:rFonts w:ascii="Arial" w:cs="Arial" w:eastAsia="Arial" w:hAnsi="Arial"/>
          <w:sz w:val="16"/>
          <w:szCs w:val="16"/>
          <w:color w:val="auto"/>
        </w:rPr>
        <w:t>Three-year TSR was 11.3 percent on a compounded annual basis, in the top quartile of competitor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-92075</wp:posOffset>
            </wp:positionV>
            <wp:extent cx="64135" cy="641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237" w:lineRule="exact"/>
        <w:rPr>
          <w:sz w:val="20"/>
          <w:szCs w:val="20"/>
          <w:color w:val="auto"/>
        </w:rPr>
      </w:pPr>
    </w:p>
    <w:p>
      <w:pPr>
        <w:ind w:left="682" w:right="180"/>
        <w:spacing w:after="0" w:line="298" w:lineRule="auto"/>
        <w:rPr>
          <w:sz w:val="20"/>
          <w:szCs w:val="20"/>
          <w:color w:val="auto"/>
        </w:rPr>
      </w:pPr>
      <w:r>
        <w:rPr>
          <w:rFonts w:ascii="Arial" w:cs="Arial" w:eastAsia="Arial" w:hAnsi="Arial"/>
          <w:sz w:val="16"/>
          <w:szCs w:val="16"/>
          <w:color w:val="auto"/>
        </w:rPr>
        <w:t>The company returned cash to stockholders through stock repurchases of $4.9 billion, reducing outstanding shares by 7.4 percent. The company also increased the quarterly dividend rate by 150 percent, the fifth increase in four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-265430</wp:posOffset>
            </wp:positionV>
            <wp:extent cx="64135" cy="641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85" w:lineRule="exact"/>
        <w:rPr>
          <w:sz w:val="20"/>
          <w:szCs w:val="20"/>
          <w:color w:val="auto"/>
        </w:rPr>
      </w:pPr>
    </w:p>
    <w:p>
      <w:pPr>
        <w:ind w:left="682" w:right="40"/>
        <w:spacing w:after="0" w:line="298" w:lineRule="auto"/>
        <w:rPr>
          <w:sz w:val="20"/>
          <w:szCs w:val="20"/>
          <w:color w:val="auto"/>
        </w:rPr>
      </w:pPr>
      <w:r>
        <w:rPr>
          <w:rFonts w:ascii="Arial" w:cs="Arial" w:eastAsia="Arial" w:hAnsi="Arial"/>
          <w:sz w:val="16"/>
          <w:szCs w:val="16"/>
          <w:color w:val="auto"/>
        </w:rPr>
        <w:t>Even accounting for the above stock repurchases and dividend increases, the balance sheet remained robust, ending the year with cash and short-term investments of more than $2.9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-265430</wp:posOffset>
            </wp:positionV>
            <wp:extent cx="64135" cy="641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42" w:lineRule="exact"/>
        <w:rPr>
          <w:sz w:val="20"/>
          <w:szCs w:val="20"/>
          <w:color w:val="auto"/>
        </w:rPr>
      </w:pPr>
    </w:p>
    <w:p>
      <w:pPr>
        <w:ind w:left="262"/>
        <w:spacing w:after="0"/>
        <w:rPr>
          <w:sz w:val="20"/>
          <w:szCs w:val="20"/>
          <w:color w:val="auto"/>
        </w:rPr>
      </w:pPr>
      <w:r>
        <w:rPr>
          <w:rFonts w:ascii="Arial" w:cs="Arial" w:eastAsia="Arial" w:hAnsi="Arial"/>
          <w:sz w:val="16"/>
          <w:szCs w:val="16"/>
          <w:b w:val="1"/>
          <w:bCs w:val="1"/>
          <w:i w:val="1"/>
          <w:iCs w:val="1"/>
          <w:color w:val="auto"/>
        </w:rPr>
        <w:t>Strategic Progress</w:t>
      </w:r>
    </w:p>
    <w:p>
      <w:pPr>
        <w:spacing w:after="0" w:line="251" w:lineRule="exact"/>
        <w:rPr>
          <w:sz w:val="20"/>
          <w:szCs w:val="20"/>
          <w:color w:val="auto"/>
        </w:rPr>
      </w:pPr>
    </w:p>
    <w:p>
      <w:pPr>
        <w:ind w:left="682"/>
        <w:spacing w:after="0" w:line="306" w:lineRule="auto"/>
        <w:rPr>
          <w:sz w:val="20"/>
          <w:szCs w:val="20"/>
          <w:color w:val="auto"/>
        </w:rPr>
      </w:pPr>
      <w:r>
        <w:rPr>
          <w:rFonts w:ascii="Arial" w:cs="Arial" w:eastAsia="Arial" w:hAnsi="Arial"/>
          <w:sz w:val="15"/>
          <w:szCs w:val="15"/>
          <w:color w:val="auto"/>
        </w:rPr>
        <w:t>TI’s position and recognition as a leader in analog semiconductors accelerated in 2007. This is the segment of the semiconductor market most important to the company for growth and greater profitability. Through acquisitions, TI gained technology that gave the company the ability to apply its analog semiconductors to new applications, such as power tools, wireless connections for the home and hybrid-electric automobiles. TI launched more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-393700</wp:posOffset>
            </wp:positionV>
            <wp:extent cx="64135" cy="641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ind w:left="682" w:right="100"/>
        <w:spacing w:after="0" w:line="290" w:lineRule="auto"/>
        <w:rPr>
          <w:sz w:val="20"/>
          <w:szCs w:val="20"/>
          <w:color w:val="auto"/>
        </w:rPr>
      </w:pPr>
      <w:r>
        <w:rPr>
          <w:rFonts w:ascii="Arial" w:cs="Arial" w:eastAsia="Arial" w:hAnsi="Arial"/>
          <w:sz w:val="16"/>
          <w:szCs w:val="16"/>
          <w:color w:val="auto"/>
        </w:rPr>
        <w:t>500 new analog products, which will let the company reach new customers and deepen its relationships with existing customers. Maintaining a pipeline of new products is an important part of TI’s strategy to grow and expand its market share in the analog sector. TI’s revenue growth in high-performance analog semiconductors continued its four-year trend of substantially outpacing its most significant competitors, with an increase of 9 percent in 2007. In total, TI is the leading supplier of the complete chain of analog and digital semiconductors necessary for the electronic conversion and processing of real-world signals.</w:t>
      </w:r>
    </w:p>
    <w:p>
      <w:pPr>
        <w:spacing w:after="0" w:line="212" w:lineRule="exact"/>
        <w:rPr>
          <w:sz w:val="20"/>
          <w:szCs w:val="20"/>
          <w:color w:val="auto"/>
        </w:rPr>
      </w:pPr>
    </w:p>
    <w:p>
      <w:pPr>
        <w:ind w:left="682" w:right="360"/>
        <w:spacing w:after="0" w:line="293" w:lineRule="auto"/>
        <w:rPr>
          <w:sz w:val="20"/>
          <w:szCs w:val="20"/>
          <w:color w:val="auto"/>
        </w:rPr>
      </w:pPr>
      <w:r>
        <w:rPr>
          <w:rFonts w:ascii="Arial" w:cs="Arial" w:eastAsia="Arial" w:hAnsi="Arial"/>
          <w:sz w:val="16"/>
          <w:szCs w:val="16"/>
          <w:color w:val="auto"/>
        </w:rPr>
        <w:t>Initiatives to apply both TI’s analog and digital technology to new and fast-growing markets gained traction. In particular, TI applied its experience in signal processing, wireless and low power to help customers develop medical equipment that is precise, more portable and more energy-efficient. Revenue in this area, while small in total, grew about 20 percent in 2007. In safety and security applications, TI worked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-402590</wp:posOffset>
            </wp:positionV>
            <wp:extent cx="64135" cy="641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39"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202" w:right="100"/>
        <w:spacing w:after="0" w:line="250" w:lineRule="auto"/>
        <w:rPr>
          <w:sz w:val="20"/>
          <w:szCs w:val="20"/>
          <w:color w:val="auto"/>
        </w:rPr>
      </w:pPr>
      <w:r>
        <w:rPr>
          <w:rFonts w:ascii="Arial" w:cs="Arial" w:eastAsia="Arial" w:hAnsi="Arial"/>
          <w:sz w:val="16"/>
          <w:szCs w:val="16"/>
          <w:color w:val="auto"/>
        </w:rPr>
        <w:t>with leading video analytics companies to develop systems that provide critical real-time information to alert public officials so they can respond in real time as opposed to relying on forensics after an event has occurred.</w:t>
      </w:r>
    </w:p>
    <w:p>
      <w:pPr>
        <w:spacing w:after="0" w:line="205" w:lineRule="exact"/>
        <w:rPr>
          <w:sz w:val="20"/>
          <w:szCs w:val="20"/>
          <w:color w:val="auto"/>
        </w:rPr>
      </w:pPr>
    </w:p>
    <w:p>
      <w:pPr>
        <w:ind w:left="682" w:right="60"/>
        <w:spacing w:after="0" w:line="306" w:lineRule="auto"/>
        <w:rPr>
          <w:sz w:val="20"/>
          <w:szCs w:val="20"/>
          <w:color w:val="auto"/>
        </w:rPr>
      </w:pPr>
      <w:r>
        <w:rPr>
          <w:rFonts w:ascii="Arial" w:cs="Arial" w:eastAsia="Arial" w:hAnsi="Arial"/>
          <w:sz w:val="15"/>
          <w:szCs w:val="15"/>
          <w:color w:val="auto"/>
        </w:rPr>
        <w:t>Customer-centricity again gained momentum as a defining component of TI’s culture. While this is primarily an outcome of employee commitment and dependable delivery of products, the expansion of sales networks in the emerging markets of China, India and Eastern Europe contributed to TI’s ability to engage with a broader group of customers. The sales force in China increased by 13 percent and offices were established in three additional cities. The sales force doubled in India, and one new office was opened there. In Eastern Europe, three new offices and a customer support center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-533400</wp:posOffset>
            </wp:positionV>
            <wp:extent cx="64135" cy="641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ectPr>
          <w:pgSz w:w="11900" w:h="16838" w:orient="portrait"/>
          <w:cols w:equalWidth="0" w:num="1">
            <w:col w:w="11402"/>
          </w:cols>
          <w:pgMar w:left="238" w:top="167" w:right="259" w:bottom="0" w:gutter="0" w:footer="0" w:header="0"/>
        </w:sectPr>
      </w:pPr>
    </w:p>
    <w:p>
      <w:pPr>
        <w:spacing w:after="0" w:line="3" w:lineRule="exact"/>
        <w:rPr>
          <w:sz w:val="20"/>
          <w:szCs w:val="20"/>
          <w:color w:val="auto"/>
        </w:rPr>
      </w:pPr>
    </w:p>
    <w:p>
      <w:pPr>
        <w:ind w:left="682"/>
        <w:spacing w:after="0"/>
        <w:rPr>
          <w:sz w:val="20"/>
          <w:szCs w:val="20"/>
          <w:color w:val="auto"/>
        </w:rPr>
      </w:pPr>
      <w:r>
        <w:rPr>
          <w:rFonts w:ascii="Arial" w:cs="Arial" w:eastAsia="Arial" w:hAnsi="Arial"/>
          <w:sz w:val="16"/>
          <w:szCs w:val="16"/>
          <w:color w:val="auto"/>
        </w:rPr>
        <w:t>opened.</w:t>
      </w:r>
    </w:p>
    <w:p>
      <w:pPr>
        <w:spacing w:after="0" w:line="190" w:lineRule="exact"/>
        <w:rPr>
          <w:sz w:val="20"/>
          <w:szCs w:val="20"/>
          <w:color w:val="auto"/>
        </w:rPr>
      </w:pPr>
    </w:p>
    <w:p>
      <w:pPr>
        <w:jc w:val="right"/>
        <w:spacing w:after="0"/>
        <w:rPr>
          <w:sz w:val="20"/>
          <w:szCs w:val="20"/>
          <w:color w:val="auto"/>
        </w:rPr>
      </w:pPr>
      <w:r>
        <w:rPr>
          <w:rFonts w:ascii="Arial" w:cs="Arial" w:eastAsia="Arial" w:hAnsi="Arial"/>
          <w:sz w:val="16"/>
          <w:szCs w:val="16"/>
          <w:b w:val="1"/>
          <w:bCs w:val="1"/>
          <w:i w:val="1"/>
          <w:iCs w:val="1"/>
          <w:color w:val="auto"/>
        </w:rPr>
        <w:t>Performance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274320</wp:posOffset>
            </wp:positionV>
            <wp:extent cx="3625850" cy="1403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625850" cy="14033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ind w:left="2862"/>
        <w:spacing w:after="0"/>
        <w:rPr>
          <w:sz w:val="20"/>
          <w:szCs w:val="20"/>
          <w:color w:val="auto"/>
        </w:rPr>
      </w:pPr>
      <w:r>
        <w:rPr>
          <w:rFonts w:ascii="Arial" w:cs="Arial" w:eastAsia="Arial" w:hAnsi="Arial"/>
          <w:sz w:val="12"/>
          <w:szCs w:val="12"/>
          <w:color w:val="auto"/>
        </w:rPr>
        <w:t>Revenue growth</w:t>
      </w:r>
    </w:p>
    <w:p>
      <w:pPr>
        <w:spacing w:after="0" w:line="83" w:lineRule="exact"/>
        <w:rPr>
          <w:sz w:val="20"/>
          <w:szCs w:val="20"/>
          <w:color w:val="auto"/>
        </w:rPr>
      </w:pPr>
    </w:p>
    <w:p>
      <w:pPr>
        <w:ind w:left="2862"/>
        <w:spacing w:after="0"/>
        <w:rPr>
          <w:sz w:val="20"/>
          <w:szCs w:val="20"/>
          <w:color w:val="auto"/>
        </w:rPr>
      </w:pPr>
      <w:r>
        <w:rPr>
          <w:rFonts w:ascii="Arial" w:cs="Arial" w:eastAsia="Arial" w:hAnsi="Arial"/>
          <w:sz w:val="12"/>
          <w:szCs w:val="12"/>
          <w:color w:val="auto"/>
        </w:rPr>
        <w:t>Profit from operations (PFO)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13970</wp:posOffset>
            </wp:positionV>
            <wp:extent cx="3625850" cy="140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625850" cy="140335"/>
                    </a:xfrm>
                    <a:prstGeom prst="rect">
                      <a:avLst/>
                    </a:prstGeom>
                    <a:noFill/>
                  </pic:spPr>
                </pic:pic>
              </a:graphicData>
            </a:graphic>
          </wp:anchor>
        </w:drawing>
      </w:r>
    </w:p>
    <w:p>
      <w:pPr>
        <w:spacing w:after="0" w:line="63" w:lineRule="exact"/>
        <w:rPr>
          <w:sz w:val="20"/>
          <w:szCs w:val="20"/>
          <w:color w:val="auto"/>
        </w:rPr>
      </w:pPr>
    </w:p>
    <w:p>
      <w:pPr>
        <w:ind w:left="2862"/>
        <w:spacing w:after="0"/>
        <w:rPr>
          <w:sz w:val="20"/>
          <w:szCs w:val="20"/>
          <w:color w:val="auto"/>
        </w:rPr>
      </w:pPr>
      <w:r>
        <w:rPr>
          <w:rFonts w:ascii="Arial" w:cs="Arial" w:eastAsia="Arial" w:hAnsi="Arial"/>
          <w:sz w:val="12"/>
          <w:szCs w:val="12"/>
          <w:color w:val="auto"/>
        </w:rPr>
        <w:t>Operating margin</w:t>
      </w:r>
    </w:p>
    <w:p>
      <w:pPr>
        <w:spacing w:after="0" w:line="83" w:lineRule="exact"/>
        <w:rPr>
          <w:sz w:val="20"/>
          <w:szCs w:val="20"/>
          <w:color w:val="auto"/>
        </w:rPr>
      </w:pPr>
    </w:p>
    <w:p>
      <w:pPr>
        <w:ind w:left="2862"/>
        <w:spacing w:after="0"/>
        <w:rPr>
          <w:sz w:val="20"/>
          <w:szCs w:val="20"/>
          <w:color w:val="auto"/>
        </w:rPr>
      </w:pPr>
      <w:r>
        <w:rPr>
          <w:rFonts w:ascii="Arial" w:cs="Arial" w:eastAsia="Arial" w:hAnsi="Arial"/>
          <w:sz w:val="12"/>
          <w:szCs w:val="12"/>
          <w:color w:val="auto"/>
        </w:rPr>
        <w:t>Return on invested capital (ROIC)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1820545</wp:posOffset>
            </wp:positionH>
            <wp:positionV relativeFrom="paragraph">
              <wp:posOffset>13970</wp:posOffset>
            </wp:positionV>
            <wp:extent cx="3625850" cy="1403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625850" cy="140335"/>
                    </a:xfrm>
                    <a:prstGeom prst="rect">
                      <a:avLst/>
                    </a:prstGeom>
                    <a:noFill/>
                  </pic:spPr>
                </pic:pic>
              </a:graphicData>
            </a:graphic>
          </wp:anchor>
        </w:drawing>
      </w:r>
    </w:p>
    <w:p>
      <w:pPr>
        <w:spacing w:after="0" w:line="63" w:lineRule="exact"/>
        <w:rPr>
          <w:sz w:val="20"/>
          <w:szCs w:val="20"/>
          <w:color w:val="auto"/>
        </w:rPr>
      </w:pPr>
    </w:p>
    <w:p>
      <w:pPr>
        <w:ind w:left="2862"/>
        <w:spacing w:after="0"/>
        <w:rPr>
          <w:sz w:val="20"/>
          <w:szCs w:val="20"/>
          <w:color w:val="auto"/>
        </w:rPr>
      </w:pPr>
      <w:r>
        <w:rPr>
          <w:rFonts w:ascii="Arial" w:cs="Arial" w:eastAsia="Arial" w:hAnsi="Arial"/>
          <w:sz w:val="12"/>
          <w:szCs w:val="12"/>
          <w:color w:val="auto"/>
        </w:rPr>
        <w:t>Dividend rate growth</w:t>
      </w:r>
    </w:p>
    <w:p>
      <w:pPr>
        <w:spacing w:after="0" w:line="83" w:lineRule="exact"/>
        <w:rPr>
          <w:sz w:val="20"/>
          <w:szCs w:val="20"/>
          <w:color w:val="auto"/>
        </w:rPr>
      </w:pPr>
    </w:p>
    <w:p>
      <w:pPr>
        <w:ind w:left="2862"/>
        <w:spacing w:after="0"/>
        <w:rPr>
          <w:sz w:val="20"/>
          <w:szCs w:val="20"/>
          <w:color w:val="auto"/>
        </w:rPr>
      </w:pPr>
      <w:r>
        <w:rPr>
          <w:rFonts w:ascii="Arial" w:cs="Arial" w:eastAsia="Arial" w:hAnsi="Arial"/>
          <w:sz w:val="12"/>
          <w:szCs w:val="12"/>
          <w:color w:val="auto"/>
        </w:rPr>
        <w:t>Total shareholder return (TSR)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940" w:type="dxa"/>
            <w:vAlign w:val="bottom"/>
          </w:tcPr>
          <w:p>
            <w:pPr>
              <w:jc w:val="right"/>
              <w:ind w:right="499"/>
              <w:spacing w:after="0"/>
              <w:rPr>
                <w:sz w:val="20"/>
                <w:szCs w:val="20"/>
                <w:color w:val="auto"/>
              </w:rPr>
            </w:pPr>
            <w:r>
              <w:rPr>
                <w:rFonts w:ascii="Arial" w:cs="Arial" w:eastAsia="Arial" w:hAnsi="Arial"/>
                <w:sz w:val="12"/>
                <w:szCs w:val="12"/>
                <w:b w:val="1"/>
                <w:bCs w:val="1"/>
                <w:color w:val="auto"/>
                <w:w w:val="97"/>
              </w:rPr>
              <w:t>1-Year</w:t>
            </w: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3-Year</w:t>
            </w:r>
          </w:p>
        </w:tc>
      </w:tr>
      <w:tr>
        <w:trPr>
          <w:trHeight w:val="273"/>
        </w:trPr>
        <w:tc>
          <w:tcPr>
            <w:tcW w:w="940" w:type="dxa"/>
            <w:vAlign w:val="bottom"/>
          </w:tcPr>
          <w:p>
            <w:pPr>
              <w:jc w:val="right"/>
              <w:ind w:right="499"/>
              <w:spacing w:after="0" w:line="273" w:lineRule="exact"/>
              <w:rPr>
                <w:sz w:val="20"/>
                <w:szCs w:val="20"/>
                <w:color w:val="auto"/>
              </w:rPr>
            </w:pPr>
            <w:r>
              <w:rPr>
                <w:rFonts w:ascii="Arial" w:cs="Arial" w:eastAsia="Arial" w:hAnsi="Arial"/>
                <w:sz w:val="12"/>
                <w:szCs w:val="12"/>
                <w:color w:val="auto"/>
              </w:rPr>
              <w:t>-2.9</w:t>
            </w:r>
            <w:r>
              <w:rPr>
                <w:rFonts w:ascii="Arial" w:cs="Arial" w:eastAsia="Arial" w:hAnsi="Arial"/>
                <w:sz w:val="24"/>
                <w:szCs w:val="24"/>
                <w:color w:val="auto"/>
                <w:vertAlign w:val="superscript"/>
              </w:rPr>
              <w:t>%</w:t>
            </w:r>
          </w:p>
        </w:tc>
        <w:tc>
          <w:tcPr>
            <w:tcW w:w="880" w:type="dxa"/>
            <w:vAlign w:val="bottom"/>
          </w:tcPr>
          <w:p>
            <w:pPr>
              <w:ind w:left="120"/>
              <w:spacing w:after="0"/>
              <w:rPr>
                <w:sz w:val="20"/>
                <w:szCs w:val="20"/>
                <w:color w:val="auto"/>
              </w:rPr>
            </w:pPr>
            <w:r>
              <w:rPr>
                <w:rFonts w:ascii="Arial" w:cs="Arial" w:eastAsia="Arial" w:hAnsi="Arial"/>
                <w:sz w:val="12"/>
                <w:szCs w:val="12"/>
                <w:color w:val="auto"/>
              </w:rPr>
              <w:t>6.2% CAGR</w:t>
            </w:r>
          </w:p>
        </w:tc>
      </w:tr>
      <w:tr>
        <w:trPr>
          <w:trHeight w:val="221"/>
        </w:trPr>
        <w:tc>
          <w:tcPr>
            <w:tcW w:w="940" w:type="dxa"/>
            <w:vAlign w:val="bottom"/>
          </w:tcPr>
          <w:p>
            <w:pPr>
              <w:jc w:val="right"/>
              <w:ind w:right="499"/>
              <w:spacing w:after="0" w:line="220" w:lineRule="exact"/>
              <w:rPr>
                <w:sz w:val="20"/>
                <w:szCs w:val="20"/>
                <w:color w:val="auto"/>
              </w:rPr>
            </w:pPr>
            <w:r>
              <w:rPr>
                <w:rFonts w:ascii="Arial" w:cs="Arial" w:eastAsia="Arial" w:hAnsi="Arial"/>
                <w:sz w:val="12"/>
                <w:szCs w:val="12"/>
                <w:color w:val="auto"/>
              </w:rPr>
              <w:t>3.9</w:t>
            </w:r>
            <w:r>
              <w:rPr>
                <w:rFonts w:ascii="Arial" w:cs="Arial" w:eastAsia="Arial" w:hAnsi="Arial"/>
                <w:sz w:val="24"/>
                <w:szCs w:val="24"/>
                <w:color w:val="auto"/>
                <w:vertAlign w:val="superscript"/>
              </w:rPr>
              <w:t>%</w:t>
            </w:r>
          </w:p>
        </w:tc>
        <w:tc>
          <w:tcPr>
            <w:tcW w:w="880" w:type="dxa"/>
            <w:vAlign w:val="bottom"/>
          </w:tcPr>
          <w:p>
            <w:pPr>
              <w:ind w:left="40"/>
              <w:spacing w:after="0" w:line="220" w:lineRule="exact"/>
              <w:rPr>
                <w:sz w:val="20"/>
                <w:szCs w:val="20"/>
                <w:color w:val="auto"/>
              </w:rPr>
            </w:pPr>
            <w:r>
              <w:rPr>
                <w:rFonts w:ascii="Arial" w:cs="Arial" w:eastAsia="Arial" w:hAnsi="Arial"/>
                <w:sz w:val="24"/>
                <w:szCs w:val="24"/>
                <w:color w:val="auto"/>
                <w:vertAlign w:val="superscript"/>
              </w:rPr>
              <w:t>21.2</w:t>
            </w:r>
            <w:r>
              <w:rPr>
                <w:rFonts w:ascii="Arial" w:cs="Arial" w:eastAsia="Arial" w:hAnsi="Arial"/>
                <w:sz w:val="12"/>
                <w:szCs w:val="12"/>
                <w:color w:val="auto"/>
              </w:rPr>
              <w:t>% CAGR</w:t>
            </w:r>
          </w:p>
        </w:tc>
      </w:tr>
      <w:tr>
        <w:trPr>
          <w:trHeight w:val="221"/>
        </w:trPr>
        <w:tc>
          <w:tcPr>
            <w:tcW w:w="940" w:type="dxa"/>
            <w:vAlign w:val="bottom"/>
          </w:tcPr>
          <w:p>
            <w:pPr>
              <w:jc w:val="right"/>
              <w:ind w:right="499"/>
              <w:spacing w:after="0" w:line="220" w:lineRule="exact"/>
              <w:rPr>
                <w:sz w:val="20"/>
                <w:szCs w:val="20"/>
                <w:color w:val="auto"/>
              </w:rPr>
            </w:pPr>
            <w:r>
              <w:rPr>
                <w:rFonts w:ascii="Arial" w:cs="Arial" w:eastAsia="Arial" w:hAnsi="Arial"/>
                <w:sz w:val="12"/>
                <w:szCs w:val="12"/>
                <w:color w:val="auto"/>
                <w:w w:val="95"/>
              </w:rPr>
              <w:t>25.3</w:t>
            </w:r>
            <w:r>
              <w:rPr>
                <w:rFonts w:ascii="Arial" w:cs="Arial" w:eastAsia="Arial" w:hAnsi="Arial"/>
                <w:sz w:val="24"/>
                <w:szCs w:val="24"/>
                <w:color w:val="auto"/>
                <w:w w:val="95"/>
                <w:vertAlign w:val="superscript"/>
              </w:rPr>
              <w:t>%</w:t>
            </w:r>
          </w:p>
        </w:tc>
        <w:tc>
          <w:tcPr>
            <w:tcW w:w="880" w:type="dxa"/>
            <w:vAlign w:val="bottom"/>
          </w:tcPr>
          <w:p>
            <w:pPr>
              <w:ind w:left="40"/>
              <w:spacing w:after="0"/>
              <w:rPr>
                <w:sz w:val="20"/>
                <w:szCs w:val="20"/>
                <w:color w:val="auto"/>
              </w:rPr>
            </w:pPr>
            <w:r>
              <w:rPr>
                <w:rFonts w:ascii="Arial" w:cs="Arial" w:eastAsia="Arial" w:hAnsi="Arial"/>
                <w:sz w:val="12"/>
                <w:szCs w:val="12"/>
                <w:color w:val="auto"/>
              </w:rPr>
              <w:t>23.2% average</w:t>
            </w:r>
          </w:p>
        </w:tc>
      </w:tr>
      <w:tr>
        <w:trPr>
          <w:trHeight w:val="221"/>
        </w:trPr>
        <w:tc>
          <w:tcPr>
            <w:tcW w:w="940" w:type="dxa"/>
            <w:vAlign w:val="bottom"/>
          </w:tcPr>
          <w:p>
            <w:pPr>
              <w:jc w:val="right"/>
              <w:ind w:right="499"/>
              <w:spacing w:after="0" w:line="220" w:lineRule="exact"/>
              <w:rPr>
                <w:sz w:val="20"/>
                <w:szCs w:val="20"/>
                <w:color w:val="auto"/>
              </w:rPr>
            </w:pPr>
            <w:r>
              <w:rPr>
                <w:rFonts w:ascii="Arial" w:cs="Arial" w:eastAsia="Arial" w:hAnsi="Arial"/>
                <w:sz w:val="12"/>
                <w:szCs w:val="12"/>
                <w:color w:val="auto"/>
                <w:w w:val="95"/>
              </w:rPr>
              <w:t>25.1</w:t>
            </w:r>
            <w:r>
              <w:rPr>
                <w:rFonts w:ascii="Arial" w:cs="Arial" w:eastAsia="Arial" w:hAnsi="Arial"/>
                <w:sz w:val="24"/>
                <w:szCs w:val="24"/>
                <w:color w:val="auto"/>
                <w:w w:val="95"/>
                <w:vertAlign w:val="superscript"/>
              </w:rPr>
              <w:t>%</w:t>
            </w:r>
          </w:p>
        </w:tc>
        <w:tc>
          <w:tcPr>
            <w:tcW w:w="880" w:type="dxa"/>
            <w:vAlign w:val="bottom"/>
          </w:tcPr>
          <w:p>
            <w:pPr>
              <w:ind w:left="40"/>
              <w:spacing w:after="0" w:line="220" w:lineRule="exact"/>
              <w:rPr>
                <w:sz w:val="20"/>
                <w:szCs w:val="20"/>
                <w:color w:val="auto"/>
              </w:rPr>
            </w:pPr>
            <w:r>
              <w:rPr>
                <w:rFonts w:ascii="Arial" w:cs="Arial" w:eastAsia="Arial" w:hAnsi="Arial"/>
                <w:sz w:val="24"/>
                <w:szCs w:val="24"/>
                <w:color w:val="auto"/>
                <w:w w:val="92"/>
                <w:vertAlign w:val="superscript"/>
              </w:rPr>
              <w:t>20.5</w:t>
            </w:r>
            <w:r>
              <w:rPr>
                <w:rFonts w:ascii="Arial" w:cs="Arial" w:eastAsia="Arial" w:hAnsi="Arial"/>
                <w:sz w:val="12"/>
                <w:szCs w:val="12"/>
                <w:color w:val="auto"/>
                <w:w w:val="92"/>
              </w:rPr>
              <w:t>% average</w:t>
            </w:r>
          </w:p>
        </w:tc>
      </w:tr>
      <w:tr>
        <w:trPr>
          <w:trHeight w:val="221"/>
        </w:trPr>
        <w:tc>
          <w:tcPr>
            <w:tcW w:w="940" w:type="dxa"/>
            <w:vAlign w:val="bottom"/>
          </w:tcPr>
          <w:p>
            <w:pPr>
              <w:jc w:val="right"/>
              <w:ind w:right="499"/>
              <w:spacing w:after="0" w:line="220" w:lineRule="exact"/>
              <w:rPr>
                <w:sz w:val="20"/>
                <w:szCs w:val="20"/>
                <w:color w:val="auto"/>
              </w:rPr>
            </w:pPr>
            <w:r>
              <w:rPr>
                <w:rFonts w:ascii="Arial" w:cs="Arial" w:eastAsia="Arial" w:hAnsi="Arial"/>
                <w:sz w:val="12"/>
                <w:szCs w:val="12"/>
                <w:color w:val="auto"/>
              </w:rPr>
              <w:t>150</w:t>
            </w:r>
            <w:r>
              <w:rPr>
                <w:rFonts w:ascii="Arial" w:cs="Arial" w:eastAsia="Arial" w:hAnsi="Arial"/>
                <w:sz w:val="24"/>
                <w:szCs w:val="24"/>
                <w:color w:val="auto"/>
                <w:vertAlign w:val="superscript"/>
              </w:rPr>
              <w:t>%</w:t>
            </w:r>
          </w:p>
        </w:tc>
        <w:tc>
          <w:tcPr>
            <w:tcW w:w="880" w:type="dxa"/>
            <w:vAlign w:val="bottom"/>
          </w:tcPr>
          <w:p>
            <w:pPr>
              <w:ind w:left="80"/>
              <w:spacing w:after="0"/>
              <w:rPr>
                <w:sz w:val="20"/>
                <w:szCs w:val="20"/>
                <w:color w:val="auto"/>
              </w:rPr>
            </w:pPr>
            <w:r>
              <w:rPr>
                <w:rFonts w:ascii="Arial" w:cs="Arial" w:eastAsia="Arial" w:hAnsi="Arial"/>
                <w:sz w:val="12"/>
                <w:szCs w:val="12"/>
                <w:color w:val="auto"/>
              </w:rPr>
              <w:t>300%</w:t>
            </w:r>
          </w:p>
        </w:tc>
      </w:tr>
      <w:tr>
        <w:trPr>
          <w:trHeight w:val="313"/>
        </w:trPr>
        <w:tc>
          <w:tcPr>
            <w:tcW w:w="940" w:type="dxa"/>
            <w:vAlign w:val="bottom"/>
          </w:tcPr>
          <w:p>
            <w:pPr>
              <w:jc w:val="right"/>
              <w:ind w:right="499"/>
              <w:spacing w:after="0"/>
              <w:rPr>
                <w:sz w:val="20"/>
                <w:szCs w:val="20"/>
                <w:color w:val="auto"/>
              </w:rPr>
            </w:pPr>
            <w:r>
              <w:rPr>
                <w:rFonts w:ascii="Arial" w:cs="Arial" w:eastAsia="Arial" w:hAnsi="Arial"/>
                <w:sz w:val="12"/>
                <w:szCs w:val="12"/>
                <w:color w:val="auto"/>
                <w:w w:val="95"/>
              </w:rPr>
              <w:t>17.0</w:t>
            </w:r>
            <w:r>
              <w:rPr>
                <w:rFonts w:ascii="Arial" w:cs="Arial" w:eastAsia="Arial" w:hAnsi="Arial"/>
                <w:sz w:val="24"/>
                <w:szCs w:val="24"/>
                <w:color w:val="auto"/>
                <w:w w:val="95"/>
                <w:vertAlign w:val="superscript"/>
              </w:rPr>
              <w:t>%</w:t>
            </w:r>
          </w:p>
        </w:tc>
        <w:tc>
          <w:tcPr>
            <w:tcW w:w="880" w:type="dxa"/>
            <w:vAlign w:val="bottom"/>
          </w:tcPr>
          <w:p>
            <w:pPr>
              <w:ind w:left="40"/>
              <w:spacing w:after="0"/>
              <w:rPr>
                <w:sz w:val="20"/>
                <w:szCs w:val="20"/>
                <w:color w:val="auto"/>
              </w:rPr>
            </w:pPr>
            <w:r>
              <w:rPr>
                <w:rFonts w:ascii="Arial" w:cs="Arial" w:eastAsia="Arial" w:hAnsi="Arial"/>
                <w:sz w:val="24"/>
                <w:szCs w:val="24"/>
                <w:color w:val="auto"/>
                <w:vertAlign w:val="superscript"/>
              </w:rPr>
              <w:t>11.3</w:t>
            </w:r>
            <w:r>
              <w:rPr>
                <w:rFonts w:ascii="Arial" w:cs="Arial" w:eastAsia="Arial" w:hAnsi="Arial"/>
                <w:sz w:val="12"/>
                <w:szCs w:val="12"/>
                <w:color w:val="auto"/>
              </w:rPr>
              <w:t>% CAGR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-944880</wp:posOffset>
            </wp:positionV>
            <wp:extent cx="49784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7840" cy="7620"/>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6582" w:space="180"/>
            <w:col w:w="4640"/>
          </w:cols>
          <w:pgMar w:left="238" w:top="167" w:right="259" w:bottom="0" w:gutter="0" w:footer="0" w:header="0"/>
          <w:type w:val="continuous"/>
        </w:sectPr>
      </w:pPr>
    </w:p>
    <w:p>
      <w:pPr>
        <w:ind w:left="3102"/>
        <w:spacing w:after="0"/>
        <w:rPr>
          <w:sz w:val="20"/>
          <w:szCs w:val="20"/>
          <w:color w:val="auto"/>
        </w:rPr>
      </w:pPr>
      <w:r>
        <w:rPr>
          <w:rFonts w:ascii="Arial" w:cs="Arial" w:eastAsia="Arial" w:hAnsi="Arial"/>
          <w:sz w:val="12"/>
          <w:szCs w:val="12"/>
          <w:color w:val="auto"/>
        </w:rPr>
        <w:t>CAGR = compound annual growth rate</w:t>
      </w:r>
    </w:p>
    <w:p>
      <w:pPr>
        <w:ind w:left="3102"/>
        <w:spacing w:after="0" w:line="234" w:lineRule="auto"/>
        <w:rPr>
          <w:sz w:val="20"/>
          <w:szCs w:val="20"/>
          <w:color w:val="auto"/>
        </w:rPr>
      </w:pPr>
      <w:r>
        <w:rPr>
          <w:rFonts w:ascii="Arial" w:cs="Arial" w:eastAsia="Arial" w:hAnsi="Arial"/>
          <w:sz w:val="12"/>
          <w:szCs w:val="12"/>
          <w:color w:val="auto"/>
        </w:rPr>
        <w:t>ROIC = PFO x (1 – tax rate) / (assets – non-debt liabilities)</w:t>
      </w:r>
    </w:p>
    <w:p>
      <w:pPr>
        <w:ind w:left="3102"/>
        <w:spacing w:after="0" w:line="234" w:lineRule="auto"/>
        <w:rPr>
          <w:sz w:val="20"/>
          <w:szCs w:val="20"/>
          <w:color w:val="auto"/>
        </w:rPr>
      </w:pPr>
      <w:r>
        <w:rPr>
          <w:rFonts w:ascii="Arial" w:cs="Arial" w:eastAsia="Arial" w:hAnsi="Arial"/>
          <w:sz w:val="12"/>
          <w:szCs w:val="12"/>
          <w:color w:val="auto"/>
        </w:rPr>
        <w:t>One-year TSR % = [(Closing price of the company’s stock at year-end 2007, plus dividends paid</w:t>
      </w:r>
    </w:p>
    <w:p>
      <w:pPr>
        <w:ind w:left="3102"/>
        <w:spacing w:after="0" w:line="235" w:lineRule="auto"/>
        <w:rPr>
          <w:sz w:val="20"/>
          <w:szCs w:val="20"/>
          <w:color w:val="auto"/>
        </w:rPr>
      </w:pPr>
      <w:r>
        <w:rPr>
          <w:rFonts w:ascii="Arial" w:cs="Arial" w:eastAsia="Arial" w:hAnsi="Arial"/>
          <w:sz w:val="12"/>
          <w:szCs w:val="12"/>
          <w:color w:val="auto"/>
        </w:rPr>
        <w:t>during 2007) divided by 2006 year-end closing price] minus 1, multiplied by 100</w:t>
      </w:r>
    </w:p>
    <w:p>
      <w:pPr>
        <w:ind w:left="3102"/>
        <w:spacing w:after="0" w:line="234" w:lineRule="auto"/>
        <w:rPr>
          <w:sz w:val="20"/>
          <w:szCs w:val="20"/>
          <w:color w:val="auto"/>
        </w:rPr>
      </w:pPr>
      <w:r>
        <w:rPr>
          <w:rFonts w:ascii="Arial" w:cs="Arial" w:eastAsia="Arial" w:hAnsi="Arial"/>
          <w:sz w:val="12"/>
          <w:szCs w:val="12"/>
          <w:color w:val="auto"/>
        </w:rPr>
        <w:t>Three-year TSR CAGR % = [(Closing price of the company’s stock at year-end 2007, plus dividends</w:t>
      </w:r>
    </w:p>
    <w:p>
      <w:pPr>
        <w:ind w:left="3102"/>
        <w:spacing w:after="0" w:line="235" w:lineRule="auto"/>
        <w:rPr>
          <w:sz w:val="20"/>
          <w:szCs w:val="20"/>
          <w:color w:val="auto"/>
        </w:rPr>
      </w:pPr>
      <w:r>
        <w:rPr>
          <w:rFonts w:ascii="Arial" w:cs="Arial" w:eastAsia="Arial" w:hAnsi="Arial"/>
          <w:sz w:val="12"/>
          <w:szCs w:val="12"/>
          <w:color w:val="auto"/>
        </w:rPr>
        <w:t>paid during 2005 through 2007) divided by 2004 year-end closing price] 1/3 minus 1, multiplied by</w:t>
      </w:r>
    </w:p>
    <w:p>
      <w:pPr>
        <w:ind w:left="3102"/>
        <w:spacing w:after="0"/>
        <w:rPr>
          <w:sz w:val="20"/>
          <w:szCs w:val="20"/>
          <w:color w:val="auto"/>
        </w:rPr>
      </w:pPr>
      <w:r>
        <w:rPr>
          <w:rFonts w:ascii="Arial" w:cs="Arial" w:eastAsia="Arial" w:hAnsi="Arial"/>
          <w:sz w:val="12"/>
          <w:szCs w:val="12"/>
          <w:color w:val="auto"/>
        </w:rPr>
        <w:t>100</w:t>
      </w:r>
    </w:p>
    <w:p>
      <w:pPr>
        <w:spacing w:after="0" w:line="200" w:lineRule="exact"/>
        <w:rPr>
          <w:sz w:val="20"/>
          <w:szCs w:val="20"/>
          <w:color w:val="auto"/>
        </w:rPr>
      </w:pPr>
    </w:p>
    <w:p>
      <w:pPr>
        <w:spacing w:after="0" w:line="216" w:lineRule="exact"/>
        <w:rPr>
          <w:sz w:val="20"/>
          <w:szCs w:val="20"/>
          <w:color w:val="auto"/>
        </w:rPr>
      </w:pPr>
    </w:p>
    <w:p>
      <w:pPr>
        <w:ind w:left="2" w:right="60"/>
        <w:spacing w:after="0" w:line="220" w:lineRule="auto"/>
        <w:rPr>
          <w:sz w:val="20"/>
          <w:szCs w:val="20"/>
          <w:color w:val="auto"/>
        </w:rPr>
      </w:pPr>
      <w:r>
        <w:rPr>
          <w:rFonts w:ascii="Arial" w:cs="Arial" w:eastAsia="Arial" w:hAnsi="Arial"/>
          <w:sz w:val="16"/>
          <w:szCs w:val="16"/>
          <w:color w:val="auto"/>
        </w:rPr>
        <w:t>Based on its assessment of company performance, the committee determined that the bonuses of the named executive officers (other than Mr. Delfassy)</w:t>
      </w:r>
      <w:r>
        <w:rPr>
          <w:rFonts w:ascii="Arial" w:cs="Arial" w:eastAsia="Arial" w:hAnsi="Arial"/>
          <w:sz w:val="26"/>
          <w:szCs w:val="26"/>
          <w:color w:val="auto"/>
          <w:vertAlign w:val="superscript"/>
        </w:rPr>
        <w:t>6</w:t>
      </w:r>
      <w:r>
        <w:rPr>
          <w:rFonts w:ascii="Arial" w:cs="Arial" w:eastAsia="Arial" w:hAnsi="Arial"/>
          <w:sz w:val="16"/>
          <w:szCs w:val="16"/>
          <w:color w:val="auto"/>
        </w:rPr>
        <w:t xml:space="preserve"> should be at the same level as for 2006. Before finalizing its decision, the committee considered the officers’ individual performance. The performance of the CEO and the chairman was judged according to the performance of the company. For the other officers, the committee also considered the factors described below in assessing individual performance. In making this assessment, the committee did not apply any formula or performance targets.</w:t>
      </w:r>
    </w:p>
    <w:p>
      <w:pPr>
        <w:spacing w:after="0" w:line="188" w:lineRule="exact"/>
        <w:rPr>
          <w:sz w:val="20"/>
          <w:szCs w:val="20"/>
          <w:color w:val="auto"/>
        </w:rPr>
      </w:pPr>
    </w:p>
    <w:p>
      <w:pPr>
        <w:ind w:left="182"/>
        <w:spacing w:after="0"/>
        <w:rPr>
          <w:sz w:val="20"/>
          <w:szCs w:val="20"/>
          <w:color w:val="auto"/>
        </w:rPr>
      </w:pPr>
      <w:r>
        <w:rPr>
          <w:rFonts w:ascii="Arial" w:cs="Arial" w:eastAsia="Arial" w:hAnsi="Arial"/>
          <w:sz w:val="16"/>
          <w:szCs w:val="16"/>
          <w:color w:val="auto"/>
        </w:rPr>
        <w:t>Mr. March is the chief financial officer. The committee noted the financial management of the company.</w:t>
      </w:r>
    </w:p>
    <w:p>
      <w:pPr>
        <w:spacing w:after="0" w:line="196" w:lineRule="exact"/>
        <w:rPr>
          <w:sz w:val="20"/>
          <w:szCs w:val="20"/>
          <w:color w:val="auto"/>
        </w:rPr>
      </w:pPr>
    </w:p>
    <w:p>
      <w:pPr>
        <w:ind w:left="182" w:right="20"/>
        <w:spacing w:after="0" w:line="250" w:lineRule="auto"/>
        <w:rPr>
          <w:sz w:val="20"/>
          <w:szCs w:val="20"/>
          <w:color w:val="auto"/>
        </w:rPr>
      </w:pPr>
      <w:r>
        <w:rPr>
          <w:rFonts w:ascii="Arial" w:cs="Arial" w:eastAsia="Arial" w:hAnsi="Arial"/>
          <w:sz w:val="16"/>
          <w:szCs w:val="16"/>
          <w:color w:val="auto"/>
        </w:rPr>
        <w:t>Mr. Lowe is responsible for the company’s analog semiconductor product lines. The committee noted the financial performance of those product lines, including the company’s analog market share, and the position of the operations strategically and with customers.</w:t>
      </w:r>
    </w:p>
    <w:p>
      <w:pPr>
        <w:spacing w:after="0" w:line="180" w:lineRule="exact"/>
        <w:rPr>
          <w:sz w:val="20"/>
          <w:szCs w:val="20"/>
          <w:color w:val="auto"/>
        </w:rPr>
      </w:pPr>
    </w:p>
    <w:p>
      <w:pPr>
        <w:jc w:val="both"/>
        <w:ind w:left="182" w:right="200"/>
        <w:spacing w:after="0" w:line="245" w:lineRule="auto"/>
        <w:rPr>
          <w:sz w:val="20"/>
          <w:szCs w:val="20"/>
          <w:color w:val="auto"/>
        </w:rPr>
      </w:pPr>
      <w:r>
        <w:rPr>
          <w:rFonts w:ascii="Arial" w:cs="Arial" w:eastAsia="Arial" w:hAnsi="Arial"/>
          <w:sz w:val="16"/>
          <w:szCs w:val="16"/>
          <w:color w:val="auto"/>
        </w:rPr>
        <w:t>Mr. Hames is responsible for the company’s core and catalog DSP product lines as well as RISC (Reduced Instruction Set Computing) microprocessors and microcontrollers. The committee noted the financial performance of the product lines, including the company’s catalog DSP market share, and the position of the product lines strategically and with customers.</w:t>
      </w:r>
    </w:p>
    <w:p>
      <w:pPr>
        <w:spacing w:after="0" w:line="184" w:lineRule="exact"/>
        <w:rPr>
          <w:sz w:val="20"/>
          <w:szCs w:val="20"/>
          <w:color w:val="auto"/>
        </w:rPr>
      </w:pPr>
    </w:p>
    <w:p>
      <w:pPr>
        <w:ind w:left="2" w:right="80"/>
        <w:spacing w:after="0" w:line="243" w:lineRule="auto"/>
        <w:rPr>
          <w:sz w:val="20"/>
          <w:szCs w:val="20"/>
          <w:color w:val="auto"/>
        </w:rPr>
      </w:pPr>
      <w:r>
        <w:rPr>
          <w:rFonts w:ascii="Arial" w:cs="Arial" w:eastAsia="Arial" w:hAnsi="Arial"/>
          <w:sz w:val="16"/>
          <w:szCs w:val="16"/>
          <w:color w:val="auto"/>
        </w:rPr>
        <w:t>Taking account of the individual performance, the committee decided that it would still be appropriate to hold the bonus of each officer at the same level as for 2006. Before setting the bonuses, the committee also considered whether total cash compensation for 2007 would be at an appropriate level if bonuses were the same as last year. The committee considered the level of total cash compensation to be commensurate with the company’s and the officers’ performance. Accordingly the bonuses were held at the same level as for 2006.</w:t>
      </w:r>
    </w:p>
    <w:p>
      <w:pPr>
        <w:spacing w:after="0" w:line="186" w:lineRule="exact"/>
        <w:rPr>
          <w:sz w:val="20"/>
          <w:szCs w:val="20"/>
          <w:color w:val="auto"/>
        </w:rPr>
      </w:pPr>
    </w:p>
    <w:p>
      <w:pPr>
        <w:ind w:left="2" w:right="140"/>
        <w:spacing w:after="0" w:line="245" w:lineRule="auto"/>
        <w:rPr>
          <w:sz w:val="20"/>
          <w:szCs w:val="20"/>
          <w:color w:val="auto"/>
        </w:rPr>
      </w:pPr>
      <w:r>
        <w:rPr>
          <w:rFonts w:ascii="Arial" w:cs="Arial" w:eastAsia="Arial" w:hAnsi="Arial"/>
          <w:sz w:val="16"/>
          <w:szCs w:val="16"/>
          <w:u w:val="single" w:color="auto"/>
          <w:color w:val="auto"/>
        </w:rPr>
        <w:t>Results of the Compensation Decisions</w:t>
      </w:r>
      <w:r>
        <w:rPr>
          <w:rFonts w:ascii="Arial" w:cs="Arial" w:eastAsia="Arial" w:hAnsi="Arial"/>
          <w:sz w:val="16"/>
          <w:szCs w:val="16"/>
          <w:color w:val="auto"/>
        </w:rPr>
        <w:t xml:space="preserve"> – Results of the compensation decisions made by the committee relating to the named executive officers for 2007 as compared to 2006 (other than Mr. Delfassy, who ceased to be an executive officer in January 2007) are summarized in the following table. This table is provided as a supplement to the Summary Compensation Table on page 30 for investors who may find it useful to see the</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20"/>
          <w:szCs w:val="20"/>
          <w:color w:val="auto"/>
        </w:rPr>
        <w:t>____________________</w:t>
      </w:r>
    </w:p>
    <w:p>
      <w:pPr>
        <w:sectPr>
          <w:pgSz w:w="11900" w:h="16838" w:orient="portrait"/>
          <w:cols w:equalWidth="0" w:num="1">
            <w:col w:w="11402"/>
          </w:cols>
          <w:pgMar w:left="238" w:top="167" w:right="259" w:bottom="0" w:gutter="0" w:footer="0" w:header="0"/>
          <w:type w:val="continuous"/>
        </w:sectPr>
      </w:pPr>
    </w:p>
    <w:p>
      <w:pPr>
        <w:spacing w:after="0" w:line="149" w:lineRule="exact"/>
        <w:rPr>
          <w:sz w:val="20"/>
          <w:szCs w:val="20"/>
          <w:color w:val="auto"/>
        </w:rPr>
      </w:pPr>
    </w:p>
    <w:p>
      <w:pPr>
        <w:ind w:left="322" w:hanging="322"/>
        <w:spacing w:after="0"/>
        <w:tabs>
          <w:tab w:leader="none" w:pos="322" w:val="left"/>
        </w:tabs>
        <w:numPr>
          <w:ilvl w:val="0"/>
          <w:numId w:val="21"/>
        </w:numPr>
        <w:rPr>
          <w:rFonts w:ascii="Arial" w:cs="Arial" w:eastAsia="Arial" w:hAnsi="Arial"/>
          <w:sz w:val="23"/>
          <w:szCs w:val="23"/>
          <w:color w:val="auto"/>
          <w:vertAlign w:val="superscript"/>
        </w:rPr>
      </w:pPr>
      <w:r>
        <w:rPr>
          <w:rFonts w:ascii="Arial" w:cs="Arial" w:eastAsia="Arial" w:hAnsi="Arial"/>
          <w:sz w:val="15"/>
          <w:szCs w:val="15"/>
          <w:color w:val="auto"/>
        </w:rPr>
        <w:t>For a discussion of the bonus decision with respect to Mr. Delfassy, please see page 29.</w:t>
      </w:r>
    </w:p>
    <w:p>
      <w:pPr>
        <w:sectPr>
          <w:pgSz w:w="11900" w:h="16838" w:orient="portrait"/>
          <w:cols w:equalWidth="0" w:num="1">
            <w:col w:w="11402"/>
          </w:cols>
          <w:pgMar w:left="238" w:top="167" w:right="259" w:bottom="0" w:gutter="0" w:footer="0" w:header="0"/>
          <w:type w:val="continuous"/>
        </w:sectPr>
      </w:pPr>
    </w:p>
    <w:bookmarkStart w:id="17" w:name="page18"/>
    <w:bookmarkEnd w:id="17"/>
    <w:p>
      <w:pPr>
        <w:spacing w:after="0" w:line="24"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96" w:lineRule="exact"/>
        <w:rPr>
          <w:sz w:val="20"/>
          <w:szCs w:val="20"/>
          <w:color w:val="auto"/>
        </w:rPr>
      </w:pPr>
    </w:p>
    <w:p>
      <w:pPr>
        <w:ind w:left="2" w:right="300"/>
        <w:spacing w:after="0" w:line="260" w:lineRule="auto"/>
        <w:rPr>
          <w:sz w:val="20"/>
          <w:szCs w:val="20"/>
          <w:color w:val="auto"/>
        </w:rPr>
      </w:pPr>
      <w:r>
        <w:rPr>
          <w:rFonts w:ascii="Arial" w:cs="Arial" w:eastAsia="Arial" w:hAnsi="Arial"/>
          <w:sz w:val="16"/>
          <w:szCs w:val="16"/>
          <w:color w:val="auto"/>
        </w:rPr>
        <w:t>data presented in this form. Although the committee does not target a specific level of total compensation, it considers information similar to that in the table in order to ensure that the sum of these elements is, in its judgment, in a reasonable range. The principal differences between this table and the Summary Compensation Table are explained in footnote 7 below.</w:t>
      </w:r>
      <w:r>
        <w:rPr>
          <w:rFonts w:ascii="Arial" w:cs="Arial" w:eastAsia="Arial" w:hAnsi="Arial"/>
          <w:sz w:val="26"/>
          <w:szCs w:val="26"/>
          <w:color w:val="auto"/>
          <w:vertAlign w:val="superscript"/>
        </w:rPr>
        <w:t>7</w:t>
      </w:r>
    </w:p>
    <w:p>
      <w:pPr>
        <w:spacing w:after="0" w:line="105" w:lineRule="exact"/>
        <w:rPr>
          <w:sz w:val="20"/>
          <w:szCs w:val="20"/>
          <w:color w:val="auto"/>
        </w:rPr>
      </w:pPr>
    </w:p>
    <w:tbl>
      <w:tblPr>
        <w:tblLayout w:type="fixed"/>
        <w:tblInd w:w="1722"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w w:val="98"/>
              </w:rPr>
              <w:t>Equity</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221"/>
        </w:trPr>
        <w:tc>
          <w:tcPr>
            <w:tcW w:w="1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2"/>
                <w:szCs w:val="12"/>
                <w:b w:val="1"/>
                <w:bCs w:val="1"/>
                <w:color w:val="auto"/>
              </w:rPr>
              <w:t>Compensation</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45"/>
        </w:trPr>
        <w:tc>
          <w:tcPr>
            <w:tcW w:w="15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2"/>
                <w:szCs w:val="12"/>
                <w:b w:val="1"/>
                <w:bCs w:val="1"/>
                <w:color w:val="auto"/>
              </w:rPr>
              <w:t>Salary</w:t>
            </w:r>
          </w:p>
        </w:tc>
        <w:tc>
          <w:tcPr>
            <w:tcW w:w="400" w:type="dxa"/>
            <w:vAlign w:val="bottom"/>
          </w:tcPr>
          <w:p>
            <w:pPr>
              <w:spacing w:after="0"/>
              <w:rPr>
                <w:sz w:val="21"/>
                <w:szCs w:val="21"/>
                <w:color w:val="auto"/>
              </w:rPr>
            </w:pPr>
          </w:p>
        </w:tc>
        <w:tc>
          <w:tcPr>
            <w:tcW w:w="560" w:type="dxa"/>
            <w:vAlign w:val="bottom"/>
          </w:tcPr>
          <w:p>
            <w:pPr>
              <w:jc w:val="right"/>
              <w:ind w:right="39"/>
              <w:spacing w:after="0"/>
              <w:rPr>
                <w:sz w:val="20"/>
                <w:szCs w:val="20"/>
                <w:color w:val="auto"/>
              </w:rPr>
            </w:pPr>
            <w:r>
              <w:rPr>
                <w:rFonts w:ascii="Arial" w:cs="Arial" w:eastAsia="Arial" w:hAnsi="Arial"/>
                <w:sz w:val="12"/>
                <w:szCs w:val="12"/>
                <w:b w:val="1"/>
                <w:bCs w:val="1"/>
                <w:color w:val="auto"/>
              </w:rPr>
              <w:t>Profit</w:t>
            </w:r>
          </w:p>
        </w:tc>
        <w:tc>
          <w:tcPr>
            <w:tcW w:w="400" w:type="dxa"/>
            <w:vAlign w:val="bottom"/>
          </w:tcPr>
          <w:p>
            <w:pPr>
              <w:spacing w:after="0"/>
              <w:rPr>
                <w:sz w:val="21"/>
                <w:szCs w:val="21"/>
                <w:color w:val="auto"/>
              </w:rPr>
            </w:pP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(Grant Date</w:t>
            </w: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09"/>
        </w:trPr>
        <w:tc>
          <w:tcPr>
            <w:tcW w:w="1580" w:type="dxa"/>
            <w:vAlign w:val="bottom"/>
            <w:tcBorders>
              <w:bottom w:val="single" w:sz="8" w:color="auto"/>
            </w:tcBorders>
          </w:tcPr>
          <w:p>
            <w:pPr>
              <w:ind w:left="580"/>
              <w:spacing w:after="0"/>
              <w:rPr>
                <w:sz w:val="20"/>
                <w:szCs w:val="20"/>
                <w:color w:val="auto"/>
              </w:rPr>
            </w:pPr>
            <w:r>
              <w:rPr>
                <w:rFonts w:ascii="Arial" w:cs="Arial" w:eastAsia="Arial" w:hAnsi="Arial"/>
                <w:sz w:val="12"/>
                <w:szCs w:val="12"/>
                <w:b w:val="1"/>
                <w:bCs w:val="1"/>
                <w:color w:val="auto"/>
              </w:rPr>
              <w:t>Officer</w:t>
            </w:r>
          </w:p>
        </w:tc>
        <w:tc>
          <w:tcPr>
            <w:tcW w:w="380" w:type="dxa"/>
            <w:vAlign w:val="bottom"/>
          </w:tcPr>
          <w:p>
            <w:pPr>
              <w:spacing w:after="0"/>
              <w:rPr>
                <w:sz w:val="18"/>
                <w:szCs w:val="18"/>
                <w:color w:val="auto"/>
              </w:rPr>
            </w:pPr>
          </w:p>
        </w:tc>
        <w:tc>
          <w:tcPr>
            <w:tcW w:w="42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Year</w:t>
            </w:r>
          </w:p>
        </w:tc>
        <w:tc>
          <w:tcPr>
            <w:tcW w:w="380" w:type="dxa"/>
            <w:vAlign w:val="bottom"/>
          </w:tcPr>
          <w:p>
            <w:pPr>
              <w:spacing w:after="0"/>
              <w:rPr>
                <w:sz w:val="18"/>
                <w:szCs w:val="18"/>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(Annual Rate)</w:t>
            </w:r>
          </w:p>
        </w:tc>
        <w:tc>
          <w:tcPr>
            <w:tcW w:w="4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Sharing</w:t>
            </w:r>
          </w:p>
        </w:tc>
        <w:tc>
          <w:tcPr>
            <w:tcW w:w="4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Fair Value)</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Bonus</w:t>
            </w:r>
          </w:p>
        </w:tc>
        <w:tc>
          <w:tcPr>
            <w:tcW w:w="4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Total</w:t>
            </w:r>
          </w:p>
        </w:tc>
      </w:tr>
      <w:tr>
        <w:trPr>
          <w:trHeight w:val="213"/>
        </w:trPr>
        <w:tc>
          <w:tcPr>
            <w:tcW w:w="1580" w:type="dxa"/>
            <w:vAlign w:val="bottom"/>
            <w:shd w:val="clear" w:color="auto" w:fill="C0C0C0"/>
          </w:tcPr>
          <w:p>
            <w:pPr>
              <w:spacing w:after="0"/>
              <w:rPr>
                <w:sz w:val="20"/>
                <w:szCs w:val="20"/>
                <w:color w:val="auto"/>
              </w:rPr>
            </w:pPr>
            <w:r>
              <w:rPr>
                <w:rFonts w:ascii="Arial" w:cs="Arial" w:eastAsia="Arial" w:hAnsi="Arial"/>
                <w:sz w:val="12"/>
                <w:szCs w:val="12"/>
                <w:color w:val="auto"/>
              </w:rPr>
              <w:t>Mr. Templeton</w:t>
            </w:r>
          </w:p>
        </w:tc>
        <w:tc>
          <w:tcPr>
            <w:tcW w:w="8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2007</w:t>
            </w:r>
          </w:p>
        </w:tc>
        <w:tc>
          <w:tcPr>
            <w:tcW w:w="1240" w:type="dxa"/>
            <w:vAlign w:val="bottom"/>
            <w:gridSpan w:val="2"/>
            <w:shd w:val="clear" w:color="auto" w:fill="C0C0C0"/>
          </w:tcPr>
          <w:p>
            <w:pPr>
              <w:jc w:val="center"/>
              <w:ind w:left="319"/>
              <w:spacing w:after="0"/>
              <w:rPr>
                <w:sz w:val="20"/>
                <w:szCs w:val="20"/>
                <w:color w:val="auto"/>
              </w:rPr>
            </w:pPr>
            <w:r>
              <w:rPr>
                <w:rFonts w:ascii="Arial" w:cs="Arial" w:eastAsia="Arial" w:hAnsi="Arial"/>
                <w:sz w:val="12"/>
                <w:szCs w:val="12"/>
                <w:color w:val="auto"/>
                <w:w w:val="99"/>
              </w:rPr>
              <w:t>$935,040</w:t>
            </w:r>
          </w:p>
        </w:tc>
        <w:tc>
          <w:tcPr>
            <w:tcW w:w="9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$95,822</w:t>
            </w:r>
          </w:p>
        </w:tc>
        <w:tc>
          <w:tcPr>
            <w:tcW w:w="1300" w:type="dxa"/>
            <w:vAlign w:val="bottom"/>
            <w:gridSpan w:val="2"/>
            <w:shd w:val="clear" w:color="auto" w:fill="C0C0C0"/>
          </w:tcPr>
          <w:p>
            <w:pPr>
              <w:ind w:left="540"/>
              <w:spacing w:after="0"/>
              <w:rPr>
                <w:sz w:val="20"/>
                <w:szCs w:val="20"/>
                <w:color w:val="auto"/>
              </w:rPr>
            </w:pPr>
            <w:r>
              <w:rPr>
                <w:rFonts w:ascii="Arial" w:cs="Arial" w:eastAsia="Arial" w:hAnsi="Arial"/>
                <w:sz w:val="12"/>
                <w:szCs w:val="12"/>
                <w:color w:val="auto"/>
              </w:rPr>
              <w:t>$6,864,300</w:t>
            </w:r>
          </w:p>
        </w:tc>
        <w:tc>
          <w:tcPr>
            <w:tcW w:w="4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7"/>
              </w:rPr>
              <w:t>2,300,000</w:t>
            </w:r>
          </w:p>
        </w:tc>
        <w:tc>
          <w:tcPr>
            <w:tcW w:w="48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9"/>
              </w:rPr>
              <w:t>10,195,162</w:t>
            </w:r>
          </w:p>
        </w:tc>
      </w:tr>
      <w:tr>
        <w:trPr>
          <w:trHeight w:val="221"/>
        </w:trPr>
        <w:tc>
          <w:tcPr>
            <w:tcW w:w="1580" w:type="dxa"/>
            <w:vAlign w:val="bottom"/>
            <w:shd w:val="clear" w:color="auto" w:fill="C0C0C0"/>
          </w:tcPr>
          <w:p>
            <w:pPr>
              <w:spacing w:after="0"/>
              <w:rPr>
                <w:sz w:val="19"/>
                <w:szCs w:val="19"/>
                <w:color w:val="auto"/>
              </w:rPr>
            </w:pPr>
          </w:p>
        </w:tc>
        <w:tc>
          <w:tcPr>
            <w:tcW w:w="8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2006</w:t>
            </w:r>
          </w:p>
        </w:tc>
        <w:tc>
          <w:tcPr>
            <w:tcW w:w="1240" w:type="dxa"/>
            <w:vAlign w:val="bottom"/>
            <w:gridSpan w:val="2"/>
            <w:shd w:val="clear" w:color="auto" w:fill="C0C0C0"/>
          </w:tcPr>
          <w:p>
            <w:pPr>
              <w:jc w:val="center"/>
              <w:ind w:left="319"/>
              <w:spacing w:after="0"/>
              <w:rPr>
                <w:sz w:val="20"/>
                <w:szCs w:val="20"/>
                <w:color w:val="auto"/>
              </w:rPr>
            </w:pPr>
            <w:r>
              <w:rPr>
                <w:rFonts w:ascii="Arial" w:cs="Arial" w:eastAsia="Arial" w:hAnsi="Arial"/>
                <w:sz w:val="12"/>
                <w:szCs w:val="12"/>
                <w:color w:val="auto"/>
                <w:w w:val="99"/>
              </w:rPr>
              <w:t>$900,000</w:t>
            </w:r>
          </w:p>
        </w:tc>
        <w:tc>
          <w:tcPr>
            <w:tcW w:w="9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$79,070</w:t>
            </w:r>
          </w:p>
        </w:tc>
        <w:tc>
          <w:tcPr>
            <w:tcW w:w="1300" w:type="dxa"/>
            <w:vAlign w:val="bottom"/>
            <w:gridSpan w:val="2"/>
            <w:shd w:val="clear" w:color="auto" w:fill="C0C0C0"/>
          </w:tcPr>
          <w:p>
            <w:pPr>
              <w:ind w:left="540"/>
              <w:spacing w:after="0"/>
              <w:rPr>
                <w:sz w:val="20"/>
                <w:szCs w:val="20"/>
                <w:color w:val="auto"/>
              </w:rPr>
            </w:pPr>
            <w:r>
              <w:rPr>
                <w:rFonts w:ascii="Arial" w:cs="Arial" w:eastAsia="Arial" w:hAnsi="Arial"/>
                <w:sz w:val="12"/>
                <w:szCs w:val="12"/>
                <w:color w:val="auto"/>
              </w:rPr>
              <w:t>$8,965,500</w:t>
            </w:r>
          </w:p>
        </w:tc>
        <w:tc>
          <w:tcPr>
            <w:tcW w:w="4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7"/>
              </w:rPr>
              <w:t>2,300,000</w:t>
            </w:r>
          </w:p>
        </w:tc>
        <w:tc>
          <w:tcPr>
            <w:tcW w:w="48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9"/>
              </w:rPr>
              <w:t>12,244,570</w:t>
            </w:r>
          </w:p>
        </w:tc>
      </w:tr>
      <w:tr>
        <w:trPr>
          <w:trHeight w:val="232"/>
        </w:trPr>
        <w:tc>
          <w:tcPr>
            <w:tcW w:w="1580" w:type="dxa"/>
            <w:vAlign w:val="bottom"/>
          </w:tcPr>
          <w:p>
            <w:pPr>
              <w:spacing w:after="0"/>
              <w:rPr>
                <w:sz w:val="20"/>
                <w:szCs w:val="20"/>
                <w:color w:val="auto"/>
              </w:rPr>
            </w:pPr>
            <w:r>
              <w:rPr>
                <w:rFonts w:ascii="Arial" w:cs="Arial" w:eastAsia="Arial" w:hAnsi="Arial"/>
                <w:sz w:val="12"/>
                <w:szCs w:val="12"/>
                <w:color w:val="auto"/>
              </w:rPr>
              <w:t>Mr. March</w:t>
            </w:r>
          </w:p>
        </w:tc>
        <w:tc>
          <w:tcPr>
            <w:tcW w:w="800" w:type="dxa"/>
            <w:vAlign w:val="bottom"/>
            <w:gridSpan w:val="2"/>
          </w:tcPr>
          <w:p>
            <w:pPr>
              <w:ind w:left="420"/>
              <w:spacing w:after="0"/>
              <w:rPr>
                <w:sz w:val="20"/>
                <w:szCs w:val="20"/>
                <w:color w:val="auto"/>
              </w:rPr>
            </w:pPr>
            <w:r>
              <w:rPr>
                <w:rFonts w:ascii="Arial" w:cs="Arial" w:eastAsia="Arial" w:hAnsi="Arial"/>
                <w:sz w:val="12"/>
                <w:szCs w:val="12"/>
                <w:color w:val="auto"/>
              </w:rPr>
              <w:t>2007</w:t>
            </w:r>
          </w:p>
        </w:tc>
        <w:tc>
          <w:tcPr>
            <w:tcW w:w="1240" w:type="dxa"/>
            <w:vAlign w:val="bottom"/>
            <w:gridSpan w:val="2"/>
          </w:tcPr>
          <w:p>
            <w:pPr>
              <w:jc w:val="center"/>
              <w:ind w:left="319"/>
              <w:spacing w:after="0"/>
              <w:rPr>
                <w:sz w:val="20"/>
                <w:szCs w:val="20"/>
                <w:color w:val="auto"/>
              </w:rPr>
            </w:pPr>
            <w:r>
              <w:rPr>
                <w:rFonts w:ascii="Arial" w:cs="Arial" w:eastAsia="Arial" w:hAnsi="Arial"/>
                <w:sz w:val="12"/>
                <w:szCs w:val="12"/>
                <w:color w:val="auto"/>
                <w:w w:val="99"/>
              </w:rPr>
              <w:t>$435,000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$44,248</w:t>
            </w:r>
          </w:p>
        </w:tc>
        <w:tc>
          <w:tcPr>
            <w:tcW w:w="1300" w:type="dxa"/>
            <w:vAlign w:val="bottom"/>
            <w:gridSpan w:val="2"/>
          </w:tcPr>
          <w:p>
            <w:pPr>
              <w:ind w:left="540"/>
              <w:spacing w:after="0"/>
              <w:rPr>
                <w:sz w:val="20"/>
                <w:szCs w:val="20"/>
                <w:color w:val="auto"/>
              </w:rPr>
            </w:pPr>
            <w:r>
              <w:rPr>
                <w:rFonts w:ascii="Arial" w:cs="Arial" w:eastAsia="Arial" w:hAnsi="Arial"/>
                <w:sz w:val="12"/>
                <w:szCs w:val="12"/>
                <w:color w:val="auto"/>
              </w:rPr>
              <w:t>$1,814,850</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650,000</w:t>
            </w: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2,944,098</w:t>
            </w:r>
          </w:p>
        </w:tc>
      </w:tr>
      <w:tr>
        <w:trPr>
          <w:trHeight w:val="209"/>
        </w:trPr>
        <w:tc>
          <w:tcPr>
            <w:tcW w:w="158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2"/>
                <w:szCs w:val="12"/>
                <w:color w:val="auto"/>
              </w:rPr>
              <w:t>2006</w:t>
            </w:r>
          </w:p>
        </w:tc>
        <w:tc>
          <w:tcPr>
            <w:tcW w:w="1240" w:type="dxa"/>
            <w:vAlign w:val="bottom"/>
            <w:gridSpan w:val="2"/>
          </w:tcPr>
          <w:p>
            <w:pPr>
              <w:jc w:val="center"/>
              <w:ind w:left="319"/>
              <w:spacing w:after="0"/>
              <w:rPr>
                <w:sz w:val="20"/>
                <w:szCs w:val="20"/>
                <w:color w:val="auto"/>
              </w:rPr>
            </w:pPr>
            <w:r>
              <w:rPr>
                <w:rFonts w:ascii="Arial" w:cs="Arial" w:eastAsia="Arial" w:hAnsi="Arial"/>
                <w:sz w:val="12"/>
                <w:szCs w:val="12"/>
                <w:color w:val="auto"/>
                <w:w w:val="99"/>
              </w:rPr>
              <w:t>$380,160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$33,344</w:t>
            </w:r>
          </w:p>
        </w:tc>
        <w:tc>
          <w:tcPr>
            <w:tcW w:w="1300" w:type="dxa"/>
            <w:vAlign w:val="bottom"/>
            <w:gridSpan w:val="2"/>
          </w:tcPr>
          <w:p>
            <w:pPr>
              <w:ind w:left="540"/>
              <w:spacing w:after="0"/>
              <w:rPr>
                <w:sz w:val="20"/>
                <w:szCs w:val="20"/>
                <w:color w:val="auto"/>
              </w:rPr>
            </w:pPr>
            <w:r>
              <w:rPr>
                <w:rFonts w:ascii="Arial" w:cs="Arial" w:eastAsia="Arial" w:hAnsi="Arial"/>
                <w:sz w:val="12"/>
                <w:szCs w:val="12"/>
                <w:color w:val="auto"/>
              </w:rPr>
              <w:t>$1,970,850</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650,000</w:t>
            </w: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3,034,354</w:t>
            </w:r>
          </w:p>
        </w:tc>
      </w:tr>
      <w:tr>
        <w:trPr>
          <w:trHeight w:val="221"/>
        </w:trPr>
        <w:tc>
          <w:tcPr>
            <w:tcW w:w="1580" w:type="dxa"/>
            <w:vAlign w:val="bottom"/>
            <w:shd w:val="clear" w:color="auto" w:fill="C0C0C0"/>
          </w:tcPr>
          <w:p>
            <w:pPr>
              <w:spacing w:after="0"/>
              <w:rPr>
                <w:sz w:val="20"/>
                <w:szCs w:val="20"/>
                <w:color w:val="auto"/>
              </w:rPr>
            </w:pPr>
            <w:r>
              <w:rPr>
                <w:rFonts w:ascii="Arial" w:cs="Arial" w:eastAsia="Arial" w:hAnsi="Arial"/>
                <w:sz w:val="12"/>
                <w:szCs w:val="12"/>
                <w:color w:val="auto"/>
              </w:rPr>
              <w:t>Mr. Engibous</w:t>
            </w:r>
          </w:p>
        </w:tc>
        <w:tc>
          <w:tcPr>
            <w:tcW w:w="8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2007</w:t>
            </w:r>
          </w:p>
        </w:tc>
        <w:tc>
          <w:tcPr>
            <w:tcW w:w="1240" w:type="dxa"/>
            <w:vAlign w:val="bottom"/>
            <w:gridSpan w:val="2"/>
            <w:shd w:val="clear" w:color="auto" w:fill="C0C0C0"/>
          </w:tcPr>
          <w:p>
            <w:pPr>
              <w:jc w:val="center"/>
              <w:ind w:left="319"/>
              <w:spacing w:after="0"/>
              <w:rPr>
                <w:sz w:val="20"/>
                <w:szCs w:val="20"/>
                <w:color w:val="auto"/>
              </w:rPr>
            </w:pPr>
            <w:r>
              <w:rPr>
                <w:rFonts w:ascii="Arial" w:cs="Arial" w:eastAsia="Arial" w:hAnsi="Arial"/>
                <w:sz w:val="12"/>
                <w:szCs w:val="12"/>
                <w:color w:val="auto"/>
                <w:w w:val="99"/>
              </w:rPr>
              <w:t>$300,000</w:t>
            </w:r>
          </w:p>
        </w:tc>
        <w:tc>
          <w:tcPr>
            <w:tcW w:w="9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$31,354</w:t>
            </w:r>
          </w:p>
        </w:tc>
        <w:tc>
          <w:tcPr>
            <w:tcW w:w="1300" w:type="dxa"/>
            <w:vAlign w:val="bottom"/>
            <w:gridSpan w:val="2"/>
            <w:shd w:val="clear" w:color="auto" w:fill="C0C0C0"/>
          </w:tcPr>
          <w:p>
            <w:pPr>
              <w:ind w:left="540"/>
              <w:spacing w:after="0"/>
              <w:rPr>
                <w:sz w:val="20"/>
                <w:szCs w:val="20"/>
                <w:color w:val="auto"/>
              </w:rPr>
            </w:pPr>
            <w:r>
              <w:rPr>
                <w:rFonts w:ascii="Arial" w:cs="Arial" w:eastAsia="Arial" w:hAnsi="Arial"/>
                <w:sz w:val="12"/>
                <w:szCs w:val="12"/>
                <w:color w:val="auto"/>
              </w:rPr>
              <w:t>$1,162,800</w:t>
            </w:r>
          </w:p>
        </w:tc>
        <w:tc>
          <w:tcPr>
            <w:tcW w:w="4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400,000</w:t>
            </w:r>
          </w:p>
        </w:tc>
        <w:tc>
          <w:tcPr>
            <w:tcW w:w="48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1,894,154</w:t>
            </w:r>
          </w:p>
        </w:tc>
      </w:tr>
      <w:tr>
        <w:trPr>
          <w:trHeight w:val="221"/>
        </w:trPr>
        <w:tc>
          <w:tcPr>
            <w:tcW w:w="1580" w:type="dxa"/>
            <w:vAlign w:val="bottom"/>
            <w:shd w:val="clear" w:color="auto" w:fill="C0C0C0"/>
          </w:tcPr>
          <w:p>
            <w:pPr>
              <w:spacing w:after="0"/>
              <w:rPr>
                <w:sz w:val="19"/>
                <w:szCs w:val="19"/>
                <w:color w:val="auto"/>
              </w:rPr>
            </w:pPr>
          </w:p>
        </w:tc>
        <w:tc>
          <w:tcPr>
            <w:tcW w:w="8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2006</w:t>
            </w:r>
          </w:p>
        </w:tc>
        <w:tc>
          <w:tcPr>
            <w:tcW w:w="1240" w:type="dxa"/>
            <w:vAlign w:val="bottom"/>
            <w:gridSpan w:val="2"/>
            <w:shd w:val="clear" w:color="auto" w:fill="C0C0C0"/>
          </w:tcPr>
          <w:p>
            <w:pPr>
              <w:jc w:val="center"/>
              <w:ind w:left="319"/>
              <w:spacing w:after="0"/>
              <w:rPr>
                <w:sz w:val="20"/>
                <w:szCs w:val="20"/>
                <w:color w:val="auto"/>
              </w:rPr>
            </w:pPr>
            <w:r>
              <w:rPr>
                <w:rFonts w:ascii="Arial" w:cs="Arial" w:eastAsia="Arial" w:hAnsi="Arial"/>
                <w:sz w:val="12"/>
                <w:szCs w:val="12"/>
                <w:color w:val="auto"/>
                <w:w w:val="99"/>
              </w:rPr>
              <w:t>$360,000</w:t>
            </w:r>
          </w:p>
        </w:tc>
        <w:tc>
          <w:tcPr>
            <w:tcW w:w="9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$31,606</w:t>
            </w:r>
          </w:p>
        </w:tc>
        <w:tc>
          <w:tcPr>
            <w:tcW w:w="1300" w:type="dxa"/>
            <w:vAlign w:val="bottom"/>
            <w:gridSpan w:val="2"/>
            <w:shd w:val="clear" w:color="auto" w:fill="C0C0C0"/>
          </w:tcPr>
          <w:p>
            <w:pPr>
              <w:ind w:left="540"/>
              <w:spacing w:after="0"/>
              <w:rPr>
                <w:sz w:val="20"/>
                <w:szCs w:val="20"/>
                <w:color w:val="auto"/>
              </w:rPr>
            </w:pPr>
            <w:r>
              <w:rPr>
                <w:rFonts w:ascii="Arial" w:cs="Arial" w:eastAsia="Arial" w:hAnsi="Arial"/>
                <w:sz w:val="12"/>
                <w:szCs w:val="12"/>
                <w:color w:val="auto"/>
              </w:rPr>
              <w:t>$3,199,500</w:t>
            </w:r>
          </w:p>
        </w:tc>
        <w:tc>
          <w:tcPr>
            <w:tcW w:w="4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400,000</w:t>
            </w:r>
          </w:p>
        </w:tc>
        <w:tc>
          <w:tcPr>
            <w:tcW w:w="48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3,991,106</w:t>
            </w:r>
          </w:p>
        </w:tc>
      </w:tr>
      <w:tr>
        <w:trPr>
          <w:trHeight w:val="232"/>
        </w:trPr>
        <w:tc>
          <w:tcPr>
            <w:tcW w:w="1580" w:type="dxa"/>
            <w:vAlign w:val="bottom"/>
          </w:tcPr>
          <w:p>
            <w:pPr>
              <w:spacing w:after="0"/>
              <w:rPr>
                <w:sz w:val="20"/>
                <w:szCs w:val="20"/>
                <w:color w:val="auto"/>
              </w:rPr>
            </w:pPr>
            <w:r>
              <w:rPr>
                <w:rFonts w:ascii="Arial" w:cs="Arial" w:eastAsia="Arial" w:hAnsi="Arial"/>
                <w:sz w:val="12"/>
                <w:szCs w:val="12"/>
                <w:color w:val="auto"/>
              </w:rPr>
              <w:t>Mr. Lowe</w:t>
            </w:r>
          </w:p>
        </w:tc>
        <w:tc>
          <w:tcPr>
            <w:tcW w:w="800" w:type="dxa"/>
            <w:vAlign w:val="bottom"/>
            <w:gridSpan w:val="2"/>
          </w:tcPr>
          <w:p>
            <w:pPr>
              <w:ind w:left="420"/>
              <w:spacing w:after="0"/>
              <w:rPr>
                <w:sz w:val="20"/>
                <w:szCs w:val="20"/>
                <w:color w:val="auto"/>
              </w:rPr>
            </w:pPr>
            <w:r>
              <w:rPr>
                <w:rFonts w:ascii="Arial" w:cs="Arial" w:eastAsia="Arial" w:hAnsi="Arial"/>
                <w:sz w:val="12"/>
                <w:szCs w:val="12"/>
                <w:color w:val="auto"/>
              </w:rPr>
              <w:t>2007</w:t>
            </w:r>
          </w:p>
        </w:tc>
        <w:tc>
          <w:tcPr>
            <w:tcW w:w="1240" w:type="dxa"/>
            <w:vAlign w:val="bottom"/>
            <w:gridSpan w:val="2"/>
          </w:tcPr>
          <w:p>
            <w:pPr>
              <w:jc w:val="center"/>
              <w:ind w:left="319"/>
              <w:spacing w:after="0"/>
              <w:rPr>
                <w:sz w:val="20"/>
                <w:szCs w:val="20"/>
                <w:color w:val="auto"/>
              </w:rPr>
            </w:pPr>
            <w:r>
              <w:rPr>
                <w:rFonts w:ascii="Arial" w:cs="Arial" w:eastAsia="Arial" w:hAnsi="Arial"/>
                <w:sz w:val="12"/>
                <w:szCs w:val="12"/>
                <w:color w:val="auto"/>
                <w:w w:val="99"/>
              </w:rPr>
              <w:t>$505,020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$51,661</w:t>
            </w:r>
          </w:p>
        </w:tc>
        <w:tc>
          <w:tcPr>
            <w:tcW w:w="1300" w:type="dxa"/>
            <w:vAlign w:val="bottom"/>
            <w:gridSpan w:val="2"/>
          </w:tcPr>
          <w:p>
            <w:pPr>
              <w:ind w:left="540"/>
              <w:spacing w:after="0"/>
              <w:rPr>
                <w:sz w:val="20"/>
                <w:szCs w:val="20"/>
                <w:color w:val="auto"/>
              </w:rPr>
            </w:pPr>
            <w:r>
              <w:rPr>
                <w:rFonts w:ascii="Arial" w:cs="Arial" w:eastAsia="Arial" w:hAnsi="Arial"/>
                <w:sz w:val="12"/>
                <w:szCs w:val="12"/>
                <w:color w:val="auto"/>
              </w:rPr>
              <w:t>$2,668,200</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w w:val="97"/>
              </w:rPr>
              <w:t>1,100,000</w:t>
            </w: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4,324,881</w:t>
            </w:r>
          </w:p>
        </w:tc>
      </w:tr>
      <w:tr>
        <w:trPr>
          <w:trHeight w:val="209"/>
        </w:trPr>
        <w:tc>
          <w:tcPr>
            <w:tcW w:w="1580" w:type="dxa"/>
            <w:vAlign w:val="bottom"/>
          </w:tcPr>
          <w:p>
            <w:pPr>
              <w:spacing w:after="0"/>
              <w:rPr>
                <w:sz w:val="18"/>
                <w:szCs w:val="18"/>
                <w:color w:val="auto"/>
              </w:rPr>
            </w:pPr>
          </w:p>
        </w:tc>
        <w:tc>
          <w:tcPr>
            <w:tcW w:w="800" w:type="dxa"/>
            <w:vAlign w:val="bottom"/>
            <w:gridSpan w:val="2"/>
          </w:tcPr>
          <w:p>
            <w:pPr>
              <w:ind w:left="420"/>
              <w:spacing w:after="0" w:line="209" w:lineRule="exact"/>
              <w:rPr>
                <w:sz w:val="20"/>
                <w:szCs w:val="20"/>
                <w:color w:val="auto"/>
              </w:rPr>
            </w:pPr>
            <w:r>
              <w:rPr>
                <w:rFonts w:ascii="Arial" w:cs="Arial" w:eastAsia="Arial" w:hAnsi="Arial"/>
                <w:sz w:val="12"/>
                <w:szCs w:val="12"/>
                <w:color w:val="auto"/>
              </w:rPr>
              <w:t>2006</w:t>
            </w:r>
            <w:r>
              <w:rPr>
                <w:rFonts w:ascii="Arial" w:cs="Arial" w:eastAsia="Arial" w:hAnsi="Arial"/>
                <w:sz w:val="24"/>
                <w:szCs w:val="24"/>
                <w:color w:val="auto"/>
                <w:vertAlign w:val="superscript"/>
              </w:rPr>
              <w:t>*</w:t>
            </w:r>
          </w:p>
        </w:tc>
        <w:tc>
          <w:tcPr>
            <w:tcW w:w="1240" w:type="dxa"/>
            <w:vAlign w:val="bottom"/>
            <w:gridSpan w:val="2"/>
          </w:tcPr>
          <w:p>
            <w:pPr>
              <w:jc w:val="center"/>
              <w:ind w:left="319"/>
              <w:spacing w:after="0"/>
              <w:rPr>
                <w:sz w:val="20"/>
                <w:szCs w:val="20"/>
                <w:color w:val="auto"/>
              </w:rPr>
            </w:pPr>
            <w:r>
              <w:rPr>
                <w:rFonts w:ascii="Arial" w:cs="Arial" w:eastAsia="Arial" w:hAnsi="Arial"/>
                <w:sz w:val="12"/>
                <w:szCs w:val="12"/>
                <w:color w:val="auto"/>
                <w:w w:val="99"/>
              </w:rPr>
              <w:t>$475,200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$39,730</w:t>
            </w:r>
          </w:p>
        </w:tc>
        <w:tc>
          <w:tcPr>
            <w:tcW w:w="1300" w:type="dxa"/>
            <w:vAlign w:val="bottom"/>
            <w:gridSpan w:val="2"/>
          </w:tcPr>
          <w:p>
            <w:pPr>
              <w:ind w:left="540"/>
              <w:spacing w:after="0"/>
              <w:rPr>
                <w:sz w:val="20"/>
                <w:szCs w:val="20"/>
                <w:color w:val="auto"/>
              </w:rPr>
            </w:pPr>
            <w:r>
              <w:rPr>
                <w:rFonts w:ascii="Arial" w:cs="Arial" w:eastAsia="Arial" w:hAnsi="Arial"/>
                <w:sz w:val="12"/>
                <w:szCs w:val="12"/>
                <w:color w:val="auto"/>
              </w:rPr>
              <w:t>$5,712,000</w:t>
            </w:r>
          </w:p>
        </w:tc>
        <w:tc>
          <w:tcPr>
            <w:tcW w:w="4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w w:val="97"/>
              </w:rPr>
              <w:t>1,100,000</w:t>
            </w:r>
          </w:p>
        </w:tc>
        <w:tc>
          <w:tcPr>
            <w:tcW w:w="4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7,326,930</w:t>
            </w:r>
          </w:p>
        </w:tc>
      </w:tr>
      <w:tr>
        <w:trPr>
          <w:trHeight w:val="221"/>
        </w:trPr>
        <w:tc>
          <w:tcPr>
            <w:tcW w:w="1580" w:type="dxa"/>
            <w:vAlign w:val="bottom"/>
            <w:shd w:val="clear" w:color="auto" w:fill="C0C0C0"/>
          </w:tcPr>
          <w:p>
            <w:pPr>
              <w:spacing w:after="0"/>
              <w:rPr>
                <w:sz w:val="20"/>
                <w:szCs w:val="20"/>
                <w:color w:val="auto"/>
              </w:rPr>
            </w:pPr>
            <w:r>
              <w:rPr>
                <w:rFonts w:ascii="Arial" w:cs="Arial" w:eastAsia="Arial" w:hAnsi="Arial"/>
                <w:sz w:val="12"/>
                <w:szCs w:val="12"/>
                <w:color w:val="auto"/>
              </w:rPr>
              <w:t>Mr. Hames</w:t>
            </w:r>
          </w:p>
        </w:tc>
        <w:tc>
          <w:tcPr>
            <w:tcW w:w="8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2007</w:t>
            </w:r>
          </w:p>
        </w:tc>
        <w:tc>
          <w:tcPr>
            <w:tcW w:w="1240" w:type="dxa"/>
            <w:vAlign w:val="bottom"/>
            <w:gridSpan w:val="2"/>
            <w:shd w:val="clear" w:color="auto" w:fill="C0C0C0"/>
          </w:tcPr>
          <w:p>
            <w:pPr>
              <w:jc w:val="center"/>
              <w:ind w:left="319"/>
              <w:spacing w:after="0"/>
              <w:rPr>
                <w:sz w:val="20"/>
                <w:szCs w:val="20"/>
                <w:color w:val="auto"/>
              </w:rPr>
            </w:pPr>
            <w:r>
              <w:rPr>
                <w:rFonts w:ascii="Arial" w:cs="Arial" w:eastAsia="Arial" w:hAnsi="Arial"/>
                <w:sz w:val="12"/>
                <w:szCs w:val="12"/>
                <w:color w:val="auto"/>
                <w:w w:val="99"/>
              </w:rPr>
              <w:t>$450,000</w:t>
            </w:r>
          </w:p>
        </w:tc>
        <w:tc>
          <w:tcPr>
            <w:tcW w:w="9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$46,132</w:t>
            </w:r>
          </w:p>
        </w:tc>
        <w:tc>
          <w:tcPr>
            <w:tcW w:w="1300" w:type="dxa"/>
            <w:vAlign w:val="bottom"/>
            <w:gridSpan w:val="2"/>
            <w:shd w:val="clear" w:color="auto" w:fill="C0C0C0"/>
          </w:tcPr>
          <w:p>
            <w:pPr>
              <w:ind w:left="540"/>
              <w:spacing w:after="0"/>
              <w:rPr>
                <w:sz w:val="20"/>
                <w:szCs w:val="20"/>
                <w:color w:val="auto"/>
              </w:rPr>
            </w:pPr>
            <w:r>
              <w:rPr>
                <w:rFonts w:ascii="Arial" w:cs="Arial" w:eastAsia="Arial" w:hAnsi="Arial"/>
                <w:sz w:val="12"/>
                <w:szCs w:val="12"/>
                <w:color w:val="auto"/>
              </w:rPr>
              <w:t>$2,001,150</w:t>
            </w:r>
          </w:p>
        </w:tc>
        <w:tc>
          <w:tcPr>
            <w:tcW w:w="4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750,000</w:t>
            </w:r>
          </w:p>
        </w:tc>
        <w:tc>
          <w:tcPr>
            <w:tcW w:w="48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3,247,282</w:t>
            </w:r>
          </w:p>
        </w:tc>
      </w:tr>
      <w:tr>
        <w:trPr>
          <w:trHeight w:val="221"/>
        </w:trPr>
        <w:tc>
          <w:tcPr>
            <w:tcW w:w="1580" w:type="dxa"/>
            <w:vAlign w:val="bottom"/>
            <w:shd w:val="clear" w:color="auto" w:fill="C0C0C0"/>
          </w:tcPr>
          <w:p>
            <w:pPr>
              <w:spacing w:after="0"/>
              <w:rPr>
                <w:sz w:val="19"/>
                <w:szCs w:val="19"/>
                <w:color w:val="auto"/>
              </w:rPr>
            </w:pPr>
          </w:p>
        </w:tc>
        <w:tc>
          <w:tcPr>
            <w:tcW w:w="8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2006</w:t>
            </w:r>
          </w:p>
        </w:tc>
        <w:tc>
          <w:tcPr>
            <w:tcW w:w="1240" w:type="dxa"/>
            <w:vAlign w:val="bottom"/>
            <w:gridSpan w:val="2"/>
            <w:shd w:val="clear" w:color="auto" w:fill="C0C0C0"/>
          </w:tcPr>
          <w:p>
            <w:pPr>
              <w:jc w:val="center"/>
              <w:ind w:left="319"/>
              <w:spacing w:after="0"/>
              <w:rPr>
                <w:sz w:val="20"/>
                <w:szCs w:val="20"/>
                <w:color w:val="auto"/>
              </w:rPr>
            </w:pPr>
            <w:r>
              <w:rPr>
                <w:rFonts w:ascii="Arial" w:cs="Arial" w:eastAsia="Arial" w:hAnsi="Arial"/>
                <w:sz w:val="12"/>
                <w:szCs w:val="12"/>
                <w:color w:val="auto"/>
                <w:w w:val="99"/>
              </w:rPr>
              <w:t>$435,000</w:t>
            </w:r>
          </w:p>
        </w:tc>
        <w:tc>
          <w:tcPr>
            <w:tcW w:w="9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$38,213</w:t>
            </w:r>
          </w:p>
        </w:tc>
        <w:tc>
          <w:tcPr>
            <w:tcW w:w="1300" w:type="dxa"/>
            <w:vAlign w:val="bottom"/>
            <w:gridSpan w:val="2"/>
            <w:shd w:val="clear" w:color="auto" w:fill="C0C0C0"/>
          </w:tcPr>
          <w:p>
            <w:pPr>
              <w:ind w:left="540"/>
              <w:spacing w:after="0"/>
              <w:rPr>
                <w:sz w:val="20"/>
                <w:szCs w:val="20"/>
                <w:color w:val="auto"/>
              </w:rPr>
            </w:pPr>
            <w:r>
              <w:rPr>
                <w:rFonts w:ascii="Arial" w:cs="Arial" w:eastAsia="Arial" w:hAnsi="Arial"/>
                <w:sz w:val="12"/>
                <w:szCs w:val="12"/>
                <w:color w:val="auto"/>
              </w:rPr>
              <w:t>$2,554,000</w:t>
            </w:r>
          </w:p>
        </w:tc>
        <w:tc>
          <w:tcPr>
            <w:tcW w:w="4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750,000</w:t>
            </w:r>
          </w:p>
        </w:tc>
        <w:tc>
          <w:tcPr>
            <w:tcW w:w="48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3,777,213</w:t>
            </w:r>
          </w:p>
        </w:tc>
      </w:tr>
    </w:tbl>
    <w:p>
      <w:pPr>
        <w:spacing w:after="0" w:line="201" w:lineRule="exact"/>
        <w:rPr>
          <w:sz w:val="20"/>
          <w:szCs w:val="20"/>
          <w:color w:val="auto"/>
        </w:rPr>
      </w:pPr>
    </w:p>
    <w:p>
      <w:pPr>
        <w:ind w:left="2"/>
        <w:spacing w:after="0"/>
        <w:rPr>
          <w:sz w:val="20"/>
          <w:szCs w:val="20"/>
          <w:color w:val="auto"/>
        </w:rPr>
      </w:pPr>
      <w:r>
        <w:rPr>
          <w:rFonts w:ascii="Arial" w:cs="Arial" w:eastAsia="Arial" w:hAnsi="Arial"/>
          <w:sz w:val="20"/>
          <w:szCs w:val="20"/>
          <w:color w:val="auto"/>
        </w:rPr>
        <w:t>____________________</w:t>
      </w:r>
    </w:p>
    <w:p>
      <w:pPr>
        <w:spacing w:after="0" w:line="233" w:lineRule="exact"/>
        <w:rPr>
          <w:sz w:val="20"/>
          <w:szCs w:val="20"/>
          <w:color w:val="auto"/>
        </w:rPr>
      </w:pPr>
    </w:p>
    <w:p>
      <w:pPr>
        <w:ind w:left="322" w:right="60" w:hanging="322"/>
        <w:spacing w:after="0" w:line="245" w:lineRule="auto"/>
        <w:tabs>
          <w:tab w:leader="none" w:pos="32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June 2006, Mr. Lowe received a salary increase and a retention grant of restricted stock units in connection with his assuming additional responsibilities. For 2006, the amounts in the table are: his annual rate of salary as adjusted in June 2006; profit sharing for 2006; grant date fair value of all awards received in 2006; and bonus for 2006.</w:t>
      </w:r>
    </w:p>
    <w:p>
      <w:pPr>
        <w:spacing w:after="0" w:line="184" w:lineRule="exact"/>
        <w:rPr>
          <w:sz w:val="20"/>
          <w:szCs w:val="20"/>
          <w:color w:val="auto"/>
        </w:rPr>
      </w:pPr>
    </w:p>
    <w:p>
      <w:pPr>
        <w:ind w:left="2"/>
        <w:spacing w:after="0" w:line="242" w:lineRule="auto"/>
        <w:rPr>
          <w:sz w:val="20"/>
          <w:szCs w:val="20"/>
          <w:color w:val="auto"/>
        </w:rPr>
      </w:pPr>
      <w:r>
        <w:rPr>
          <w:rFonts w:ascii="Arial" w:cs="Arial" w:eastAsia="Arial" w:hAnsi="Arial"/>
          <w:sz w:val="16"/>
          <w:szCs w:val="16"/>
          <w:color w:val="auto"/>
        </w:rPr>
        <w:t>For each of the officers, the decline in the total shown in this table from 2006 to 2007 is primarily due to the lower grant date fair value of the equity compensation awards in 2007. The lower grant date fair value in 2007 for each of the officers other than Messrs. Engibous and Lowe is primarily due to the lower fair market value of TI common stock on the date of the annual grant of equity compensation in 2007 as compared to 2006. For Mr. Lowe, the lower grant-date fair value in 2007 is primarily due to a retention grant that he received in 2006. For Mr. Engibous, the lower grant date fair value in 2007 is primarily due to the lower number of shares under his option grant in 2007 as compared to the option grant in 2006.</w:t>
      </w:r>
    </w:p>
    <w:p>
      <w:pPr>
        <w:spacing w:after="0" w:line="167"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Equity Dilution</w:t>
      </w:r>
    </w:p>
    <w:p>
      <w:pPr>
        <w:spacing w:after="0" w:line="216" w:lineRule="exact"/>
        <w:rPr>
          <w:sz w:val="20"/>
          <w:szCs w:val="20"/>
          <w:color w:val="auto"/>
        </w:rPr>
      </w:pPr>
    </w:p>
    <w:p>
      <w:pPr>
        <w:jc w:val="both"/>
        <w:ind w:left="2" w:right="100"/>
        <w:spacing w:after="0" w:line="245" w:lineRule="auto"/>
        <w:rPr>
          <w:sz w:val="20"/>
          <w:szCs w:val="20"/>
          <w:color w:val="auto"/>
        </w:rPr>
      </w:pPr>
      <w:r>
        <w:rPr>
          <w:rFonts w:ascii="Arial" w:cs="Arial" w:eastAsia="Arial" w:hAnsi="Arial"/>
          <w:sz w:val="16"/>
          <w:szCs w:val="16"/>
          <w:color w:val="auto"/>
        </w:rPr>
        <w:t>The Compensation Committee’s goal is to keep net annual dilution from equity compensation under 2 percent. “Net annual dilution” means the number of shares under equity awards granted by the committee each year to all employees (net of award forfeitures) as a percentage of the shares of the company’s outstanding common stock. Equity awards granted by the committee in 2007 resulted in net annual dilution of 0.7 percent.</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Policy on Equity Grant Timing</w:t>
      </w:r>
    </w:p>
    <w:p>
      <w:pPr>
        <w:spacing w:after="0" w:line="216" w:lineRule="exact"/>
        <w:rPr>
          <w:sz w:val="20"/>
          <w:szCs w:val="20"/>
          <w:color w:val="auto"/>
        </w:rPr>
      </w:pPr>
    </w:p>
    <w:p>
      <w:pPr>
        <w:ind w:left="2" w:right="80"/>
        <w:spacing w:after="0" w:line="245" w:lineRule="auto"/>
        <w:rPr>
          <w:sz w:val="20"/>
          <w:szCs w:val="20"/>
          <w:color w:val="auto"/>
        </w:rPr>
      </w:pPr>
      <w:r>
        <w:rPr>
          <w:rFonts w:ascii="Arial" w:cs="Arial" w:eastAsia="Arial" w:hAnsi="Arial"/>
          <w:sz w:val="16"/>
          <w:szCs w:val="16"/>
          <w:color w:val="auto"/>
        </w:rPr>
        <w:t>The Compensation Committee makes grant decisions for equity compensation at its January meeting each year. The dates on which these meetings occur are generally set three years in advance. The January meetings of the board and the committee generally occur in the week or two before we announce our financial results for the previous quarter and year.</w:t>
      </w:r>
    </w:p>
    <w:p>
      <w:pPr>
        <w:spacing w:after="0" w:line="162" w:lineRule="exact"/>
        <w:rPr>
          <w:sz w:val="20"/>
          <w:szCs w:val="20"/>
          <w:color w:val="auto"/>
        </w:rPr>
      </w:pPr>
    </w:p>
    <w:p>
      <w:pPr>
        <w:ind w:left="2"/>
        <w:spacing w:after="0"/>
        <w:rPr>
          <w:sz w:val="20"/>
          <w:szCs w:val="20"/>
          <w:color w:val="auto"/>
        </w:rPr>
      </w:pPr>
      <w:r>
        <w:rPr>
          <w:rFonts w:ascii="Arial" w:cs="Arial" w:eastAsia="Arial" w:hAnsi="Arial"/>
          <w:sz w:val="20"/>
          <w:szCs w:val="20"/>
          <w:color w:val="auto"/>
        </w:rPr>
        <w:t>____________________</w:t>
      </w:r>
    </w:p>
    <w:p>
      <w:pPr>
        <w:spacing w:after="0" w:line="209" w:lineRule="exact"/>
        <w:rPr>
          <w:sz w:val="20"/>
          <w:szCs w:val="20"/>
          <w:color w:val="auto"/>
        </w:rPr>
      </w:pPr>
    </w:p>
    <w:p>
      <w:pPr>
        <w:ind w:left="322" w:right="20" w:hanging="322"/>
        <w:spacing w:after="0" w:line="223" w:lineRule="auto"/>
        <w:tabs>
          <w:tab w:leader="none" w:pos="322" w:val="left"/>
        </w:tabs>
        <w:numPr>
          <w:ilvl w:val="0"/>
          <w:numId w:val="23"/>
        </w:numPr>
        <w:rPr>
          <w:rFonts w:ascii="Arial" w:cs="Arial" w:eastAsia="Arial" w:hAnsi="Arial"/>
          <w:sz w:val="25"/>
          <w:szCs w:val="25"/>
          <w:color w:val="auto"/>
          <w:vertAlign w:val="superscript"/>
        </w:rPr>
      </w:pPr>
      <w:r>
        <w:rPr>
          <w:rFonts w:ascii="Arial" w:cs="Arial" w:eastAsia="Arial" w:hAnsi="Arial"/>
          <w:sz w:val="16"/>
          <w:szCs w:val="16"/>
          <w:color w:val="auto"/>
        </w:rPr>
        <w:t>This table shows the annual rate of base salary as set by the committee (effective in February of the year). In the Summary Compensation Table, the “Salary” column shows the actual salary paid in the year. This table has separate columns for profit sharing and bonus. In the Summary Compensation Table, profit sharing and bonus are aggregated in the column for “Non-Equity Incentive Plan Compensation,” in accordance with SEC requirements. This table shows the grant date fair value of equity compensation awarded in the year. Please see note 3 to the Grants of Plan-Based Awards in 2007 table for information about how grant-date fair value was calculated. In the Summary Compensation Table, the “Stock Awards” and “Option Awards” columns show the expense recognized in the company’s financial statements for the year under SFAS 123(R) and include past restricted stock unit and stock option grants held by the officer.</w:t>
      </w:r>
    </w:p>
    <w:p>
      <w:pPr>
        <w:spacing w:after="0" w:line="200" w:lineRule="exact"/>
        <w:rPr>
          <w:sz w:val="20"/>
          <w:szCs w:val="20"/>
          <w:color w:val="auto"/>
        </w:rPr>
      </w:pPr>
    </w:p>
    <w:p>
      <w:pPr>
        <w:spacing w:after="0" w:line="210" w:lineRule="exact"/>
        <w:rPr>
          <w:sz w:val="20"/>
          <w:szCs w:val="20"/>
          <w:color w:val="auto"/>
        </w:rPr>
      </w:pPr>
    </w:p>
    <w:p>
      <w:pPr>
        <w:jc w:val="center"/>
        <w:ind w:right="-41"/>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96" w:lineRule="exact"/>
        <w:rPr>
          <w:sz w:val="20"/>
          <w:szCs w:val="20"/>
          <w:color w:val="auto"/>
        </w:rPr>
      </w:pPr>
    </w:p>
    <w:p>
      <w:pPr>
        <w:ind w:left="2" w:right="40"/>
        <w:spacing w:after="0" w:line="250" w:lineRule="auto"/>
        <w:rPr>
          <w:sz w:val="20"/>
          <w:szCs w:val="20"/>
          <w:color w:val="auto"/>
        </w:rPr>
      </w:pPr>
      <w:r>
        <w:rPr>
          <w:rFonts w:ascii="Arial" w:cs="Arial" w:eastAsia="Arial" w:hAnsi="Arial"/>
          <w:sz w:val="16"/>
          <w:szCs w:val="16"/>
          <w:color w:val="auto"/>
        </w:rPr>
        <w:t>On occasion, the committee may grant stock options or restricted stock units to executives at times other than January. For example, it has done so in connection with job promotions and for purposes of retention.</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6"/>
          <w:szCs w:val="16"/>
          <w:color w:val="auto"/>
        </w:rPr>
        <w:t>We do not back-date stock options or restricted stock units. We do not accelerate or delay the release of information due to plans for making equity grants.</w:t>
      </w:r>
    </w:p>
    <w:p>
      <w:pPr>
        <w:spacing w:after="0" w:line="196" w:lineRule="exact"/>
        <w:rPr>
          <w:sz w:val="20"/>
          <w:szCs w:val="20"/>
          <w:color w:val="auto"/>
        </w:rPr>
      </w:pPr>
    </w:p>
    <w:p>
      <w:pPr>
        <w:ind w:left="2" w:right="140"/>
        <w:spacing w:after="0" w:line="241" w:lineRule="auto"/>
        <w:rPr>
          <w:sz w:val="20"/>
          <w:szCs w:val="20"/>
          <w:color w:val="auto"/>
        </w:rPr>
      </w:pPr>
      <w:r>
        <w:rPr>
          <w:rFonts w:ascii="Arial" w:cs="Arial" w:eastAsia="Arial" w:hAnsi="Arial"/>
          <w:sz w:val="16"/>
          <w:szCs w:val="16"/>
          <w:color w:val="auto"/>
        </w:rPr>
        <w:t>The Compensation Committee reviewed in 2007 its long-standing grant practices and considered whether changes would be appropriate to conform to the emerging consensus about best practices. As a result of the review, the committee decided in July 2007 to change its practices for future grants. Beginning in January 2008, if the Compensation Committee meeting falls in the same month as the release of the company’s financial results, the grants approved at the meeting will be made effective on the later of (i) the meeting day or (ii) the third trading day after the release of results. Otherwise they will be made effective on the day of committee action. Previously all grants were made effective on the day of committee action. The exercise price of stock options will continue to be the closing price of TI stock on the effective date of the grant.</w:t>
      </w:r>
    </w:p>
    <w:p>
      <w:pPr>
        <w:spacing w:after="0" w:line="170"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Benefits</w:t>
      </w:r>
    </w:p>
    <w:p>
      <w:pPr>
        <w:spacing w:after="0" w:line="216" w:lineRule="exact"/>
        <w:rPr>
          <w:sz w:val="20"/>
          <w:szCs w:val="20"/>
          <w:color w:val="auto"/>
        </w:rPr>
      </w:pPr>
    </w:p>
    <w:p>
      <w:pPr>
        <w:ind w:left="2" w:right="300"/>
        <w:spacing w:after="0" w:line="250" w:lineRule="auto"/>
        <w:rPr>
          <w:sz w:val="20"/>
          <w:szCs w:val="20"/>
          <w:color w:val="auto"/>
        </w:rPr>
      </w:pPr>
      <w:r>
        <w:rPr>
          <w:rFonts w:ascii="Arial" w:cs="Arial" w:eastAsia="Arial" w:hAnsi="Arial"/>
          <w:sz w:val="16"/>
          <w:szCs w:val="16"/>
          <w:color w:val="auto"/>
        </w:rPr>
        <w:t>Reflecting the company’s culture of respect and value for all employees, the financial and health benefits received by executive officers are the same as those received by other U.S. employees except for the few benefits described below under the sub-heading Other Benefits in this section.</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Retirement Plans</w:t>
      </w:r>
    </w:p>
    <w:p>
      <w:pPr>
        <w:spacing w:after="0" w:line="196" w:lineRule="exact"/>
        <w:rPr>
          <w:sz w:val="20"/>
          <w:szCs w:val="20"/>
          <w:color w:val="auto"/>
        </w:rPr>
      </w:pPr>
    </w:p>
    <w:p>
      <w:pPr>
        <w:ind w:left="2" w:right="40"/>
        <w:spacing w:after="0" w:line="250" w:lineRule="auto"/>
        <w:rPr>
          <w:sz w:val="20"/>
          <w:szCs w:val="20"/>
          <w:color w:val="auto"/>
        </w:rPr>
      </w:pPr>
      <w:r>
        <w:rPr>
          <w:rFonts w:ascii="Arial" w:cs="Arial" w:eastAsia="Arial" w:hAnsi="Arial"/>
          <w:sz w:val="16"/>
          <w:szCs w:val="16"/>
          <w:color w:val="auto"/>
        </w:rPr>
        <w:t>The executive officers participate in our retirement plans under the same rules that apply to other U.S. employees. We maintain these plans to have a competitive benefits program and for retention.</w:t>
      </w:r>
    </w:p>
    <w:p>
      <w:pPr>
        <w:spacing w:after="0" w:line="180" w:lineRule="exact"/>
        <w:rPr>
          <w:sz w:val="20"/>
          <w:szCs w:val="20"/>
          <w:color w:val="auto"/>
        </w:rPr>
      </w:pPr>
    </w:p>
    <w:p>
      <w:pPr>
        <w:ind w:left="2" w:right="240"/>
        <w:spacing w:after="0" w:line="283" w:lineRule="auto"/>
        <w:rPr>
          <w:sz w:val="20"/>
          <w:szCs w:val="20"/>
          <w:color w:val="auto"/>
        </w:rPr>
      </w:pPr>
      <w:r>
        <w:rPr>
          <w:rFonts w:ascii="Arial" w:cs="Arial" w:eastAsia="Arial" w:hAnsi="Arial"/>
          <w:sz w:val="15"/>
          <w:szCs w:val="15"/>
          <w:color w:val="auto"/>
        </w:rPr>
        <w:t>Like other established U.S. manufacturers, we have had a U.S. qualified defined benefit pension plan for many years. At its origin, the plan was designed to be consistent with those offered by other employers in the diverse markets in which we operated, which at the time included consumer and defense electronics as</w:t>
      </w:r>
    </w:p>
    <w:p>
      <w:pPr>
        <w:sectPr>
          <w:pgSz w:w="11900" w:h="16862" w:orient="portrait"/>
          <w:cols w:equalWidth="0" w:num="1">
            <w:col w:w="11402"/>
          </w:cols>
          <w:pgMar w:left="238" w:top="142" w:right="259" w:bottom="0" w:gutter="0" w:footer="0" w:header="0"/>
        </w:sectPr>
      </w:pPr>
    </w:p>
    <w:bookmarkStart w:id="18" w:name="page19"/>
    <w:bookmarkEnd w:id="18"/>
    <w:p>
      <w:pPr>
        <w:ind w:right="140"/>
        <w:spacing w:after="0" w:line="262" w:lineRule="auto"/>
        <w:rPr>
          <w:sz w:val="20"/>
          <w:szCs w:val="20"/>
          <w:color w:val="auto"/>
        </w:rPr>
      </w:pPr>
      <w:r>
        <w:rPr>
          <w:rFonts w:ascii="Arial" w:cs="Arial" w:eastAsia="Arial" w:hAnsi="Arial"/>
          <w:sz w:val="15"/>
          <w:szCs w:val="15"/>
          <w:color w:val="auto"/>
        </w:rPr>
        <w:t>well as semiconductors and materials products. In order to limit the cost of the plan, we closed the plan to new participants in 1997. We gave U.S. employees as of November 1997 the choice to remain in the plan, or to have their benefits frozen in that plan and begin participating in an enhanced defined contribution plan. Mr. Templeton chose not to remain in the defined benefit plan. As a result, his benefits under that plan were frozen in 1997 and he participates in the enhanced defined contribution plan. Because Mr. Delfassy joined our U.S. payroll after 1997, he was not eligible for the defined benefit plan and instead participates in the enhanced defined contribution plan. The other named executive officers have continued their participation in the defined benefit pension plan.</w:t>
      </w:r>
    </w:p>
    <w:p>
      <w:pPr>
        <w:spacing w:after="0" w:line="174" w:lineRule="exact"/>
        <w:rPr>
          <w:sz w:val="20"/>
          <w:szCs w:val="20"/>
          <w:color w:val="auto"/>
        </w:rPr>
      </w:pPr>
    </w:p>
    <w:p>
      <w:pPr>
        <w:ind w:right="240"/>
        <w:spacing w:after="0" w:line="243" w:lineRule="auto"/>
        <w:rPr>
          <w:sz w:val="20"/>
          <w:szCs w:val="20"/>
          <w:color w:val="auto"/>
        </w:rPr>
      </w:pPr>
      <w:r>
        <w:rPr>
          <w:rFonts w:ascii="Arial" w:cs="Arial" w:eastAsia="Arial" w:hAnsi="Arial"/>
          <w:sz w:val="16"/>
          <w:szCs w:val="16"/>
          <w:color w:val="auto"/>
        </w:rPr>
        <w:t>The Internal Revenue Code (IRC) imposes certain limits on the retirement benefits that may be provided under a qualified plan. To maintain the desired level of benefits, we have a nonqualified defined benefit pension plan for participants in the qualified pension plan. Under the nonqualified plan, participants receive a benefit that would ordinarily be paid under the qualified pension plan but for the limitations under the IRC. For additional information about the defined benefit plans, please see pages 39-40.</w:t>
      </w:r>
    </w:p>
    <w:p>
      <w:pPr>
        <w:spacing w:after="0" w:line="186" w:lineRule="exact"/>
        <w:rPr>
          <w:sz w:val="20"/>
          <w:szCs w:val="20"/>
          <w:color w:val="auto"/>
        </w:rPr>
      </w:pPr>
    </w:p>
    <w:p>
      <w:pPr>
        <w:ind w:right="120"/>
        <w:spacing w:after="0" w:line="245" w:lineRule="auto"/>
        <w:rPr>
          <w:sz w:val="20"/>
          <w:szCs w:val="20"/>
          <w:color w:val="auto"/>
        </w:rPr>
      </w:pPr>
      <w:r>
        <w:rPr>
          <w:rFonts w:ascii="Arial" w:cs="Arial" w:eastAsia="Arial" w:hAnsi="Arial"/>
          <w:sz w:val="16"/>
          <w:szCs w:val="16"/>
          <w:color w:val="auto"/>
        </w:rPr>
        <w:t>Employees accruing benefits in the qualified pension plan, including the named executive officers other than Messrs. Templeton and Delfassy, also are eligible to participate in a qualified defined contribution plan that provides employer matching contributions. The enhanced defined contribution plan, in which Messrs. Templeton and Delfassy participate, provides for a fixed employer contribution plus an employer matching contribution.</w:t>
      </w:r>
    </w:p>
    <w:p>
      <w:pPr>
        <w:spacing w:after="0" w:line="184"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Because benefits under the qualified and nonqualified defined benefit pension plans are calculated on the basis of eligible earnings (salary and bonus), an increase in salary or bonus may result in an increase in benefits under the plans. Salary or bonus increases for Mr. Templeton do not result in greater benefits for him under the company’s defined benefit pension plans because his benefits under those plans were frozen in 1997. The committee considers the potential effect on the executive’s retirement benefits when it sets salary and performance bonus levels.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9640" cy="203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Deferred Compensation</w:t>
      </w:r>
    </w:p>
    <w:p>
      <w:pPr>
        <w:spacing w:after="0" w:line="196"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Any U.S. employee whose base salary exceeds a certain level ($130,000 per year in 2007) may defer the receipt of a portion of his or her salary, bonus and profit sharing. Rules of the U.S. Department of Labor require that this plan be limited to a select group of management or highly compensated employees. The program allows employees to defer the receipt of their compensation in a tax-efficient manner. We offer it in order to be competitive with the benefits packages offered by other companies.</w:t>
      </w:r>
    </w:p>
    <w:p>
      <w:pPr>
        <w:spacing w:after="0" w:line="186"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Deferred compensation account balances are unsecured and all amounts remain part of the company’s operating assets. The value of the deferred amounts tracks the performance of investment alternatives selected by the participant. These alternatives are a subset of those offered to participants in the defined contribution plans described above. The company does not guarantee any minimum return on the amounts deferred. In accordance with SEC rules, no earnings on deferred compensation are shown in the 2007 Summary Compensation Table on page 30 because no “above market” rates were earned on deferred amounts in 2007.</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Employee Stock Purchase Plan</w:t>
      </w:r>
    </w:p>
    <w:p>
      <w:pPr>
        <w:spacing w:after="0" w:line="196"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Our stockholders approved the TI Employees 2005 Stock Purchase Plan in April 2005. Under the plan, all employees in the U.S. and certain other countries may purchase a limited number of shares of the company’s common stock at a 15 percent discount. The plan is designed to offer the broad-based employee population an opportunity to acquire an equity interest in the company and thereby align their interests with those of stockholders. Consistent with our general approach to benefit programs, executive officers are also eligible to participate.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Health-Related Benefits</w:t>
      </w:r>
    </w:p>
    <w:p>
      <w:pPr>
        <w:spacing w:after="0" w:line="196" w:lineRule="exact"/>
        <w:rPr>
          <w:sz w:val="20"/>
          <w:szCs w:val="20"/>
          <w:color w:val="auto"/>
        </w:rPr>
      </w:pPr>
    </w:p>
    <w:p>
      <w:pPr>
        <w:ind w:right="560"/>
        <w:spacing w:after="0" w:line="250" w:lineRule="auto"/>
        <w:rPr>
          <w:sz w:val="20"/>
          <w:szCs w:val="20"/>
          <w:color w:val="auto"/>
        </w:rPr>
      </w:pPr>
      <w:r>
        <w:rPr>
          <w:rFonts w:ascii="Arial" w:cs="Arial" w:eastAsia="Arial" w:hAnsi="Arial"/>
          <w:sz w:val="16"/>
          <w:szCs w:val="16"/>
          <w:color w:val="auto"/>
        </w:rPr>
        <w:t>Executive officers are eligible under the same plans as all other U.S. employees for medical, dental, vision, disability and life insurance. These benefits are intended to be competitive with benefits offered in the semiconductor industry.</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Other Benefits</w:t>
      </w:r>
    </w:p>
    <w:p>
      <w:pPr>
        <w:spacing w:after="0" w:line="196" w:lineRule="exact"/>
        <w:rPr>
          <w:sz w:val="20"/>
          <w:szCs w:val="20"/>
          <w:color w:val="auto"/>
        </w:rPr>
      </w:pPr>
    </w:p>
    <w:p>
      <w:pPr>
        <w:ind w:right="520"/>
        <w:spacing w:after="0" w:line="250" w:lineRule="auto"/>
        <w:rPr>
          <w:sz w:val="20"/>
          <w:szCs w:val="20"/>
          <w:color w:val="auto"/>
        </w:rPr>
      </w:pPr>
      <w:r>
        <w:rPr>
          <w:rFonts w:ascii="Arial" w:cs="Arial" w:eastAsia="Arial" w:hAnsi="Arial"/>
          <w:sz w:val="16"/>
          <w:szCs w:val="16"/>
          <w:color w:val="auto"/>
        </w:rPr>
        <w:t>Executive officers receive only a few benefits that are not available to all other U.S. employees. These benefits fall into one of two categories: personal and security.</w:t>
      </w:r>
    </w:p>
    <w:p>
      <w:pPr>
        <w:spacing w:after="0" w:line="164" w:lineRule="exact"/>
        <w:rPr>
          <w:sz w:val="20"/>
          <w:szCs w:val="20"/>
          <w:color w:val="auto"/>
        </w:rPr>
      </w:pPr>
    </w:p>
    <w:p>
      <w:pPr>
        <w:ind w:left="180" w:right="200"/>
        <w:spacing w:after="0" w:line="271" w:lineRule="auto"/>
        <w:rPr>
          <w:sz w:val="20"/>
          <w:szCs w:val="20"/>
          <w:color w:val="auto"/>
        </w:rPr>
      </w:pPr>
      <w:r>
        <w:rPr>
          <w:rFonts w:ascii="Arial" w:cs="Arial" w:eastAsia="Arial" w:hAnsi="Arial"/>
          <w:sz w:val="16"/>
          <w:szCs w:val="16"/>
          <w:i w:val="1"/>
          <w:iCs w:val="1"/>
          <w:color w:val="auto"/>
        </w:rPr>
        <w:t xml:space="preserve">Personal benefits: </w:t>
      </w:r>
      <w:r>
        <w:rPr>
          <w:rFonts w:ascii="Arial" w:cs="Arial" w:eastAsia="Arial" w:hAnsi="Arial"/>
          <w:sz w:val="16"/>
          <w:szCs w:val="16"/>
          <w:color w:val="auto"/>
        </w:rPr>
        <w:t>We promote sustained good health by providing a company-paid physical for each executive officer, and we encourage effective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planning by providing financial counseling up to $8,000 per year for each executive officer.</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6"/>
          <w:szCs w:val="16"/>
          <w:i w:val="1"/>
          <w:iCs w:val="1"/>
          <w:color w:val="auto"/>
        </w:rPr>
        <w:t xml:space="preserve">Security: </w:t>
      </w:r>
      <w:r>
        <w:rPr>
          <w:rFonts w:ascii="Arial" w:cs="Arial" w:eastAsia="Arial" w:hAnsi="Arial"/>
          <w:sz w:val="16"/>
          <w:szCs w:val="16"/>
          <w:color w:val="auto"/>
        </w:rPr>
        <w:t>We pay for maintenance and monitoring of home-security systems for certain executive officers to help ensure personal safety.</w:t>
      </w:r>
    </w:p>
    <w:p>
      <w:pPr>
        <w:spacing w:after="0" w:line="212"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Separately, the chairman has an executive life insurance policy under an old program that is closed to new participants. Additionally, the chairman used corporate aircraft for personal travel on one occasion in 2007. The board of directors determined that for security reasons, it was in the company’s interest to require the CEO to use company aircraft for personal air travel. Because this required use of the aircraft results in taxable income for the CEO, the company reimburses a portion of the tax expense that he incurs as a result of the requirement.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Separation Arrangement and Compensation Decisions</w:t>
      </w:r>
    </w:p>
    <w:p>
      <w:pPr>
        <w:spacing w:after="0" w:line="216"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In connection with Mr. Delfassy’s planned retirement after 28 years of service to TI, the company entered into a separation arrangement with him in January 2007. Under the arrangement, he agreed to remain an active employee until August 2007. For one year thereafter, he will be on a paid leave of absence, from which point he will be on an unpaid leave of absence until the age of 55. Until July 2010, he is subject to a commitment not to become a director or executive officer of any for-profit company without prior TI approval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9640" cy="203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96" w:lineRule="exact"/>
        <w:rPr>
          <w:sz w:val="20"/>
          <w:szCs w:val="20"/>
          <w:color w:val="auto"/>
        </w:rPr>
      </w:pPr>
    </w:p>
    <w:p>
      <w:pPr>
        <w:jc w:val="both"/>
        <w:ind w:right="260"/>
        <w:spacing w:after="0" w:line="283" w:lineRule="auto"/>
        <w:rPr>
          <w:sz w:val="20"/>
          <w:szCs w:val="20"/>
          <w:color w:val="auto"/>
        </w:rPr>
      </w:pPr>
      <w:r>
        <w:rPr>
          <w:rFonts w:ascii="Arial" w:cs="Arial" w:eastAsia="Arial" w:hAnsi="Arial"/>
          <w:sz w:val="15"/>
          <w:szCs w:val="15"/>
          <w:color w:val="auto"/>
        </w:rPr>
        <w:t>(which approval would not be unreasonably withheld) and not to hire any TI employee. These terms, which the Compensation Committee approved, serve TI’s interest in a smooth transition in management of the organization for which Mr. Delfassy was responsible and reasonable protection against future competition.</w:t>
      </w:r>
    </w:p>
    <w:p>
      <w:pPr>
        <w:spacing w:after="0" w:line="157" w:lineRule="exact"/>
        <w:rPr>
          <w:sz w:val="20"/>
          <w:szCs w:val="20"/>
          <w:color w:val="auto"/>
        </w:rPr>
      </w:pPr>
    </w:p>
    <w:p>
      <w:pPr>
        <w:jc w:val="both"/>
        <w:ind w:right="340"/>
        <w:spacing w:after="0" w:line="245" w:lineRule="auto"/>
        <w:rPr>
          <w:sz w:val="20"/>
          <w:szCs w:val="20"/>
          <w:color w:val="auto"/>
        </w:rPr>
      </w:pPr>
      <w:r>
        <w:rPr>
          <w:rFonts w:ascii="Arial" w:cs="Arial" w:eastAsia="Arial" w:hAnsi="Arial"/>
          <w:sz w:val="16"/>
          <w:szCs w:val="16"/>
          <w:color w:val="auto"/>
        </w:rPr>
        <w:t>Mr. Delfassy ceased to be an executive officer of the company in January 2007. In anticipation of his retirement, the committee in January 2007 held his base salary unchanged from the 2006 level and granted him no equity compensation. Because he ceased to be an active employee in August 2007, the committee granted him no bonus for 2007.</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Following Employment Termination or Change in Control</w:t>
      </w:r>
    </w:p>
    <w:p>
      <w:pPr>
        <w:spacing w:after="0" w:line="216" w:lineRule="exact"/>
        <w:rPr>
          <w:sz w:val="20"/>
          <w:szCs w:val="20"/>
          <w:color w:val="auto"/>
        </w:rPr>
      </w:pPr>
    </w:p>
    <w:p>
      <w:pPr>
        <w:spacing w:after="0" w:line="242" w:lineRule="auto"/>
        <w:rPr>
          <w:sz w:val="20"/>
          <w:szCs w:val="20"/>
          <w:color w:val="auto"/>
        </w:rPr>
      </w:pPr>
      <w:r>
        <w:rPr>
          <w:rFonts w:ascii="Arial" w:cs="Arial" w:eastAsia="Arial" w:hAnsi="Arial"/>
          <w:sz w:val="16"/>
          <w:szCs w:val="16"/>
          <w:color w:val="auto"/>
        </w:rPr>
        <w:t>None of the executive officers has an employment contract. Executive officers are eligible for benefits on the same terms as other U.S. employees upon termination of employment or a change in control of the company. The current programs are described under the heading Potential Payments upon Termination or Change in Control beginning on page 42. None of the few additional benefits that the executive officers receive continue after the year of termination of employment except the executive life insurance policy for the chairman. The committee reviews the potential impact of these programs before finalizing the annual compensation for the named executive officers. The committee did not raise or lower compensation for 2007 based on this review.</w:t>
      </w:r>
    </w:p>
    <w:p>
      <w:pPr>
        <w:sectPr>
          <w:pgSz w:w="11900" w:h="16838" w:orient="portrait"/>
          <w:cols w:equalWidth="0" w:num="1">
            <w:col w:w="11420"/>
          </w:cols>
          <w:pgMar w:left="240" w:top="142" w:right="239" w:bottom="0" w:gutter="0" w:footer="0" w:header="0"/>
        </w:sectPr>
      </w:pPr>
    </w:p>
    <w:bookmarkStart w:id="19" w:name="page20"/>
    <w:bookmarkEnd w:id="19"/>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Ownership Guidelines and Policy Against Hedging</w:t>
      </w:r>
    </w:p>
    <w:p>
      <w:pPr>
        <w:spacing w:after="0" w:line="216" w:lineRule="exact"/>
        <w:rPr>
          <w:sz w:val="20"/>
          <w:szCs w:val="20"/>
          <w:color w:val="auto"/>
        </w:rPr>
      </w:pPr>
    </w:p>
    <w:p>
      <w:pPr>
        <w:ind w:right="140"/>
        <w:spacing w:after="0" w:line="243" w:lineRule="auto"/>
        <w:rPr>
          <w:sz w:val="20"/>
          <w:szCs w:val="20"/>
          <w:color w:val="auto"/>
        </w:rPr>
      </w:pPr>
      <w:r>
        <w:rPr>
          <w:rFonts w:ascii="Arial" w:cs="Arial" w:eastAsia="Arial" w:hAnsi="Arial"/>
          <w:sz w:val="16"/>
          <w:szCs w:val="16"/>
          <w:color w:val="auto"/>
        </w:rPr>
        <w:t>Our board of directors has established stock ownership guidelines for executive officers. The guideline for the chairman and the CEO is four times base salary or 125,000 shares, whichever is less. The guideline for other executive officers is three times base salary or 25,000 shares, whichever is less. Executive officers have five years from their election as executive officers to reach these targets. Directly owned shares and restricted stock units count toward satisfying the guidelines.</w:t>
      </w:r>
    </w:p>
    <w:p>
      <w:pPr>
        <w:spacing w:after="0" w:line="186"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Short sales of TI stock by our executive officers are prohibited. It is against TI policy for any employee, including an executive officer, to engage in trading in “puts” (options to sell at a fixed price on or before a certain date), “calls” (similar options to buy), or other options or hedging techniques on TI stock.</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Consideration of Tax and Accounting Treatment of Compensation</w:t>
      </w:r>
    </w:p>
    <w:p>
      <w:pPr>
        <w:spacing w:after="0" w:line="216"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Section 162(m) of the IRC generally denies a deduction to any publicly held corporation for compensation paid in a taxable year to the company’s CEO and four other highest compensated officers to the extent that the officer’s compensation (other than qualified performance-based compensation) exceeds $1 million. The Compensation Committee considers the impact of this deductibility limit on the compensation that it intends to award. The committee exercises its discretion to award compensation that does not meet the requirements of Section 162(m) when applying the limits of Section 162(m) would frustrate or be inconsistent with our compensation policies and/or when the value of the foregone deduction would not be material. The committee has exercised this discretion when awarding restricted stock units that vest over time, without performance conditions to vesting. The committee believes it is in the best interest of the company and its stockholders that restricted stock unit awards provide for the retention of our executive officers in all market conditions.</w:t>
      </w:r>
    </w:p>
    <w:p>
      <w:pPr>
        <w:spacing w:after="0" w:line="189" w:lineRule="exact"/>
        <w:rPr>
          <w:sz w:val="20"/>
          <w:szCs w:val="20"/>
          <w:color w:val="auto"/>
        </w:rPr>
      </w:pPr>
    </w:p>
    <w:p>
      <w:pPr>
        <w:ind w:right="240"/>
        <w:spacing w:after="0" w:line="245" w:lineRule="auto"/>
        <w:rPr>
          <w:sz w:val="20"/>
          <w:szCs w:val="20"/>
          <w:color w:val="auto"/>
        </w:rPr>
      </w:pPr>
      <w:r>
        <w:rPr>
          <w:rFonts w:ascii="Arial" w:cs="Arial" w:eastAsia="Arial" w:hAnsi="Arial"/>
          <w:sz w:val="16"/>
          <w:szCs w:val="16"/>
          <w:color w:val="auto"/>
        </w:rPr>
        <w:t>The Texas Instruments Executive Officer Performance Plan (described on page 19) is intended to ensure that performance bonuses under the plan are fully tax deductible under Section 162(m). The committee’s general policy is to award bonuses within the plan, although the committee reserves the discretion to pay a bonus outside the plan if it determines that it is in our stockholders’ best interest to do so. It did not exercise this discretion for 2007 performance.</w:t>
      </w:r>
    </w:p>
    <w:p>
      <w:pPr>
        <w:spacing w:after="0" w:line="184" w:lineRule="exact"/>
        <w:rPr>
          <w:sz w:val="20"/>
          <w:szCs w:val="20"/>
          <w:color w:val="auto"/>
        </w:rPr>
      </w:pPr>
    </w:p>
    <w:p>
      <w:pPr>
        <w:ind w:right="420"/>
        <w:spacing w:after="0" w:line="250" w:lineRule="auto"/>
        <w:rPr>
          <w:sz w:val="20"/>
          <w:szCs w:val="20"/>
          <w:color w:val="auto"/>
        </w:rPr>
      </w:pPr>
      <w:r>
        <w:rPr>
          <w:rFonts w:ascii="Arial" w:cs="Arial" w:eastAsia="Arial" w:hAnsi="Arial"/>
          <w:sz w:val="16"/>
          <w:szCs w:val="16"/>
          <w:color w:val="auto"/>
        </w:rPr>
        <w:t>When setting equity compensation, the committee considers the estimated cost for financial reporting purposes of equity compensation it intends to grant. Its consideration of the estimated cost of grants made in 2007 is discussed on page 22.</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9640" cy="203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76" w:lineRule="exact"/>
        <w:rPr>
          <w:sz w:val="20"/>
          <w:szCs w:val="20"/>
          <w:color w:val="auto"/>
        </w:rPr>
      </w:pPr>
    </w:p>
    <w:p>
      <w:pPr>
        <w:ind w:left="4440"/>
        <w:spacing w:after="0"/>
        <w:rPr>
          <w:sz w:val="20"/>
          <w:szCs w:val="20"/>
          <w:color w:val="auto"/>
        </w:rPr>
      </w:pPr>
      <w:r>
        <w:rPr>
          <w:rFonts w:ascii="Arial" w:cs="Arial" w:eastAsia="Arial" w:hAnsi="Arial"/>
          <w:sz w:val="16"/>
          <w:szCs w:val="16"/>
          <w:b w:val="1"/>
          <w:bCs w:val="1"/>
          <w:color w:val="auto"/>
        </w:rPr>
        <w:t>Compensation Committee Report</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of the board of directors has furnished the following report:</w:t>
      </w:r>
    </w:p>
    <w:p>
      <w:pPr>
        <w:spacing w:after="0" w:line="196"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color w:val="auto"/>
        </w:rPr>
        <w:t>The committee has reviewed and discussed the Compensation Discussion and Analysis (CD&amp;A) with the company’s management. Based on that review and discussion, the committee has recommended to the board of directors that the CD&amp;A be included in the company’s Annual Report on Form 10-K for 2007 and the company’s proxy statement for the 2008 annual meeting of stockholders.</w:t>
      </w:r>
    </w:p>
    <w:p>
      <w:pPr>
        <w:spacing w:after="0" w:line="184" w:lineRule="exact"/>
        <w:rPr>
          <w:sz w:val="20"/>
          <w:szCs w:val="20"/>
          <w:color w:val="auto"/>
        </w:rPr>
      </w:pPr>
    </w:p>
    <w:p>
      <w:pPr>
        <w:ind w:left="1040"/>
        <w:spacing w:after="0"/>
        <w:tabs>
          <w:tab w:leader="none" w:pos="4920" w:val="left"/>
          <w:tab w:leader="none" w:pos="8600" w:val="left"/>
        </w:tabs>
        <w:rPr>
          <w:sz w:val="20"/>
          <w:szCs w:val="20"/>
          <w:color w:val="auto"/>
        </w:rPr>
      </w:pPr>
      <w:r>
        <w:rPr>
          <w:rFonts w:ascii="Arial" w:cs="Arial" w:eastAsia="Arial" w:hAnsi="Arial"/>
          <w:sz w:val="16"/>
          <w:szCs w:val="16"/>
          <w:color w:val="auto"/>
        </w:rPr>
        <w:t>Daniel A. Carp, Chair</w:t>
      </w:r>
      <w:r>
        <w:rPr>
          <w:sz w:val="20"/>
          <w:szCs w:val="20"/>
          <w:color w:val="auto"/>
        </w:rPr>
        <w:tab/>
      </w:r>
      <w:r>
        <w:rPr>
          <w:rFonts w:ascii="Arial" w:cs="Arial" w:eastAsia="Arial" w:hAnsi="Arial"/>
          <w:sz w:val="16"/>
          <w:szCs w:val="16"/>
          <w:color w:val="auto"/>
        </w:rPr>
        <w:t>Ruth J. Simmons</w:t>
      </w:r>
      <w:r>
        <w:rPr>
          <w:sz w:val="20"/>
          <w:szCs w:val="20"/>
          <w:color w:val="auto"/>
        </w:rPr>
        <w:tab/>
      </w:r>
      <w:r>
        <w:rPr>
          <w:rFonts w:ascii="Arial" w:cs="Arial" w:eastAsia="Arial" w:hAnsi="Arial"/>
          <w:sz w:val="15"/>
          <w:szCs w:val="15"/>
          <w:color w:val="auto"/>
        </w:rPr>
        <w:t>Christine Todd Whitman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2007 Summary Compensation Table</w:t>
      </w:r>
    </w:p>
    <w:p>
      <w:pPr>
        <w:spacing w:after="0" w:line="216"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The table below shows the compensation of the company’s chief executive officer, chief financial officer and each of the other four most highly compensated individuals who were executive officers during 2007 (collectively called the “named executive officers”) for services in all capacities to the company in 2007, except as otherwise indicated. For a discussion of the amount of a named executive officer’s salary and bonus in proportion to his total compensation, please see the Compensation Discussion and Analysis on pages 17-29.</w:t>
      </w:r>
    </w:p>
    <w:p>
      <w:pPr>
        <w:spacing w:after="0" w:line="186"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We believe that our compensation practices are fair and reasonable. Our executive officers do not have employment contracts. They are not guaranteed salary increases or bonus amounts. Pension benefits are calculated on salary and bonus only; the proceeds earned on equity or other performance awards are not part of the pension calculation. We do not guarantee a return or provide above-market returns on compensation that has been deferred. We have not repriced stock options, and we do not grant reload options. We do not provide excessive perquisites. Those few we do provide do not result in significant expense for TI. We believe our compensation program holds our executive officers accountable for the financial and competitive performance of TI, and for their individual contribution toward that performance.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auto"/>
              </w:rPr>
              <w:t>Change in</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9"/>
              </w:rPr>
              <w:t>Pension Value</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center"/>
              <w:ind w:right="259"/>
              <w:spacing w:after="0"/>
              <w:rPr>
                <w:sz w:val="20"/>
                <w:szCs w:val="20"/>
                <w:color w:val="auto"/>
              </w:rPr>
            </w:pPr>
            <w:r>
              <w:rPr>
                <w:rFonts w:ascii="Arial" w:cs="Arial" w:eastAsia="Arial" w:hAnsi="Arial"/>
                <w:sz w:val="12"/>
                <w:szCs w:val="12"/>
                <w:b w:val="1"/>
                <w:bCs w:val="1"/>
                <w:color w:val="auto"/>
              </w:rPr>
              <w:t>and</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auto"/>
              </w:rPr>
              <w:t>Nonqualified</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ind w:left="280"/>
              <w:spacing w:after="0"/>
              <w:rPr>
                <w:sz w:val="20"/>
                <w:szCs w:val="20"/>
                <w:color w:val="auto"/>
              </w:rPr>
            </w:pPr>
            <w:r>
              <w:rPr>
                <w:rFonts w:ascii="Arial" w:cs="Arial" w:eastAsia="Arial" w:hAnsi="Arial"/>
                <w:sz w:val="12"/>
                <w:szCs w:val="12"/>
                <w:b w:val="1"/>
                <w:bCs w:val="1"/>
                <w:color w:val="auto"/>
              </w:rPr>
              <w:t>Non-Equity</w:t>
            </w:r>
          </w:p>
        </w:tc>
        <w:tc>
          <w:tcPr>
            <w:tcW w:w="18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auto"/>
              </w:rPr>
              <w:t>Deferred</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center"/>
              <w:ind w:right="119"/>
              <w:spacing w:after="0"/>
              <w:rPr>
                <w:sz w:val="20"/>
                <w:szCs w:val="20"/>
                <w:color w:val="auto"/>
              </w:rPr>
            </w:pPr>
            <w:r>
              <w:rPr>
                <w:rFonts w:ascii="Arial" w:cs="Arial" w:eastAsia="Arial" w:hAnsi="Arial"/>
                <w:sz w:val="12"/>
                <w:szCs w:val="12"/>
                <w:b w:val="1"/>
                <w:bCs w:val="1"/>
                <w:color w:val="auto"/>
              </w:rPr>
              <w:t>Stock</w:t>
            </w:r>
          </w:p>
        </w:tc>
        <w:tc>
          <w:tcPr>
            <w:tcW w:w="16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w w:val="98"/>
              </w:rPr>
              <w:t>Option</w:t>
            </w:r>
          </w:p>
        </w:tc>
        <w:tc>
          <w:tcPr>
            <w:tcW w:w="200" w:type="dxa"/>
            <w:vAlign w:val="bottom"/>
          </w:tcPr>
          <w:p>
            <w:pPr>
              <w:spacing w:after="0"/>
              <w:rPr>
                <w:sz w:val="19"/>
                <w:szCs w:val="19"/>
                <w:color w:val="auto"/>
              </w:rPr>
            </w:pPr>
          </w:p>
        </w:tc>
        <w:tc>
          <w:tcPr>
            <w:tcW w:w="1200" w:type="dxa"/>
            <w:vAlign w:val="bottom"/>
            <w:gridSpan w:val="2"/>
          </w:tcPr>
          <w:p>
            <w:pPr>
              <w:jc w:val="right"/>
              <w:ind w:right="119"/>
              <w:spacing w:after="0"/>
              <w:rPr>
                <w:sz w:val="20"/>
                <w:szCs w:val="20"/>
                <w:color w:val="auto"/>
              </w:rPr>
            </w:pPr>
            <w:r>
              <w:rPr>
                <w:rFonts w:ascii="Arial" w:cs="Arial" w:eastAsia="Arial" w:hAnsi="Arial"/>
                <w:sz w:val="12"/>
                <w:szCs w:val="12"/>
                <w:b w:val="1"/>
                <w:bCs w:val="1"/>
                <w:color w:val="auto"/>
              </w:rPr>
              <w:t>Incentive Plan</w:t>
            </w:r>
          </w:p>
        </w:tc>
        <w:tc>
          <w:tcPr>
            <w:tcW w:w="180" w:type="dxa"/>
            <w:vAlign w:val="bottom"/>
          </w:tcPr>
          <w:p>
            <w:pPr>
              <w:spacing w:after="0"/>
              <w:rPr>
                <w:sz w:val="19"/>
                <w:szCs w:val="19"/>
                <w:color w:val="auto"/>
              </w:rPr>
            </w:pPr>
          </w:p>
        </w:tc>
        <w:tc>
          <w:tcPr>
            <w:tcW w:w="980" w:type="dxa"/>
            <w:vAlign w:val="bottom"/>
            <w:gridSpan w:val="2"/>
          </w:tcPr>
          <w:p>
            <w:pPr>
              <w:jc w:val="right"/>
              <w:ind w:right="19"/>
              <w:spacing w:after="0"/>
              <w:rPr>
                <w:sz w:val="20"/>
                <w:szCs w:val="20"/>
                <w:color w:val="auto"/>
              </w:rPr>
            </w:pPr>
            <w:r>
              <w:rPr>
                <w:rFonts w:ascii="Arial" w:cs="Arial" w:eastAsia="Arial" w:hAnsi="Arial"/>
                <w:sz w:val="12"/>
                <w:szCs w:val="12"/>
                <w:b w:val="1"/>
                <w:bCs w:val="1"/>
                <w:color w:val="auto"/>
              </w:rPr>
              <w:t>Compensation</w:t>
            </w:r>
          </w:p>
        </w:tc>
        <w:tc>
          <w:tcPr>
            <w:tcW w:w="200" w:type="dxa"/>
            <w:vAlign w:val="bottom"/>
          </w:tcPr>
          <w:p>
            <w:pPr>
              <w:spacing w:after="0"/>
              <w:rPr>
                <w:sz w:val="19"/>
                <w:szCs w:val="19"/>
                <w:color w:val="auto"/>
              </w:rPr>
            </w:pP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rPr>
              <w:t>All Other</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500" w:type="dxa"/>
            <w:vAlign w:val="bottom"/>
          </w:tcPr>
          <w:p>
            <w:pPr>
              <w:ind w:left="680"/>
              <w:spacing w:after="0"/>
              <w:rPr>
                <w:sz w:val="20"/>
                <w:szCs w:val="20"/>
                <w:color w:val="auto"/>
              </w:rPr>
            </w:pPr>
            <w:r>
              <w:rPr>
                <w:rFonts w:ascii="Arial" w:cs="Arial" w:eastAsia="Arial" w:hAnsi="Arial"/>
                <w:sz w:val="12"/>
                <w:szCs w:val="12"/>
                <w:b w:val="1"/>
                <w:bCs w:val="1"/>
                <w:color w:val="auto"/>
              </w:rPr>
              <w:t>Name and Principal</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ind w:left="260"/>
              <w:spacing w:after="0"/>
              <w:rPr>
                <w:sz w:val="20"/>
                <w:szCs w:val="20"/>
                <w:color w:val="auto"/>
              </w:rPr>
            </w:pPr>
            <w:r>
              <w:rPr>
                <w:rFonts w:ascii="Arial" w:cs="Arial" w:eastAsia="Arial" w:hAnsi="Arial"/>
                <w:sz w:val="12"/>
                <w:szCs w:val="12"/>
                <w:b w:val="1"/>
                <w:bCs w:val="1"/>
                <w:color w:val="auto"/>
              </w:rPr>
              <w:t>Salary</w:t>
            </w:r>
          </w:p>
        </w:tc>
        <w:tc>
          <w:tcPr>
            <w:tcW w:w="180" w:type="dxa"/>
            <w:vAlign w:val="bottom"/>
          </w:tcPr>
          <w:p>
            <w:pPr>
              <w:spacing w:after="0"/>
              <w:rPr>
                <w:sz w:val="19"/>
                <w:szCs w:val="19"/>
                <w:color w:val="auto"/>
              </w:rPr>
            </w:pP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Bonus</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center"/>
              <w:ind w:right="99"/>
              <w:spacing w:after="0"/>
              <w:rPr>
                <w:sz w:val="20"/>
                <w:szCs w:val="20"/>
                <w:color w:val="auto"/>
              </w:rPr>
            </w:pPr>
            <w:r>
              <w:rPr>
                <w:rFonts w:ascii="Arial" w:cs="Arial" w:eastAsia="Arial" w:hAnsi="Arial"/>
                <w:sz w:val="12"/>
                <w:szCs w:val="12"/>
                <w:b w:val="1"/>
                <w:bCs w:val="1"/>
                <w:color w:val="auto"/>
              </w:rPr>
              <w:t>Awards</w:t>
            </w:r>
          </w:p>
        </w:tc>
        <w:tc>
          <w:tcPr>
            <w:tcW w:w="16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Arial" w:cs="Arial" w:eastAsia="Arial" w:hAnsi="Arial"/>
                <w:sz w:val="12"/>
                <w:szCs w:val="12"/>
                <w:b w:val="1"/>
                <w:bCs w:val="1"/>
                <w:color w:val="auto"/>
              </w:rPr>
              <w:t>Awards</w:t>
            </w:r>
          </w:p>
        </w:tc>
        <w:tc>
          <w:tcPr>
            <w:tcW w:w="200" w:type="dxa"/>
            <w:vAlign w:val="bottom"/>
          </w:tcPr>
          <w:p>
            <w:pPr>
              <w:spacing w:after="0"/>
              <w:rPr>
                <w:sz w:val="19"/>
                <w:szCs w:val="19"/>
                <w:color w:val="auto"/>
              </w:rPr>
            </w:pPr>
          </w:p>
        </w:tc>
        <w:tc>
          <w:tcPr>
            <w:tcW w:w="1200" w:type="dxa"/>
            <w:vAlign w:val="bottom"/>
            <w:gridSpan w:val="2"/>
          </w:tcPr>
          <w:p>
            <w:pPr>
              <w:jc w:val="right"/>
              <w:ind w:right="139"/>
              <w:spacing w:after="0"/>
              <w:rPr>
                <w:sz w:val="20"/>
                <w:szCs w:val="20"/>
                <w:color w:val="auto"/>
              </w:rPr>
            </w:pPr>
            <w:r>
              <w:rPr>
                <w:rFonts w:ascii="Arial" w:cs="Arial" w:eastAsia="Arial" w:hAnsi="Arial"/>
                <w:sz w:val="12"/>
                <w:szCs w:val="12"/>
                <w:b w:val="1"/>
                <w:bCs w:val="1"/>
                <w:color w:val="auto"/>
              </w:rPr>
              <w:t>Compensation</w:t>
            </w:r>
          </w:p>
        </w:tc>
        <w:tc>
          <w:tcPr>
            <w:tcW w:w="180" w:type="dxa"/>
            <w:vAlign w:val="bottom"/>
          </w:tcPr>
          <w:p>
            <w:pPr>
              <w:spacing w:after="0"/>
              <w:rPr>
                <w:sz w:val="19"/>
                <w:szCs w:val="19"/>
                <w:color w:val="auto"/>
              </w:rPr>
            </w:pP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auto"/>
              </w:rPr>
              <w:t>Earnings</w:t>
            </w:r>
          </w:p>
        </w:tc>
        <w:tc>
          <w:tcPr>
            <w:tcW w:w="200" w:type="dxa"/>
            <w:vAlign w:val="bottom"/>
          </w:tcPr>
          <w:p>
            <w:pPr>
              <w:spacing w:after="0"/>
              <w:rPr>
                <w:sz w:val="19"/>
                <w:szCs w:val="19"/>
                <w:color w:val="auto"/>
              </w:rPr>
            </w:pPr>
          </w:p>
        </w:tc>
        <w:tc>
          <w:tcPr>
            <w:tcW w:w="940" w:type="dxa"/>
            <w:vAlign w:val="bottom"/>
            <w:gridSpan w:val="2"/>
          </w:tcPr>
          <w:p>
            <w:pPr>
              <w:jc w:val="center"/>
              <w:spacing w:after="0"/>
              <w:rPr>
                <w:sz w:val="20"/>
                <w:szCs w:val="20"/>
                <w:color w:val="auto"/>
              </w:rPr>
            </w:pPr>
            <w:r>
              <w:rPr>
                <w:rFonts w:ascii="Arial" w:cs="Arial" w:eastAsia="Arial" w:hAnsi="Arial"/>
                <w:sz w:val="12"/>
                <w:szCs w:val="12"/>
                <w:b w:val="1"/>
                <w:bCs w:val="1"/>
                <w:color w:val="auto"/>
              </w:rPr>
              <w:t>Compensation</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2500" w:type="dxa"/>
            <w:vAlign w:val="bottom"/>
            <w:tcBorders>
              <w:bottom w:val="single" w:sz="8" w:color="auto"/>
            </w:tcBorders>
          </w:tcPr>
          <w:p>
            <w:pPr>
              <w:ind w:left="1000"/>
              <w:spacing w:after="0"/>
              <w:rPr>
                <w:sz w:val="20"/>
                <w:szCs w:val="20"/>
                <w:color w:val="auto"/>
              </w:rPr>
            </w:pPr>
            <w:r>
              <w:rPr>
                <w:rFonts w:ascii="Arial" w:cs="Arial" w:eastAsia="Arial" w:hAnsi="Arial"/>
                <w:sz w:val="12"/>
                <w:szCs w:val="12"/>
                <w:b w:val="1"/>
                <w:bCs w:val="1"/>
                <w:color w:val="auto"/>
              </w:rPr>
              <w:t>Position</w:t>
            </w:r>
          </w:p>
        </w:tc>
        <w:tc>
          <w:tcPr>
            <w:tcW w:w="14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Year</w:t>
            </w:r>
          </w:p>
        </w:tc>
        <w:tc>
          <w:tcPr>
            <w:tcW w:w="20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80" w:type="dxa"/>
            <w:vAlign w:val="bottom"/>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119"/>
              <w:spacing w:after="0"/>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($)(6)</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2"/>
                <w:szCs w:val="12"/>
                <w:b w:val="1"/>
                <w:bCs w:val="1"/>
                <w:color w:val="auto"/>
              </w:rPr>
              <w:t>($)(7)</w:t>
            </w:r>
          </w:p>
        </w:tc>
        <w:tc>
          <w:tcPr>
            <w:tcW w:w="180" w:type="dxa"/>
            <w:vAlign w:val="bottom"/>
          </w:tcPr>
          <w:p>
            <w:pPr>
              <w:spacing w:after="0"/>
              <w:rPr>
                <w:sz w:val="18"/>
                <w:szCs w:val="18"/>
                <w:color w:val="auto"/>
              </w:rPr>
            </w:pPr>
          </w:p>
        </w:tc>
        <w:tc>
          <w:tcPr>
            <w:tcW w:w="980" w:type="dxa"/>
            <w:vAlign w:val="bottom"/>
            <w:tcBorders>
              <w:bottom w:val="single" w:sz="8" w:color="auto"/>
            </w:tcBorders>
            <w:gridSpan w:val="2"/>
          </w:tcPr>
          <w:p>
            <w:pPr>
              <w:jc w:val="right"/>
              <w:ind w:right="299"/>
              <w:spacing w:after="0"/>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219"/>
              <w:spacing w:after="0"/>
              <w:rPr>
                <w:sz w:val="20"/>
                <w:szCs w:val="20"/>
                <w:color w:val="auto"/>
              </w:rPr>
            </w:pPr>
            <w:r>
              <w:rPr>
                <w:rFonts w:ascii="Arial" w:cs="Arial" w:eastAsia="Arial" w:hAnsi="Arial"/>
                <w:sz w:val="12"/>
                <w:szCs w:val="12"/>
                <w:b w:val="1"/>
                <w:bCs w:val="1"/>
                <w:color w:val="auto"/>
                <w:w w:val="99"/>
              </w:rPr>
              <w:t>($)(10)</w:t>
            </w:r>
          </w:p>
        </w:tc>
        <w:tc>
          <w:tcPr>
            <w:tcW w:w="200" w:type="dxa"/>
            <w:vAlign w:val="bottom"/>
          </w:tcPr>
          <w:p>
            <w:pPr>
              <w:spacing w:after="0"/>
              <w:rPr>
                <w:sz w:val="18"/>
                <w:szCs w:val="18"/>
                <w:color w:val="auto"/>
              </w:rPr>
            </w:pPr>
          </w:p>
        </w:tc>
        <w:tc>
          <w:tcPr>
            <w:tcW w:w="78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2"/>
                <w:szCs w:val="12"/>
                <w:b w:val="1"/>
                <w:bCs w:val="1"/>
                <w:color w:val="auto"/>
              </w:rPr>
              <w:t>Total ($)</w:t>
            </w:r>
          </w:p>
        </w:tc>
        <w:tc>
          <w:tcPr>
            <w:tcW w:w="20" w:type="dxa"/>
            <w:vAlign w:val="bottom"/>
          </w:tcPr>
          <w:p>
            <w:pPr>
              <w:spacing w:after="0"/>
              <w:rPr>
                <w:sz w:val="18"/>
                <w:szCs w:val="18"/>
                <w:color w:val="auto"/>
              </w:rPr>
            </w:pPr>
          </w:p>
        </w:tc>
      </w:tr>
      <w:tr>
        <w:trPr>
          <w:trHeight w:val="201"/>
        </w:trPr>
        <w:tc>
          <w:tcPr>
            <w:tcW w:w="2500" w:type="dxa"/>
            <w:vAlign w:val="bottom"/>
            <w:shd w:val="clear" w:color="auto" w:fill="C0C0C0"/>
          </w:tcPr>
          <w:p>
            <w:pPr>
              <w:spacing w:after="0"/>
              <w:rPr>
                <w:sz w:val="20"/>
                <w:szCs w:val="20"/>
                <w:color w:val="auto"/>
              </w:rPr>
            </w:pPr>
            <w:r>
              <w:rPr>
                <w:rFonts w:ascii="Arial" w:cs="Arial" w:eastAsia="Arial" w:hAnsi="Arial"/>
                <w:sz w:val="12"/>
                <w:szCs w:val="12"/>
                <w:color w:val="auto"/>
              </w:rPr>
              <w:t>R. K. Templeton</w:t>
            </w:r>
          </w:p>
        </w:tc>
        <w:tc>
          <w:tcPr>
            <w:tcW w:w="4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2007</w:t>
            </w:r>
          </w:p>
        </w:tc>
        <w:tc>
          <w:tcPr>
            <w:tcW w:w="11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$932,120</w:t>
            </w:r>
          </w:p>
        </w:tc>
        <w:tc>
          <w:tcPr>
            <w:tcW w:w="6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w w:val="89"/>
              </w:rPr>
              <w:t>0</w:t>
            </w:r>
          </w:p>
        </w:tc>
        <w:tc>
          <w:tcPr>
            <w:tcW w:w="1060" w:type="dxa"/>
            <w:vAlign w:val="bottom"/>
            <w:gridSpan w:val="3"/>
            <w:shd w:val="clear" w:color="auto" w:fill="C0C0C0"/>
          </w:tcPr>
          <w:p>
            <w:pPr>
              <w:jc w:val="right"/>
              <w:ind w:right="79"/>
              <w:spacing w:after="0"/>
              <w:rPr>
                <w:sz w:val="20"/>
                <w:szCs w:val="20"/>
                <w:color w:val="auto"/>
              </w:rPr>
            </w:pPr>
            <w:r>
              <w:rPr>
                <w:rFonts w:ascii="Arial" w:cs="Arial" w:eastAsia="Arial" w:hAnsi="Arial"/>
                <w:sz w:val="12"/>
                <w:szCs w:val="12"/>
                <w:color w:val="auto"/>
              </w:rPr>
              <w:t>$3,526,500</w:t>
            </w:r>
          </w:p>
        </w:tc>
        <w:tc>
          <w:tcPr>
            <w:tcW w:w="940" w:type="dxa"/>
            <w:vAlign w:val="bottom"/>
            <w:gridSpan w:val="2"/>
            <w:shd w:val="clear" w:color="auto" w:fill="C0C0C0"/>
          </w:tcPr>
          <w:p>
            <w:pPr>
              <w:jc w:val="right"/>
              <w:ind w:right="79"/>
              <w:spacing w:after="0"/>
              <w:rPr>
                <w:sz w:val="20"/>
                <w:szCs w:val="20"/>
                <w:color w:val="auto"/>
              </w:rPr>
            </w:pPr>
            <w:r>
              <w:rPr>
                <w:rFonts w:ascii="Arial" w:cs="Arial" w:eastAsia="Arial" w:hAnsi="Arial"/>
                <w:sz w:val="12"/>
                <w:szCs w:val="12"/>
                <w:color w:val="auto"/>
              </w:rPr>
              <w:t>$5,753,975</w:t>
            </w:r>
          </w:p>
        </w:tc>
        <w:tc>
          <w:tcPr>
            <w:tcW w:w="200" w:type="dxa"/>
            <w:vAlign w:val="bottom"/>
            <w:shd w:val="clear" w:color="auto" w:fill="C0C0C0"/>
          </w:tcPr>
          <w:p>
            <w:pPr>
              <w:spacing w:after="0"/>
              <w:rPr>
                <w:sz w:val="17"/>
                <w:szCs w:val="17"/>
                <w:color w:val="auto"/>
              </w:rPr>
            </w:pPr>
          </w:p>
        </w:tc>
        <w:tc>
          <w:tcPr>
            <w:tcW w:w="1200" w:type="dxa"/>
            <w:vAlign w:val="bottom"/>
            <w:gridSpan w:val="2"/>
            <w:shd w:val="clear" w:color="auto" w:fill="C0C0C0"/>
          </w:tcPr>
          <w:p>
            <w:pPr>
              <w:jc w:val="right"/>
              <w:ind w:right="259"/>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2,395,822</w:t>
            </w:r>
          </w:p>
        </w:tc>
        <w:tc>
          <w:tcPr>
            <w:tcW w:w="1160" w:type="dxa"/>
            <w:vAlign w:val="bottom"/>
            <w:gridSpan w:val="3"/>
            <w:shd w:val="clear" w:color="auto" w:fill="C0C0C0"/>
          </w:tcPr>
          <w:p>
            <w:pPr>
              <w:jc w:val="center"/>
              <w:ind w:left="119"/>
              <w:spacing w:after="0"/>
              <w:rPr>
                <w:sz w:val="20"/>
                <w:szCs w:val="20"/>
                <w:color w:val="auto"/>
              </w:rPr>
            </w:pPr>
            <w:r>
              <w:rPr>
                <w:rFonts w:ascii="Arial" w:cs="Arial" w:eastAsia="Arial" w:hAnsi="Arial"/>
                <w:sz w:val="12"/>
                <w:szCs w:val="12"/>
                <w:color w:val="auto"/>
                <w:w w:val="95"/>
              </w:rPr>
              <w:t>(9</w:t>
            </w:r>
            <w:r>
              <w:rPr>
                <w:rFonts w:ascii="Arial" w:cs="Arial" w:eastAsia="Arial" w:hAnsi="Arial"/>
                <w:sz w:val="12"/>
                <w:szCs w:val="12"/>
                <w:b w:val="1"/>
                <w:bCs w:val="1"/>
                <w:color w:val="auto"/>
                <w:w w:val="95"/>
              </w:rPr>
              <w:t>)</w:t>
            </w:r>
          </w:p>
        </w:tc>
        <w:tc>
          <w:tcPr>
            <w:tcW w:w="200" w:type="dxa"/>
            <w:vAlign w:val="bottom"/>
            <w:shd w:val="clear" w:color="auto" w:fill="C0C0C0"/>
          </w:tcPr>
          <w:p>
            <w:pPr>
              <w:spacing w:after="0"/>
              <w:rPr>
                <w:sz w:val="17"/>
                <w:szCs w:val="17"/>
                <w:color w:val="auto"/>
              </w:rPr>
            </w:pPr>
          </w:p>
        </w:tc>
        <w:tc>
          <w:tcPr>
            <w:tcW w:w="940" w:type="dxa"/>
            <w:vAlign w:val="bottom"/>
            <w:gridSpan w:val="2"/>
            <w:shd w:val="clear" w:color="auto" w:fill="C0C0C0"/>
          </w:tcPr>
          <w:p>
            <w:pPr>
              <w:jc w:val="right"/>
              <w:ind w:right="179"/>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2"/>
                <w:szCs w:val="12"/>
                <w:color w:val="auto"/>
              </w:rPr>
              <w:t>111,417</w:t>
            </w:r>
          </w:p>
        </w:tc>
        <w:tc>
          <w:tcPr>
            <w:tcW w:w="3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6"/>
              </w:rPr>
              <w:t>12,719,834</w:t>
            </w:r>
          </w:p>
        </w:tc>
        <w:tc>
          <w:tcPr>
            <w:tcW w:w="20" w:type="dxa"/>
            <w:vAlign w:val="bottom"/>
          </w:tcPr>
          <w:p>
            <w:pPr>
              <w:spacing w:after="0"/>
              <w:rPr>
                <w:sz w:val="17"/>
                <w:szCs w:val="17"/>
                <w:color w:val="auto"/>
              </w:rPr>
            </w:pPr>
          </w:p>
        </w:tc>
      </w:tr>
      <w:tr>
        <w:trPr>
          <w:trHeight w:val="221"/>
        </w:trPr>
        <w:tc>
          <w:tcPr>
            <w:tcW w:w="2500" w:type="dxa"/>
            <w:vAlign w:val="bottom"/>
            <w:shd w:val="clear" w:color="auto" w:fill="C0C0C0"/>
          </w:tcPr>
          <w:p>
            <w:pPr>
              <w:spacing w:after="0"/>
              <w:rPr>
                <w:sz w:val="20"/>
                <w:szCs w:val="20"/>
                <w:color w:val="auto"/>
              </w:rPr>
            </w:pPr>
            <w:r>
              <w:rPr>
                <w:rFonts w:ascii="Arial" w:cs="Arial" w:eastAsia="Arial" w:hAnsi="Arial"/>
                <w:sz w:val="12"/>
                <w:szCs w:val="12"/>
                <w:color w:val="auto"/>
              </w:rPr>
              <w:t>President &amp; Chief</w:t>
            </w:r>
          </w:p>
        </w:tc>
        <w:tc>
          <w:tcPr>
            <w:tcW w:w="140" w:type="dxa"/>
            <w:vAlign w:val="bottom"/>
            <w:shd w:val="clear" w:color="auto" w:fill="C0C0C0"/>
          </w:tcPr>
          <w:p>
            <w:pPr>
              <w:spacing w:after="0"/>
              <w:rPr>
                <w:sz w:val="19"/>
                <w:szCs w:val="19"/>
                <w:color w:val="auto"/>
              </w:rPr>
            </w:pPr>
          </w:p>
        </w:tc>
        <w:tc>
          <w:tcPr>
            <w:tcW w:w="3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2006</w:t>
            </w:r>
          </w:p>
        </w:tc>
        <w:tc>
          <w:tcPr>
            <w:tcW w:w="11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$897,500</w:t>
            </w:r>
          </w:p>
        </w:tc>
        <w:tc>
          <w:tcPr>
            <w:tcW w:w="6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w w:val="89"/>
              </w:rPr>
              <w:t>0</w:t>
            </w:r>
          </w:p>
        </w:tc>
        <w:tc>
          <w:tcPr>
            <w:tcW w:w="1060" w:type="dxa"/>
            <w:vAlign w:val="bottom"/>
            <w:gridSpan w:val="3"/>
            <w:shd w:val="clear" w:color="auto" w:fill="C0C0C0"/>
          </w:tcPr>
          <w:p>
            <w:pPr>
              <w:jc w:val="right"/>
              <w:ind w:right="79"/>
              <w:spacing w:after="0"/>
              <w:rPr>
                <w:sz w:val="20"/>
                <w:szCs w:val="20"/>
                <w:color w:val="auto"/>
              </w:rPr>
            </w:pPr>
            <w:r>
              <w:rPr>
                <w:rFonts w:ascii="Arial" w:cs="Arial" w:eastAsia="Arial" w:hAnsi="Arial"/>
                <w:sz w:val="12"/>
                <w:szCs w:val="12"/>
                <w:color w:val="auto"/>
              </w:rPr>
              <w:t>$2,553,000</w:t>
            </w:r>
          </w:p>
        </w:tc>
        <w:tc>
          <w:tcPr>
            <w:tcW w:w="940" w:type="dxa"/>
            <w:vAlign w:val="bottom"/>
            <w:gridSpan w:val="2"/>
            <w:shd w:val="clear" w:color="auto" w:fill="C0C0C0"/>
          </w:tcPr>
          <w:p>
            <w:pPr>
              <w:jc w:val="right"/>
              <w:ind w:right="79"/>
              <w:spacing w:after="0"/>
              <w:rPr>
                <w:sz w:val="20"/>
                <w:szCs w:val="20"/>
                <w:color w:val="auto"/>
              </w:rPr>
            </w:pPr>
            <w:r>
              <w:rPr>
                <w:rFonts w:ascii="Arial" w:cs="Arial" w:eastAsia="Arial" w:hAnsi="Arial"/>
                <w:sz w:val="12"/>
                <w:szCs w:val="12"/>
                <w:color w:val="auto"/>
              </w:rPr>
              <w:t>$5,703,156</w:t>
            </w:r>
          </w:p>
        </w:tc>
        <w:tc>
          <w:tcPr>
            <w:tcW w:w="1400" w:type="dxa"/>
            <w:vAlign w:val="bottom"/>
            <w:gridSpan w:val="3"/>
            <w:shd w:val="clear" w:color="auto" w:fill="C0C0C0"/>
          </w:tcPr>
          <w:p>
            <w:pPr>
              <w:jc w:val="right"/>
              <w:ind w:right="259"/>
              <w:spacing w:after="0"/>
              <w:rPr>
                <w:sz w:val="20"/>
                <w:szCs w:val="20"/>
                <w:color w:val="auto"/>
              </w:rPr>
            </w:pPr>
            <w:r>
              <w:rPr>
                <w:rFonts w:ascii="Arial" w:cs="Arial" w:eastAsia="Arial" w:hAnsi="Arial"/>
                <w:sz w:val="12"/>
                <w:szCs w:val="12"/>
                <w:color w:val="auto"/>
              </w:rPr>
              <w:t>$2,379,070</w:t>
            </w:r>
          </w:p>
        </w:tc>
        <w:tc>
          <w:tcPr>
            <w:tcW w:w="180" w:type="dxa"/>
            <w:vAlign w:val="bottom"/>
            <w:shd w:val="clear" w:color="auto" w:fill="C0C0C0"/>
          </w:tcPr>
          <w:p>
            <w:pPr>
              <w:spacing w:after="0"/>
              <w:rPr>
                <w:sz w:val="19"/>
                <w:szCs w:val="19"/>
                <w:color w:val="auto"/>
              </w:rPr>
            </w:pPr>
          </w:p>
        </w:tc>
        <w:tc>
          <w:tcPr>
            <w:tcW w:w="3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0C0C0"/>
          </w:tcPr>
          <w:p>
            <w:pPr>
              <w:jc w:val="right"/>
              <w:ind w:right="199"/>
              <w:spacing w:after="0"/>
              <w:rPr>
                <w:sz w:val="20"/>
                <w:szCs w:val="20"/>
                <w:color w:val="auto"/>
              </w:rPr>
            </w:pPr>
            <w:r>
              <w:rPr>
                <w:rFonts w:ascii="Arial" w:cs="Arial" w:eastAsia="Arial" w:hAnsi="Arial"/>
                <w:sz w:val="12"/>
                <w:szCs w:val="12"/>
                <w:color w:val="auto"/>
              </w:rPr>
              <w:t>17,578</w:t>
            </w:r>
          </w:p>
        </w:tc>
        <w:tc>
          <w:tcPr>
            <w:tcW w:w="200" w:type="dxa"/>
            <w:vAlign w:val="bottom"/>
            <w:shd w:val="clear" w:color="auto" w:fill="C0C0C0"/>
          </w:tcPr>
          <w:p>
            <w:pPr>
              <w:spacing w:after="0"/>
              <w:rPr>
                <w:sz w:val="19"/>
                <w:szCs w:val="19"/>
                <w:color w:val="auto"/>
              </w:rPr>
            </w:pPr>
          </w:p>
        </w:tc>
        <w:tc>
          <w:tcPr>
            <w:tcW w:w="940" w:type="dxa"/>
            <w:vAlign w:val="bottom"/>
            <w:gridSpan w:val="2"/>
            <w:shd w:val="clear" w:color="auto" w:fill="C0C0C0"/>
          </w:tcPr>
          <w:p>
            <w:pPr>
              <w:jc w:val="right"/>
              <w:ind w:right="179"/>
              <w:spacing w:after="0" w:line="22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173,769</w:t>
            </w:r>
          </w:p>
        </w:tc>
        <w:tc>
          <w:tcPr>
            <w:tcW w:w="3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6"/>
              </w:rPr>
              <w:t>11,724,073</w:t>
            </w:r>
          </w:p>
        </w:tc>
        <w:tc>
          <w:tcPr>
            <w:tcW w:w="20" w:type="dxa"/>
            <w:vAlign w:val="bottom"/>
          </w:tcPr>
          <w:p>
            <w:pPr>
              <w:spacing w:after="0"/>
              <w:rPr>
                <w:sz w:val="19"/>
                <w:szCs w:val="19"/>
                <w:color w:val="auto"/>
              </w:rPr>
            </w:pPr>
          </w:p>
        </w:tc>
      </w:tr>
      <w:tr>
        <w:trPr>
          <w:trHeight w:val="233"/>
        </w:trPr>
        <w:tc>
          <w:tcPr>
            <w:tcW w:w="2500" w:type="dxa"/>
            <w:vAlign w:val="bottom"/>
            <w:shd w:val="clear" w:color="auto" w:fill="C0C0C0"/>
          </w:tcPr>
          <w:p>
            <w:pPr>
              <w:spacing w:after="0"/>
              <w:rPr>
                <w:sz w:val="20"/>
                <w:szCs w:val="20"/>
                <w:color w:val="auto"/>
              </w:rPr>
            </w:pPr>
            <w:r>
              <w:rPr>
                <w:rFonts w:ascii="Arial" w:cs="Arial" w:eastAsia="Arial" w:hAnsi="Arial"/>
                <w:sz w:val="12"/>
                <w:szCs w:val="12"/>
                <w:color w:val="auto"/>
              </w:rPr>
              <w:t>Executive Officer</w:t>
            </w:r>
          </w:p>
        </w:tc>
        <w:tc>
          <w:tcPr>
            <w:tcW w:w="14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94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21"/>
        </w:trPr>
        <w:tc>
          <w:tcPr>
            <w:tcW w:w="250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1140" w:type="dxa"/>
            <w:vAlign w:val="bottom"/>
            <w:gridSpan w:val="2"/>
          </w:tcPr>
          <w:p>
            <w:pPr>
              <w:spacing w:after="0"/>
              <w:rPr>
                <w:sz w:val="19"/>
                <w:szCs w:val="19"/>
                <w:color w:val="auto"/>
              </w:rPr>
            </w:pPr>
          </w:p>
        </w:tc>
        <w:tc>
          <w:tcPr>
            <w:tcW w:w="640" w:type="dxa"/>
            <w:vAlign w:val="bottom"/>
            <w:gridSpan w:val="2"/>
          </w:tcPr>
          <w:p>
            <w:pPr>
              <w:spacing w:after="0"/>
              <w:rPr>
                <w:sz w:val="19"/>
                <w:szCs w:val="19"/>
                <w:color w:val="auto"/>
              </w:rPr>
            </w:pPr>
          </w:p>
        </w:tc>
        <w:tc>
          <w:tcPr>
            <w:tcW w:w="380" w:type="dxa"/>
            <w:vAlign w:val="bottom"/>
            <w:gridSpan w:val="2"/>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620" w:type="dxa"/>
            <w:vAlign w:val="bottom"/>
            <w:gridSpan w:val="2"/>
          </w:tcPr>
          <w:p>
            <w:pPr>
              <w:spacing w:after="0"/>
              <w:rPr>
                <w:sz w:val="19"/>
                <w:szCs w:val="19"/>
                <w:color w:val="auto"/>
              </w:rPr>
            </w:pPr>
          </w:p>
        </w:tc>
      </w:tr>
      <w:tr>
        <w:trPr>
          <w:trHeight w:val="208"/>
        </w:trPr>
        <w:tc>
          <w:tcPr>
            <w:tcW w:w="2500" w:type="dxa"/>
            <w:vAlign w:val="bottom"/>
            <w:shd w:val="clear" w:color="auto" w:fill="C0C0C0"/>
          </w:tcPr>
          <w:p>
            <w:pPr>
              <w:spacing w:after="0"/>
              <w:rPr>
                <w:sz w:val="20"/>
                <w:szCs w:val="20"/>
                <w:color w:val="auto"/>
              </w:rPr>
            </w:pPr>
            <w:r>
              <w:rPr>
                <w:rFonts w:ascii="Arial" w:cs="Arial" w:eastAsia="Arial" w:hAnsi="Arial"/>
                <w:sz w:val="12"/>
                <w:szCs w:val="12"/>
                <w:color w:val="auto"/>
              </w:rPr>
              <w:t>K. P. March</w:t>
            </w:r>
          </w:p>
        </w:tc>
        <w:tc>
          <w:tcPr>
            <w:tcW w:w="4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2007</w:t>
            </w:r>
          </w:p>
        </w:tc>
        <w:tc>
          <w:tcPr>
            <w:tcW w:w="11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$430,430</w:t>
            </w:r>
          </w:p>
        </w:tc>
        <w:tc>
          <w:tcPr>
            <w:tcW w:w="6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w w:val="89"/>
              </w:rPr>
              <w:t>0</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0C0C0"/>
          </w:tcPr>
          <w:p>
            <w:pPr>
              <w:jc w:val="right"/>
              <w:ind w:right="79"/>
              <w:spacing w:after="0"/>
              <w:rPr>
                <w:sz w:val="20"/>
                <w:szCs w:val="20"/>
                <w:color w:val="auto"/>
              </w:rPr>
            </w:pPr>
            <w:r>
              <w:rPr>
                <w:rFonts w:ascii="Arial" w:cs="Arial" w:eastAsia="Arial" w:hAnsi="Arial"/>
                <w:sz w:val="12"/>
                <w:szCs w:val="12"/>
                <w:color w:val="auto"/>
              </w:rPr>
              <w:t>810,788</w:t>
            </w:r>
          </w:p>
        </w:tc>
        <w:tc>
          <w:tcPr>
            <w:tcW w:w="940" w:type="dxa"/>
            <w:vAlign w:val="bottom"/>
            <w:gridSpan w:val="2"/>
            <w:shd w:val="clear" w:color="auto" w:fill="C0C0C0"/>
          </w:tcPr>
          <w:p>
            <w:pPr>
              <w:jc w:val="right"/>
              <w:ind w:right="79"/>
              <w:spacing w:after="0"/>
              <w:rPr>
                <w:sz w:val="20"/>
                <w:szCs w:val="20"/>
                <w:color w:val="auto"/>
              </w:rPr>
            </w:pPr>
            <w:r>
              <w:rPr>
                <w:rFonts w:ascii="Arial" w:cs="Arial" w:eastAsia="Arial" w:hAnsi="Arial"/>
                <w:sz w:val="12"/>
                <w:szCs w:val="12"/>
                <w:color w:val="auto"/>
              </w:rPr>
              <w:t>$1,130,591</w:t>
            </w:r>
          </w:p>
        </w:tc>
        <w:tc>
          <w:tcPr>
            <w:tcW w:w="200" w:type="dxa"/>
            <w:vAlign w:val="bottom"/>
            <w:shd w:val="clear" w:color="auto" w:fill="C0C0C0"/>
          </w:tcPr>
          <w:p>
            <w:pPr>
              <w:spacing w:after="0"/>
              <w:rPr>
                <w:sz w:val="18"/>
                <w:szCs w:val="18"/>
                <w:color w:val="auto"/>
              </w:rPr>
            </w:pPr>
          </w:p>
        </w:tc>
        <w:tc>
          <w:tcPr>
            <w:tcW w:w="380" w:type="dxa"/>
            <w:vAlign w:val="bottom"/>
            <w:shd w:val="clear" w:color="auto" w:fill="C0C0C0"/>
          </w:tcPr>
          <w:p>
            <w:pPr>
              <w:ind w:left="2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0C0C0"/>
          </w:tcPr>
          <w:p>
            <w:pPr>
              <w:jc w:val="right"/>
              <w:ind w:right="259"/>
              <w:spacing w:after="0"/>
              <w:rPr>
                <w:sz w:val="20"/>
                <w:szCs w:val="20"/>
                <w:color w:val="auto"/>
              </w:rPr>
            </w:pPr>
            <w:r>
              <w:rPr>
                <w:rFonts w:ascii="Arial" w:cs="Arial" w:eastAsia="Arial" w:hAnsi="Arial"/>
                <w:sz w:val="12"/>
                <w:szCs w:val="12"/>
                <w:color w:val="auto"/>
              </w:rPr>
              <w:t>694,248</w:t>
            </w:r>
          </w:p>
        </w:tc>
        <w:tc>
          <w:tcPr>
            <w:tcW w:w="180" w:type="dxa"/>
            <w:vAlign w:val="bottom"/>
            <w:shd w:val="clear" w:color="auto" w:fill="C0C0C0"/>
          </w:tcPr>
          <w:p>
            <w:pPr>
              <w:spacing w:after="0"/>
              <w:rPr>
                <w:sz w:val="18"/>
                <w:szCs w:val="18"/>
                <w:color w:val="auto"/>
              </w:rPr>
            </w:pPr>
          </w:p>
        </w:tc>
        <w:tc>
          <w:tcPr>
            <w:tcW w:w="980" w:type="dxa"/>
            <w:vAlign w:val="bottom"/>
            <w:gridSpan w:val="2"/>
            <w:shd w:val="clear" w:color="auto" w:fill="C0C0C0"/>
          </w:tcPr>
          <w:p>
            <w:pPr>
              <w:jc w:val="right"/>
              <w:ind w:right="199"/>
              <w:spacing w:after="0" w:line="209"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294,365</w:t>
            </w:r>
          </w:p>
        </w:tc>
        <w:tc>
          <w:tcPr>
            <w:tcW w:w="200" w:type="dxa"/>
            <w:vAlign w:val="bottom"/>
            <w:shd w:val="clear" w:color="auto" w:fill="C0C0C0"/>
          </w:tcPr>
          <w:p>
            <w:pPr>
              <w:spacing w:after="0"/>
              <w:rPr>
                <w:sz w:val="18"/>
                <w:szCs w:val="18"/>
                <w:color w:val="auto"/>
              </w:rPr>
            </w:pPr>
          </w:p>
        </w:tc>
        <w:tc>
          <w:tcPr>
            <w:tcW w:w="2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0C0C0"/>
          </w:tcPr>
          <w:p>
            <w:pPr>
              <w:jc w:val="right"/>
              <w:ind w:right="179"/>
              <w:spacing w:after="0"/>
              <w:rPr>
                <w:sz w:val="20"/>
                <w:szCs w:val="20"/>
                <w:color w:val="auto"/>
              </w:rPr>
            </w:pPr>
            <w:r>
              <w:rPr>
                <w:rFonts w:ascii="Arial" w:cs="Arial" w:eastAsia="Arial" w:hAnsi="Arial"/>
                <w:sz w:val="12"/>
                <w:szCs w:val="12"/>
                <w:color w:val="auto"/>
              </w:rPr>
              <w:t>21,758</w:t>
            </w:r>
          </w:p>
        </w:tc>
        <w:tc>
          <w:tcPr>
            <w:tcW w:w="3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3,382,180</w:t>
            </w:r>
          </w:p>
        </w:tc>
        <w:tc>
          <w:tcPr>
            <w:tcW w:w="20" w:type="dxa"/>
            <w:vAlign w:val="bottom"/>
          </w:tcPr>
          <w:p>
            <w:pPr>
              <w:spacing w:after="0"/>
              <w:rPr>
                <w:sz w:val="18"/>
                <w:szCs w:val="18"/>
                <w:color w:val="auto"/>
              </w:rPr>
            </w:pPr>
          </w:p>
        </w:tc>
      </w:tr>
      <w:tr>
        <w:trPr>
          <w:trHeight w:val="221"/>
        </w:trPr>
        <w:tc>
          <w:tcPr>
            <w:tcW w:w="2500" w:type="dxa"/>
            <w:vAlign w:val="bottom"/>
            <w:shd w:val="clear" w:color="auto" w:fill="C0C0C0"/>
          </w:tcPr>
          <w:p>
            <w:pPr>
              <w:spacing w:after="0"/>
              <w:rPr>
                <w:sz w:val="20"/>
                <w:szCs w:val="20"/>
                <w:color w:val="auto"/>
              </w:rPr>
            </w:pPr>
            <w:r>
              <w:rPr>
                <w:rFonts w:ascii="Arial" w:cs="Arial" w:eastAsia="Arial" w:hAnsi="Arial"/>
                <w:sz w:val="12"/>
                <w:szCs w:val="12"/>
                <w:color w:val="auto"/>
              </w:rPr>
              <w:t>Senior Vice President</w:t>
            </w:r>
          </w:p>
        </w:tc>
        <w:tc>
          <w:tcPr>
            <w:tcW w:w="140" w:type="dxa"/>
            <w:vAlign w:val="bottom"/>
            <w:shd w:val="clear" w:color="auto" w:fill="C0C0C0"/>
          </w:tcPr>
          <w:p>
            <w:pPr>
              <w:spacing w:after="0"/>
              <w:rPr>
                <w:sz w:val="19"/>
                <w:szCs w:val="19"/>
                <w:color w:val="auto"/>
              </w:rPr>
            </w:pPr>
          </w:p>
        </w:tc>
        <w:tc>
          <w:tcPr>
            <w:tcW w:w="3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2006</w:t>
            </w:r>
          </w:p>
        </w:tc>
        <w:tc>
          <w:tcPr>
            <w:tcW w:w="11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$371,169</w:t>
            </w:r>
          </w:p>
        </w:tc>
        <w:tc>
          <w:tcPr>
            <w:tcW w:w="6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w w:val="89"/>
              </w:rPr>
              <w:t>0</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0C0C0"/>
          </w:tcPr>
          <w:p>
            <w:pPr>
              <w:jc w:val="right"/>
              <w:ind w:right="79"/>
              <w:spacing w:after="0"/>
              <w:rPr>
                <w:sz w:val="20"/>
                <w:szCs w:val="20"/>
                <w:color w:val="auto"/>
              </w:rPr>
            </w:pPr>
            <w:r>
              <w:rPr>
                <w:rFonts w:ascii="Arial" w:cs="Arial" w:eastAsia="Arial" w:hAnsi="Arial"/>
                <w:sz w:val="12"/>
                <w:szCs w:val="12"/>
                <w:color w:val="auto"/>
              </w:rPr>
              <w:t>669,988</w:t>
            </w:r>
          </w:p>
        </w:tc>
        <w:tc>
          <w:tcPr>
            <w:tcW w:w="940" w:type="dxa"/>
            <w:vAlign w:val="bottom"/>
            <w:gridSpan w:val="2"/>
            <w:shd w:val="clear" w:color="auto" w:fill="C0C0C0"/>
          </w:tcPr>
          <w:p>
            <w:pPr>
              <w:jc w:val="right"/>
              <w:ind w:right="79"/>
              <w:spacing w:after="0"/>
              <w:rPr>
                <w:sz w:val="20"/>
                <w:szCs w:val="20"/>
                <w:color w:val="auto"/>
              </w:rPr>
            </w:pPr>
            <w:r>
              <w:rPr>
                <w:rFonts w:ascii="Arial" w:cs="Arial" w:eastAsia="Arial" w:hAnsi="Arial"/>
                <w:sz w:val="12"/>
                <w:szCs w:val="12"/>
                <w:color w:val="auto"/>
              </w:rPr>
              <w:t>$1,022,478</w:t>
            </w:r>
          </w:p>
        </w:tc>
        <w:tc>
          <w:tcPr>
            <w:tcW w:w="200" w:type="dxa"/>
            <w:vAlign w:val="bottom"/>
            <w:shd w:val="clear" w:color="auto" w:fill="C0C0C0"/>
          </w:tcPr>
          <w:p>
            <w:pPr>
              <w:spacing w:after="0"/>
              <w:rPr>
                <w:sz w:val="19"/>
                <w:szCs w:val="19"/>
                <w:color w:val="auto"/>
              </w:rPr>
            </w:pPr>
          </w:p>
        </w:tc>
        <w:tc>
          <w:tcPr>
            <w:tcW w:w="380" w:type="dxa"/>
            <w:vAlign w:val="bottom"/>
            <w:shd w:val="clear" w:color="auto" w:fill="C0C0C0"/>
          </w:tcPr>
          <w:p>
            <w:pPr>
              <w:ind w:left="2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0C0C0"/>
          </w:tcPr>
          <w:p>
            <w:pPr>
              <w:jc w:val="right"/>
              <w:ind w:right="259"/>
              <w:spacing w:after="0"/>
              <w:rPr>
                <w:sz w:val="20"/>
                <w:szCs w:val="20"/>
                <w:color w:val="auto"/>
              </w:rPr>
            </w:pPr>
            <w:r>
              <w:rPr>
                <w:rFonts w:ascii="Arial" w:cs="Arial" w:eastAsia="Arial" w:hAnsi="Arial"/>
                <w:sz w:val="12"/>
                <w:szCs w:val="12"/>
                <w:color w:val="auto"/>
              </w:rPr>
              <w:t>683,344</w:t>
            </w:r>
          </w:p>
        </w:tc>
        <w:tc>
          <w:tcPr>
            <w:tcW w:w="1160" w:type="dxa"/>
            <w:vAlign w:val="bottom"/>
            <w:gridSpan w:val="3"/>
            <w:shd w:val="clear" w:color="auto" w:fill="C0C0C0"/>
          </w:tcPr>
          <w:p>
            <w:pPr>
              <w:jc w:val="right"/>
              <w:ind w:right="199"/>
              <w:spacing w:after="0"/>
              <w:rPr>
                <w:sz w:val="20"/>
                <w:szCs w:val="20"/>
                <w:color w:val="auto"/>
              </w:rPr>
            </w:pPr>
            <w:r>
              <w:rPr>
                <w:rFonts w:ascii="Arial" w:cs="Arial" w:eastAsia="Arial" w:hAnsi="Arial"/>
                <w:sz w:val="12"/>
                <w:szCs w:val="12"/>
                <w:color w:val="auto"/>
              </w:rPr>
              <w:t>$234,690</w:t>
            </w:r>
          </w:p>
        </w:tc>
        <w:tc>
          <w:tcPr>
            <w:tcW w:w="4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0C0C0"/>
          </w:tcPr>
          <w:p>
            <w:pPr>
              <w:jc w:val="right"/>
              <w:ind w:right="179"/>
              <w:spacing w:after="0"/>
              <w:rPr>
                <w:sz w:val="20"/>
                <w:szCs w:val="20"/>
                <w:color w:val="auto"/>
              </w:rPr>
            </w:pPr>
            <w:r>
              <w:rPr>
                <w:rFonts w:ascii="Arial" w:cs="Arial" w:eastAsia="Arial" w:hAnsi="Arial"/>
                <w:sz w:val="12"/>
                <w:szCs w:val="12"/>
                <w:color w:val="auto"/>
              </w:rPr>
              <w:t>33,414</w:t>
            </w:r>
          </w:p>
        </w:tc>
        <w:tc>
          <w:tcPr>
            <w:tcW w:w="3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3,015,083</w:t>
            </w:r>
          </w:p>
        </w:tc>
        <w:tc>
          <w:tcPr>
            <w:tcW w:w="20" w:type="dxa"/>
            <w:vAlign w:val="bottom"/>
          </w:tcPr>
          <w:p>
            <w:pPr>
              <w:spacing w:after="0"/>
              <w:rPr>
                <w:sz w:val="19"/>
                <w:szCs w:val="19"/>
                <w:color w:val="auto"/>
              </w:rPr>
            </w:pPr>
          </w:p>
        </w:tc>
      </w:tr>
      <w:tr>
        <w:trPr>
          <w:trHeight w:val="233"/>
        </w:trPr>
        <w:tc>
          <w:tcPr>
            <w:tcW w:w="2500" w:type="dxa"/>
            <w:vAlign w:val="bottom"/>
            <w:shd w:val="clear" w:color="auto" w:fill="C0C0C0"/>
          </w:tcPr>
          <w:p>
            <w:pPr>
              <w:spacing w:after="0"/>
              <w:rPr>
                <w:sz w:val="20"/>
                <w:szCs w:val="20"/>
                <w:color w:val="auto"/>
              </w:rPr>
            </w:pPr>
            <w:r>
              <w:rPr>
                <w:rFonts w:ascii="Arial" w:cs="Arial" w:eastAsia="Arial" w:hAnsi="Arial"/>
                <w:sz w:val="12"/>
                <w:szCs w:val="12"/>
                <w:color w:val="auto"/>
              </w:rPr>
              <w:t>&amp; Chief Financial</w:t>
            </w:r>
          </w:p>
        </w:tc>
        <w:tc>
          <w:tcPr>
            <w:tcW w:w="14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94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21"/>
        </w:trPr>
        <w:tc>
          <w:tcPr>
            <w:tcW w:w="2500" w:type="dxa"/>
            <w:vAlign w:val="bottom"/>
            <w:shd w:val="clear" w:color="auto" w:fill="C0C0C0"/>
          </w:tcPr>
          <w:p>
            <w:pPr>
              <w:spacing w:after="0"/>
              <w:rPr>
                <w:sz w:val="20"/>
                <w:szCs w:val="20"/>
                <w:color w:val="auto"/>
              </w:rPr>
            </w:pPr>
            <w:r>
              <w:rPr>
                <w:rFonts w:ascii="Arial" w:cs="Arial" w:eastAsia="Arial" w:hAnsi="Arial"/>
                <w:sz w:val="12"/>
                <w:szCs w:val="12"/>
                <w:color w:val="auto"/>
              </w:rPr>
              <w:t>Officer</w:t>
            </w:r>
          </w:p>
        </w:tc>
        <w:tc>
          <w:tcPr>
            <w:tcW w:w="14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94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7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82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50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1140" w:type="dxa"/>
            <w:vAlign w:val="bottom"/>
            <w:gridSpan w:val="2"/>
          </w:tcPr>
          <w:p>
            <w:pPr>
              <w:spacing w:after="0"/>
              <w:rPr>
                <w:sz w:val="19"/>
                <w:szCs w:val="19"/>
                <w:color w:val="auto"/>
              </w:rPr>
            </w:pPr>
          </w:p>
        </w:tc>
        <w:tc>
          <w:tcPr>
            <w:tcW w:w="6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620" w:type="dxa"/>
            <w:vAlign w:val="bottom"/>
            <w:gridSpan w:val="2"/>
          </w:tcPr>
          <w:p>
            <w:pPr>
              <w:spacing w:after="0"/>
              <w:rPr>
                <w:sz w:val="19"/>
                <w:szCs w:val="19"/>
                <w:color w:val="auto"/>
              </w:rPr>
            </w:pPr>
          </w:p>
        </w:tc>
      </w:tr>
      <w:tr>
        <w:trPr>
          <w:trHeight w:val="208"/>
        </w:trPr>
        <w:tc>
          <w:tcPr>
            <w:tcW w:w="2500" w:type="dxa"/>
            <w:vAlign w:val="bottom"/>
            <w:shd w:val="clear" w:color="auto" w:fill="C0C0C0"/>
          </w:tcPr>
          <w:p>
            <w:pPr>
              <w:spacing w:after="0"/>
              <w:rPr>
                <w:sz w:val="20"/>
                <w:szCs w:val="20"/>
                <w:color w:val="auto"/>
              </w:rPr>
            </w:pPr>
            <w:r>
              <w:rPr>
                <w:rFonts w:ascii="Arial" w:cs="Arial" w:eastAsia="Arial" w:hAnsi="Arial"/>
                <w:sz w:val="12"/>
                <w:szCs w:val="12"/>
                <w:color w:val="auto"/>
              </w:rPr>
              <w:t>T. J. Engibous</w:t>
            </w:r>
          </w:p>
        </w:tc>
        <w:tc>
          <w:tcPr>
            <w:tcW w:w="4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2007</w:t>
            </w:r>
          </w:p>
        </w:tc>
        <w:tc>
          <w:tcPr>
            <w:tcW w:w="11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$305,000</w:t>
            </w:r>
          </w:p>
        </w:tc>
        <w:tc>
          <w:tcPr>
            <w:tcW w:w="6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w w:val="89"/>
              </w:rPr>
              <w:t>0</w:t>
            </w:r>
          </w:p>
        </w:tc>
        <w:tc>
          <w:tcPr>
            <w:tcW w:w="20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680" w:type="dxa"/>
            <w:vAlign w:val="bottom"/>
            <w:shd w:val="clear" w:color="auto" w:fill="C0C0C0"/>
          </w:tcPr>
          <w:p>
            <w:pPr>
              <w:jc w:val="right"/>
              <w:ind w:right="79"/>
              <w:spacing w:after="0"/>
              <w:rPr>
                <w:sz w:val="20"/>
                <w:szCs w:val="20"/>
                <w:color w:val="auto"/>
              </w:rPr>
            </w:pPr>
            <w:r>
              <w:rPr>
                <w:rFonts w:ascii="Arial" w:cs="Arial" w:eastAsia="Arial" w:hAnsi="Arial"/>
                <w:sz w:val="12"/>
                <w:szCs w:val="12"/>
                <w:color w:val="auto"/>
              </w:rPr>
              <w:t>0</w:t>
            </w:r>
          </w:p>
        </w:tc>
        <w:tc>
          <w:tcPr>
            <w:tcW w:w="940" w:type="dxa"/>
            <w:vAlign w:val="bottom"/>
            <w:gridSpan w:val="2"/>
            <w:shd w:val="clear" w:color="auto" w:fill="C0C0C0"/>
          </w:tcPr>
          <w:p>
            <w:pPr>
              <w:jc w:val="right"/>
              <w:ind w:right="79"/>
              <w:spacing w:after="0"/>
              <w:rPr>
                <w:sz w:val="20"/>
                <w:szCs w:val="20"/>
                <w:color w:val="auto"/>
              </w:rPr>
            </w:pPr>
            <w:r>
              <w:rPr>
                <w:rFonts w:ascii="Arial" w:cs="Arial" w:eastAsia="Arial" w:hAnsi="Arial"/>
                <w:sz w:val="12"/>
                <w:szCs w:val="12"/>
                <w:color w:val="auto"/>
              </w:rPr>
              <w:t>$4,827,388</w:t>
            </w:r>
          </w:p>
        </w:tc>
        <w:tc>
          <w:tcPr>
            <w:tcW w:w="200" w:type="dxa"/>
            <w:vAlign w:val="bottom"/>
            <w:shd w:val="clear" w:color="auto" w:fill="C0C0C0"/>
          </w:tcPr>
          <w:p>
            <w:pPr>
              <w:spacing w:after="0"/>
              <w:rPr>
                <w:sz w:val="18"/>
                <w:szCs w:val="18"/>
                <w:color w:val="auto"/>
              </w:rPr>
            </w:pPr>
          </w:p>
        </w:tc>
        <w:tc>
          <w:tcPr>
            <w:tcW w:w="380" w:type="dxa"/>
            <w:vAlign w:val="bottom"/>
            <w:shd w:val="clear" w:color="auto" w:fill="C0C0C0"/>
          </w:tcPr>
          <w:p>
            <w:pPr>
              <w:ind w:left="2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0C0C0"/>
          </w:tcPr>
          <w:p>
            <w:pPr>
              <w:jc w:val="right"/>
              <w:ind w:right="259"/>
              <w:spacing w:after="0"/>
              <w:rPr>
                <w:sz w:val="20"/>
                <w:szCs w:val="20"/>
                <w:color w:val="auto"/>
              </w:rPr>
            </w:pPr>
            <w:r>
              <w:rPr>
                <w:rFonts w:ascii="Arial" w:cs="Arial" w:eastAsia="Arial" w:hAnsi="Arial"/>
                <w:sz w:val="12"/>
                <w:szCs w:val="12"/>
                <w:color w:val="auto"/>
              </w:rPr>
              <w:t>431,354</w:t>
            </w:r>
          </w:p>
        </w:tc>
        <w:tc>
          <w:tcPr>
            <w:tcW w:w="180" w:type="dxa"/>
            <w:vAlign w:val="bottom"/>
            <w:shd w:val="clear" w:color="auto" w:fill="C0C0C0"/>
          </w:tcPr>
          <w:p>
            <w:pPr>
              <w:spacing w:after="0"/>
              <w:rPr>
                <w:sz w:val="18"/>
                <w:szCs w:val="18"/>
                <w:color w:val="auto"/>
              </w:rPr>
            </w:pPr>
          </w:p>
        </w:tc>
        <w:tc>
          <w:tcPr>
            <w:tcW w:w="980" w:type="dxa"/>
            <w:vAlign w:val="bottom"/>
            <w:gridSpan w:val="2"/>
            <w:shd w:val="clear" w:color="auto" w:fill="C0C0C0"/>
          </w:tcPr>
          <w:p>
            <w:pPr>
              <w:jc w:val="right"/>
              <w:ind w:right="199"/>
              <w:spacing w:after="0" w:line="209"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224,644</w:t>
            </w:r>
          </w:p>
        </w:tc>
        <w:tc>
          <w:tcPr>
            <w:tcW w:w="200" w:type="dxa"/>
            <w:vAlign w:val="bottom"/>
            <w:shd w:val="clear" w:color="auto" w:fill="C0C0C0"/>
          </w:tcPr>
          <w:p>
            <w:pPr>
              <w:spacing w:after="0"/>
              <w:rPr>
                <w:sz w:val="18"/>
                <w:szCs w:val="18"/>
                <w:color w:val="auto"/>
              </w:rPr>
            </w:pPr>
          </w:p>
        </w:tc>
        <w:tc>
          <w:tcPr>
            <w:tcW w:w="2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0C0C0"/>
          </w:tcPr>
          <w:p>
            <w:pPr>
              <w:jc w:val="right"/>
              <w:ind w:right="179"/>
              <w:spacing w:after="0"/>
              <w:rPr>
                <w:sz w:val="20"/>
                <w:szCs w:val="20"/>
                <w:color w:val="auto"/>
              </w:rPr>
            </w:pPr>
            <w:r>
              <w:rPr>
                <w:rFonts w:ascii="Arial" w:cs="Arial" w:eastAsia="Arial" w:hAnsi="Arial"/>
                <w:sz w:val="12"/>
                <w:szCs w:val="12"/>
                <w:color w:val="auto"/>
              </w:rPr>
              <w:t>73,465</w:t>
            </w:r>
          </w:p>
        </w:tc>
        <w:tc>
          <w:tcPr>
            <w:tcW w:w="3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5,861,851</w:t>
            </w:r>
          </w:p>
        </w:tc>
        <w:tc>
          <w:tcPr>
            <w:tcW w:w="20" w:type="dxa"/>
            <w:vAlign w:val="bottom"/>
          </w:tcPr>
          <w:p>
            <w:pPr>
              <w:spacing w:after="0"/>
              <w:rPr>
                <w:sz w:val="18"/>
                <w:szCs w:val="18"/>
                <w:color w:val="auto"/>
              </w:rPr>
            </w:pPr>
          </w:p>
        </w:tc>
      </w:tr>
      <w:tr>
        <w:trPr>
          <w:trHeight w:val="221"/>
        </w:trPr>
        <w:tc>
          <w:tcPr>
            <w:tcW w:w="2500" w:type="dxa"/>
            <w:vAlign w:val="bottom"/>
            <w:shd w:val="clear" w:color="auto" w:fill="C0C0C0"/>
          </w:tcPr>
          <w:p>
            <w:pPr>
              <w:spacing w:after="0"/>
              <w:rPr>
                <w:sz w:val="20"/>
                <w:szCs w:val="20"/>
                <w:color w:val="auto"/>
              </w:rPr>
            </w:pPr>
            <w:r>
              <w:rPr>
                <w:rFonts w:ascii="Arial" w:cs="Arial" w:eastAsia="Arial" w:hAnsi="Arial"/>
                <w:sz w:val="12"/>
                <w:szCs w:val="12"/>
                <w:color w:val="auto"/>
              </w:rPr>
              <w:t>Chairman of the</w:t>
            </w:r>
          </w:p>
        </w:tc>
        <w:tc>
          <w:tcPr>
            <w:tcW w:w="140" w:type="dxa"/>
            <w:vAlign w:val="bottom"/>
            <w:shd w:val="clear" w:color="auto" w:fill="C0C0C0"/>
          </w:tcPr>
          <w:p>
            <w:pPr>
              <w:spacing w:after="0"/>
              <w:rPr>
                <w:sz w:val="19"/>
                <w:szCs w:val="19"/>
                <w:color w:val="auto"/>
              </w:rPr>
            </w:pPr>
          </w:p>
        </w:tc>
        <w:tc>
          <w:tcPr>
            <w:tcW w:w="3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2006</w:t>
            </w:r>
          </w:p>
        </w:tc>
        <w:tc>
          <w:tcPr>
            <w:tcW w:w="11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$358,750</w:t>
            </w:r>
          </w:p>
        </w:tc>
        <w:tc>
          <w:tcPr>
            <w:tcW w:w="6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w w:val="89"/>
              </w:rPr>
              <w:t>0</w:t>
            </w:r>
          </w:p>
        </w:tc>
        <w:tc>
          <w:tcPr>
            <w:tcW w:w="38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0C0C0"/>
          </w:tcPr>
          <w:p>
            <w:pPr>
              <w:jc w:val="right"/>
              <w:ind w:right="79"/>
              <w:spacing w:after="0"/>
              <w:rPr>
                <w:sz w:val="20"/>
                <w:szCs w:val="20"/>
                <w:color w:val="auto"/>
              </w:rPr>
            </w:pPr>
            <w:r>
              <w:rPr>
                <w:rFonts w:ascii="Arial" w:cs="Arial" w:eastAsia="Arial" w:hAnsi="Arial"/>
                <w:sz w:val="12"/>
                <w:szCs w:val="12"/>
                <w:color w:val="auto"/>
              </w:rPr>
              <w:t>80,640</w:t>
            </w:r>
          </w:p>
        </w:tc>
        <w:tc>
          <w:tcPr>
            <w:tcW w:w="940" w:type="dxa"/>
            <w:vAlign w:val="bottom"/>
            <w:gridSpan w:val="2"/>
            <w:shd w:val="clear" w:color="auto" w:fill="C0C0C0"/>
          </w:tcPr>
          <w:p>
            <w:pPr>
              <w:jc w:val="right"/>
              <w:ind w:right="79"/>
              <w:spacing w:after="0"/>
              <w:rPr>
                <w:sz w:val="20"/>
                <w:szCs w:val="20"/>
                <w:color w:val="auto"/>
              </w:rPr>
            </w:pPr>
            <w:r>
              <w:rPr>
                <w:rFonts w:ascii="Arial" w:cs="Arial" w:eastAsia="Arial" w:hAnsi="Arial"/>
                <w:sz w:val="12"/>
                <w:szCs w:val="12"/>
                <w:color w:val="auto"/>
              </w:rPr>
              <w:t>$4,051,613</w:t>
            </w:r>
          </w:p>
        </w:tc>
        <w:tc>
          <w:tcPr>
            <w:tcW w:w="200" w:type="dxa"/>
            <w:vAlign w:val="bottom"/>
            <w:shd w:val="clear" w:color="auto" w:fill="C0C0C0"/>
          </w:tcPr>
          <w:p>
            <w:pPr>
              <w:spacing w:after="0"/>
              <w:rPr>
                <w:sz w:val="19"/>
                <w:szCs w:val="19"/>
                <w:color w:val="auto"/>
              </w:rPr>
            </w:pPr>
          </w:p>
        </w:tc>
        <w:tc>
          <w:tcPr>
            <w:tcW w:w="380" w:type="dxa"/>
            <w:vAlign w:val="bottom"/>
            <w:shd w:val="clear" w:color="auto" w:fill="C0C0C0"/>
          </w:tcPr>
          <w:p>
            <w:pPr>
              <w:ind w:left="2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0C0C0"/>
          </w:tcPr>
          <w:p>
            <w:pPr>
              <w:jc w:val="right"/>
              <w:ind w:right="259"/>
              <w:spacing w:after="0"/>
              <w:rPr>
                <w:sz w:val="20"/>
                <w:szCs w:val="20"/>
                <w:color w:val="auto"/>
              </w:rPr>
            </w:pPr>
            <w:r>
              <w:rPr>
                <w:rFonts w:ascii="Arial" w:cs="Arial" w:eastAsia="Arial" w:hAnsi="Arial"/>
                <w:sz w:val="12"/>
                <w:szCs w:val="12"/>
                <w:color w:val="auto"/>
              </w:rPr>
              <w:t>431,606</w:t>
            </w:r>
          </w:p>
        </w:tc>
        <w:tc>
          <w:tcPr>
            <w:tcW w:w="180" w:type="dxa"/>
            <w:vAlign w:val="bottom"/>
            <w:shd w:val="clear" w:color="auto" w:fill="C0C0C0"/>
          </w:tcPr>
          <w:p>
            <w:pPr>
              <w:spacing w:after="0"/>
              <w:rPr>
                <w:sz w:val="19"/>
                <w:szCs w:val="19"/>
                <w:color w:val="auto"/>
              </w:rPr>
            </w:pPr>
          </w:p>
        </w:tc>
        <w:tc>
          <w:tcPr>
            <w:tcW w:w="980" w:type="dxa"/>
            <w:vAlign w:val="bottom"/>
            <w:gridSpan w:val="2"/>
            <w:shd w:val="clear" w:color="auto" w:fill="C0C0C0"/>
          </w:tcPr>
          <w:p>
            <w:pPr>
              <w:jc w:val="right"/>
              <w:ind w:right="199"/>
              <w:spacing w:after="0" w:line="22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439,375</w:t>
            </w:r>
          </w:p>
        </w:tc>
        <w:tc>
          <w:tcPr>
            <w:tcW w:w="200" w:type="dxa"/>
            <w:vAlign w:val="bottom"/>
            <w:shd w:val="clear" w:color="auto" w:fill="C0C0C0"/>
          </w:tcPr>
          <w:p>
            <w:pPr>
              <w:spacing w:after="0"/>
              <w:rPr>
                <w:sz w:val="19"/>
                <w:szCs w:val="19"/>
                <w:color w:val="auto"/>
              </w:rPr>
            </w:pPr>
          </w:p>
        </w:tc>
        <w:tc>
          <w:tcPr>
            <w:tcW w:w="2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0C0C0"/>
          </w:tcPr>
          <w:p>
            <w:pPr>
              <w:jc w:val="right"/>
              <w:ind w:right="179"/>
              <w:spacing w:after="0"/>
              <w:rPr>
                <w:sz w:val="20"/>
                <w:szCs w:val="20"/>
                <w:color w:val="auto"/>
              </w:rPr>
            </w:pPr>
            <w:r>
              <w:rPr>
                <w:rFonts w:ascii="Arial" w:cs="Arial" w:eastAsia="Arial" w:hAnsi="Arial"/>
                <w:sz w:val="12"/>
                <w:szCs w:val="12"/>
                <w:color w:val="auto"/>
              </w:rPr>
              <w:t>58,791</w:t>
            </w:r>
          </w:p>
        </w:tc>
        <w:tc>
          <w:tcPr>
            <w:tcW w:w="3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5,420,775</w:t>
            </w:r>
          </w:p>
        </w:tc>
        <w:tc>
          <w:tcPr>
            <w:tcW w:w="20" w:type="dxa"/>
            <w:vAlign w:val="bottom"/>
          </w:tcPr>
          <w:p>
            <w:pPr>
              <w:spacing w:after="0"/>
              <w:rPr>
                <w:sz w:val="19"/>
                <w:szCs w:val="19"/>
                <w:color w:val="auto"/>
              </w:rPr>
            </w:pPr>
          </w:p>
        </w:tc>
      </w:tr>
      <w:tr>
        <w:trPr>
          <w:trHeight w:val="233"/>
        </w:trPr>
        <w:tc>
          <w:tcPr>
            <w:tcW w:w="2500" w:type="dxa"/>
            <w:vAlign w:val="bottom"/>
            <w:shd w:val="clear" w:color="auto" w:fill="C0C0C0"/>
          </w:tcPr>
          <w:p>
            <w:pPr>
              <w:spacing w:after="0"/>
              <w:rPr>
                <w:sz w:val="20"/>
                <w:szCs w:val="20"/>
                <w:color w:val="auto"/>
              </w:rPr>
            </w:pPr>
            <w:r>
              <w:rPr>
                <w:rFonts w:ascii="Arial" w:cs="Arial" w:eastAsia="Arial" w:hAnsi="Arial"/>
                <w:sz w:val="12"/>
                <w:szCs w:val="12"/>
                <w:color w:val="auto"/>
              </w:rPr>
              <w:t>Board (1)</w:t>
            </w:r>
          </w:p>
        </w:tc>
        <w:tc>
          <w:tcPr>
            <w:tcW w:w="14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94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21"/>
        </w:trPr>
        <w:tc>
          <w:tcPr>
            <w:tcW w:w="250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1140" w:type="dxa"/>
            <w:vAlign w:val="bottom"/>
            <w:gridSpan w:val="2"/>
          </w:tcPr>
          <w:p>
            <w:pPr>
              <w:spacing w:after="0"/>
              <w:rPr>
                <w:sz w:val="19"/>
                <w:szCs w:val="19"/>
                <w:color w:val="auto"/>
              </w:rPr>
            </w:pPr>
          </w:p>
        </w:tc>
        <w:tc>
          <w:tcPr>
            <w:tcW w:w="640" w:type="dxa"/>
            <w:vAlign w:val="bottom"/>
            <w:gridSpan w:val="2"/>
          </w:tcPr>
          <w:p>
            <w:pPr>
              <w:spacing w:after="0"/>
              <w:rPr>
                <w:sz w:val="19"/>
                <w:szCs w:val="19"/>
                <w:color w:val="auto"/>
              </w:rPr>
            </w:pPr>
          </w:p>
        </w:tc>
        <w:tc>
          <w:tcPr>
            <w:tcW w:w="1060" w:type="dxa"/>
            <w:vAlign w:val="bottom"/>
            <w:gridSpan w:val="3"/>
          </w:tcPr>
          <w:p>
            <w:pPr>
              <w:spacing w:after="0"/>
              <w:rPr>
                <w:sz w:val="19"/>
                <w:szCs w:val="19"/>
                <w:color w:val="auto"/>
              </w:rPr>
            </w:pPr>
          </w:p>
        </w:tc>
        <w:tc>
          <w:tcPr>
            <w:tcW w:w="9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620" w:type="dxa"/>
            <w:vAlign w:val="bottom"/>
            <w:gridSpan w:val="2"/>
          </w:tcPr>
          <w:p>
            <w:pPr>
              <w:spacing w:after="0"/>
              <w:rPr>
                <w:sz w:val="19"/>
                <w:szCs w:val="19"/>
                <w:color w:val="auto"/>
              </w:rPr>
            </w:pPr>
          </w:p>
        </w:tc>
      </w:tr>
      <w:tr>
        <w:trPr>
          <w:trHeight w:val="208"/>
        </w:trPr>
        <w:tc>
          <w:tcPr>
            <w:tcW w:w="2500" w:type="dxa"/>
            <w:vAlign w:val="bottom"/>
            <w:shd w:val="clear" w:color="auto" w:fill="C0C0C0"/>
          </w:tcPr>
          <w:p>
            <w:pPr>
              <w:spacing w:after="0"/>
              <w:rPr>
                <w:sz w:val="20"/>
                <w:szCs w:val="20"/>
                <w:color w:val="auto"/>
              </w:rPr>
            </w:pPr>
            <w:r>
              <w:rPr>
                <w:rFonts w:ascii="Arial" w:cs="Arial" w:eastAsia="Arial" w:hAnsi="Arial"/>
                <w:sz w:val="12"/>
                <w:szCs w:val="12"/>
                <w:color w:val="auto"/>
              </w:rPr>
              <w:t>G. A. Lowe</w:t>
            </w:r>
          </w:p>
        </w:tc>
        <w:tc>
          <w:tcPr>
            <w:tcW w:w="4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2007</w:t>
            </w:r>
          </w:p>
        </w:tc>
        <w:tc>
          <w:tcPr>
            <w:tcW w:w="11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$502,535</w:t>
            </w:r>
          </w:p>
        </w:tc>
        <w:tc>
          <w:tcPr>
            <w:tcW w:w="6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w w:val="89"/>
              </w:rPr>
              <w:t>0</w:t>
            </w:r>
          </w:p>
        </w:tc>
        <w:tc>
          <w:tcPr>
            <w:tcW w:w="1060" w:type="dxa"/>
            <w:vAlign w:val="bottom"/>
            <w:gridSpan w:val="3"/>
            <w:shd w:val="clear" w:color="auto" w:fill="C0C0C0"/>
          </w:tcPr>
          <w:p>
            <w:pPr>
              <w:jc w:val="right"/>
              <w:ind w:right="79"/>
              <w:spacing w:after="0"/>
              <w:rPr>
                <w:sz w:val="20"/>
                <w:szCs w:val="20"/>
                <w:color w:val="auto"/>
              </w:rPr>
            </w:pPr>
            <w:r>
              <w:rPr>
                <w:rFonts w:ascii="Arial" w:cs="Arial" w:eastAsia="Arial" w:hAnsi="Arial"/>
                <w:sz w:val="12"/>
                <w:szCs w:val="12"/>
                <w:color w:val="auto"/>
              </w:rPr>
              <w:t>$2,033,450</w:t>
            </w:r>
          </w:p>
        </w:tc>
        <w:tc>
          <w:tcPr>
            <w:tcW w:w="940" w:type="dxa"/>
            <w:vAlign w:val="bottom"/>
            <w:gridSpan w:val="2"/>
            <w:shd w:val="clear" w:color="auto" w:fill="C0C0C0"/>
          </w:tcPr>
          <w:p>
            <w:pPr>
              <w:jc w:val="right"/>
              <w:ind w:right="79"/>
              <w:spacing w:after="0"/>
              <w:rPr>
                <w:sz w:val="20"/>
                <w:szCs w:val="20"/>
                <w:color w:val="auto"/>
              </w:rPr>
            </w:pPr>
            <w:r>
              <w:rPr>
                <w:rFonts w:ascii="Arial" w:cs="Arial" w:eastAsia="Arial" w:hAnsi="Arial"/>
                <w:sz w:val="12"/>
                <w:szCs w:val="12"/>
                <w:color w:val="auto"/>
              </w:rPr>
              <w:t>$1,389,313</w:t>
            </w:r>
          </w:p>
        </w:tc>
        <w:tc>
          <w:tcPr>
            <w:tcW w:w="200" w:type="dxa"/>
            <w:vAlign w:val="bottom"/>
            <w:shd w:val="clear" w:color="auto" w:fill="C0C0C0"/>
          </w:tcPr>
          <w:p>
            <w:pPr>
              <w:spacing w:after="0"/>
              <w:rPr>
                <w:sz w:val="18"/>
                <w:szCs w:val="18"/>
                <w:color w:val="auto"/>
              </w:rPr>
            </w:pPr>
          </w:p>
        </w:tc>
        <w:tc>
          <w:tcPr>
            <w:tcW w:w="1200" w:type="dxa"/>
            <w:vAlign w:val="bottom"/>
            <w:gridSpan w:val="2"/>
            <w:shd w:val="clear" w:color="auto" w:fill="C0C0C0"/>
          </w:tcPr>
          <w:p>
            <w:pPr>
              <w:jc w:val="right"/>
              <w:ind w:right="259"/>
              <w:spacing w:after="0" w:line="209"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1,151,661</w:t>
            </w:r>
          </w:p>
        </w:tc>
        <w:tc>
          <w:tcPr>
            <w:tcW w:w="180" w:type="dxa"/>
            <w:vAlign w:val="bottom"/>
            <w:shd w:val="clear" w:color="auto" w:fill="C0C0C0"/>
          </w:tcPr>
          <w:p>
            <w:pPr>
              <w:spacing w:after="0"/>
              <w:rPr>
                <w:sz w:val="18"/>
                <w:szCs w:val="18"/>
                <w:color w:val="auto"/>
              </w:rPr>
            </w:pPr>
          </w:p>
        </w:tc>
        <w:tc>
          <w:tcPr>
            <w:tcW w:w="980" w:type="dxa"/>
            <w:vAlign w:val="bottom"/>
            <w:gridSpan w:val="2"/>
            <w:shd w:val="clear" w:color="auto" w:fill="C0C0C0"/>
          </w:tcPr>
          <w:p>
            <w:pPr>
              <w:jc w:val="right"/>
              <w:ind w:right="199"/>
              <w:spacing w:after="0" w:line="209"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318,096</w:t>
            </w:r>
          </w:p>
        </w:tc>
        <w:tc>
          <w:tcPr>
            <w:tcW w:w="200" w:type="dxa"/>
            <w:vAlign w:val="bottom"/>
            <w:shd w:val="clear" w:color="auto" w:fill="C0C0C0"/>
          </w:tcPr>
          <w:p>
            <w:pPr>
              <w:spacing w:after="0"/>
              <w:rPr>
                <w:sz w:val="18"/>
                <w:szCs w:val="18"/>
                <w:color w:val="auto"/>
              </w:rPr>
            </w:pPr>
          </w:p>
        </w:tc>
        <w:tc>
          <w:tcPr>
            <w:tcW w:w="2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0C0C0"/>
          </w:tcPr>
          <w:p>
            <w:pPr>
              <w:jc w:val="right"/>
              <w:ind w:right="179"/>
              <w:spacing w:after="0"/>
              <w:rPr>
                <w:sz w:val="20"/>
                <w:szCs w:val="20"/>
                <w:color w:val="auto"/>
              </w:rPr>
            </w:pPr>
            <w:r>
              <w:rPr>
                <w:rFonts w:ascii="Arial" w:cs="Arial" w:eastAsia="Arial" w:hAnsi="Arial"/>
                <w:sz w:val="12"/>
                <w:szCs w:val="12"/>
                <w:color w:val="auto"/>
              </w:rPr>
              <w:t>7,103</w:t>
            </w:r>
          </w:p>
        </w:tc>
        <w:tc>
          <w:tcPr>
            <w:tcW w:w="3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5,402,158</w:t>
            </w:r>
          </w:p>
        </w:tc>
        <w:tc>
          <w:tcPr>
            <w:tcW w:w="20" w:type="dxa"/>
            <w:vAlign w:val="bottom"/>
          </w:tcPr>
          <w:p>
            <w:pPr>
              <w:spacing w:after="0"/>
              <w:rPr>
                <w:sz w:val="18"/>
                <w:szCs w:val="18"/>
                <w:color w:val="auto"/>
              </w:rPr>
            </w:pPr>
          </w:p>
        </w:tc>
      </w:tr>
      <w:tr>
        <w:trPr>
          <w:trHeight w:val="233"/>
        </w:trPr>
        <w:tc>
          <w:tcPr>
            <w:tcW w:w="2500" w:type="dxa"/>
            <w:vAlign w:val="bottom"/>
            <w:shd w:val="clear" w:color="auto" w:fill="C0C0C0"/>
          </w:tcPr>
          <w:p>
            <w:pPr>
              <w:spacing w:after="0"/>
              <w:rPr>
                <w:sz w:val="20"/>
                <w:szCs w:val="20"/>
                <w:color w:val="auto"/>
              </w:rPr>
            </w:pPr>
            <w:r>
              <w:rPr>
                <w:rFonts w:ascii="Arial" w:cs="Arial" w:eastAsia="Arial" w:hAnsi="Arial"/>
                <w:sz w:val="12"/>
                <w:szCs w:val="12"/>
                <w:color w:val="auto"/>
              </w:rPr>
              <w:t>Senior Vice President</w:t>
            </w:r>
          </w:p>
        </w:tc>
        <w:tc>
          <w:tcPr>
            <w:tcW w:w="4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2006</w:t>
            </w:r>
          </w:p>
        </w:tc>
        <w:tc>
          <w:tcPr>
            <w:tcW w:w="11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$450,970</w:t>
            </w:r>
          </w:p>
        </w:tc>
        <w:tc>
          <w:tcPr>
            <w:tcW w:w="6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w w:val="89"/>
              </w:rPr>
              <w:t>0</w:t>
            </w:r>
          </w:p>
        </w:tc>
        <w:tc>
          <w:tcPr>
            <w:tcW w:w="1060" w:type="dxa"/>
            <w:vAlign w:val="bottom"/>
            <w:gridSpan w:val="3"/>
            <w:shd w:val="clear" w:color="auto" w:fill="C0C0C0"/>
          </w:tcPr>
          <w:p>
            <w:pPr>
              <w:jc w:val="right"/>
              <w:ind w:right="79"/>
              <w:spacing w:after="0"/>
              <w:rPr>
                <w:sz w:val="20"/>
                <w:szCs w:val="20"/>
                <w:color w:val="auto"/>
              </w:rPr>
            </w:pPr>
            <w:r>
              <w:rPr>
                <w:rFonts w:ascii="Arial" w:cs="Arial" w:eastAsia="Arial" w:hAnsi="Arial"/>
                <w:sz w:val="12"/>
                <w:szCs w:val="12"/>
                <w:color w:val="auto"/>
              </w:rPr>
              <w:t>$1,676,175</w:t>
            </w:r>
          </w:p>
        </w:tc>
        <w:tc>
          <w:tcPr>
            <w:tcW w:w="940" w:type="dxa"/>
            <w:vAlign w:val="bottom"/>
            <w:gridSpan w:val="2"/>
            <w:shd w:val="clear" w:color="auto" w:fill="C0C0C0"/>
          </w:tcPr>
          <w:p>
            <w:pPr>
              <w:jc w:val="right"/>
              <w:ind w:right="79"/>
              <w:spacing w:after="0"/>
              <w:rPr>
                <w:sz w:val="20"/>
                <w:szCs w:val="20"/>
                <w:color w:val="auto"/>
              </w:rPr>
            </w:pPr>
            <w:r>
              <w:rPr>
                <w:rFonts w:ascii="Arial" w:cs="Arial" w:eastAsia="Arial" w:hAnsi="Arial"/>
                <w:sz w:val="12"/>
                <w:szCs w:val="12"/>
                <w:color w:val="auto"/>
              </w:rPr>
              <w:t>$1,311,938</w:t>
            </w:r>
          </w:p>
        </w:tc>
        <w:tc>
          <w:tcPr>
            <w:tcW w:w="200" w:type="dxa"/>
            <w:vAlign w:val="bottom"/>
            <w:shd w:val="clear" w:color="auto" w:fill="C0C0C0"/>
          </w:tcPr>
          <w:p>
            <w:pPr>
              <w:spacing w:after="0"/>
              <w:rPr>
                <w:sz w:val="20"/>
                <w:szCs w:val="20"/>
                <w:color w:val="auto"/>
              </w:rPr>
            </w:pPr>
          </w:p>
        </w:tc>
        <w:tc>
          <w:tcPr>
            <w:tcW w:w="1200" w:type="dxa"/>
            <w:vAlign w:val="bottom"/>
            <w:gridSpan w:val="2"/>
            <w:shd w:val="clear" w:color="auto" w:fill="C0C0C0"/>
          </w:tcPr>
          <w:p>
            <w:pPr>
              <w:jc w:val="right"/>
              <w:ind w:right="259"/>
              <w:spacing w:after="0" w:line="22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1,139,730</w:t>
            </w:r>
          </w:p>
        </w:tc>
        <w:tc>
          <w:tcPr>
            <w:tcW w:w="180" w:type="dxa"/>
            <w:vAlign w:val="bottom"/>
            <w:shd w:val="clear" w:color="auto" w:fill="C0C0C0"/>
          </w:tcPr>
          <w:p>
            <w:pPr>
              <w:spacing w:after="0"/>
              <w:rPr>
                <w:sz w:val="20"/>
                <w:szCs w:val="20"/>
                <w:color w:val="auto"/>
              </w:rPr>
            </w:pPr>
          </w:p>
        </w:tc>
        <w:tc>
          <w:tcPr>
            <w:tcW w:w="980" w:type="dxa"/>
            <w:vAlign w:val="bottom"/>
            <w:gridSpan w:val="2"/>
            <w:shd w:val="clear" w:color="auto" w:fill="C0C0C0"/>
          </w:tcPr>
          <w:p>
            <w:pPr>
              <w:jc w:val="right"/>
              <w:ind w:right="199"/>
              <w:spacing w:after="0" w:line="22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218,026</w:t>
            </w: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0C0C0"/>
          </w:tcPr>
          <w:p>
            <w:pPr>
              <w:jc w:val="right"/>
              <w:ind w:right="179"/>
              <w:spacing w:after="0"/>
              <w:rPr>
                <w:sz w:val="20"/>
                <w:szCs w:val="20"/>
                <w:color w:val="auto"/>
              </w:rPr>
            </w:pPr>
            <w:r>
              <w:rPr>
                <w:rFonts w:ascii="Arial" w:cs="Arial" w:eastAsia="Arial" w:hAnsi="Arial"/>
                <w:sz w:val="12"/>
                <w:szCs w:val="12"/>
                <w:color w:val="auto"/>
              </w:rPr>
              <w:t>20,885</w:t>
            </w:r>
          </w:p>
        </w:tc>
        <w:tc>
          <w:tcPr>
            <w:tcW w:w="3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4,817,724</w:t>
            </w:r>
          </w:p>
        </w:tc>
        <w:tc>
          <w:tcPr>
            <w:tcW w:w="20" w:type="dxa"/>
            <w:vAlign w:val="bottom"/>
          </w:tcPr>
          <w:p>
            <w:pPr>
              <w:spacing w:after="0"/>
              <w:rPr>
                <w:sz w:val="20"/>
                <w:szCs w:val="20"/>
                <w:color w:val="auto"/>
              </w:rPr>
            </w:pPr>
          </w:p>
        </w:tc>
      </w:tr>
      <w:tr>
        <w:trPr>
          <w:trHeight w:val="221"/>
        </w:trPr>
        <w:tc>
          <w:tcPr>
            <w:tcW w:w="250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1140" w:type="dxa"/>
            <w:vAlign w:val="bottom"/>
            <w:gridSpan w:val="2"/>
          </w:tcPr>
          <w:p>
            <w:pPr>
              <w:spacing w:after="0"/>
              <w:rPr>
                <w:sz w:val="19"/>
                <w:szCs w:val="19"/>
                <w:color w:val="auto"/>
              </w:rPr>
            </w:pPr>
          </w:p>
        </w:tc>
        <w:tc>
          <w:tcPr>
            <w:tcW w:w="640" w:type="dxa"/>
            <w:vAlign w:val="bottom"/>
            <w:gridSpan w:val="2"/>
          </w:tcPr>
          <w:p>
            <w:pPr>
              <w:spacing w:after="0"/>
              <w:rPr>
                <w:sz w:val="19"/>
                <w:szCs w:val="19"/>
                <w:color w:val="auto"/>
              </w:rPr>
            </w:pPr>
          </w:p>
        </w:tc>
        <w:tc>
          <w:tcPr>
            <w:tcW w:w="1060" w:type="dxa"/>
            <w:vAlign w:val="bottom"/>
            <w:gridSpan w:val="3"/>
          </w:tcPr>
          <w:p>
            <w:pPr>
              <w:spacing w:after="0"/>
              <w:rPr>
                <w:sz w:val="19"/>
                <w:szCs w:val="19"/>
                <w:color w:val="auto"/>
              </w:rPr>
            </w:pPr>
          </w:p>
        </w:tc>
        <w:tc>
          <w:tcPr>
            <w:tcW w:w="9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gridSpan w:val="2"/>
          </w:tcPr>
          <w:p>
            <w:pPr>
              <w:spacing w:after="0"/>
              <w:rPr>
                <w:sz w:val="19"/>
                <w:szCs w:val="19"/>
                <w:color w:val="auto"/>
              </w:rPr>
            </w:pPr>
          </w:p>
        </w:tc>
        <w:tc>
          <w:tcPr>
            <w:tcW w:w="620" w:type="dxa"/>
            <w:vAlign w:val="bottom"/>
            <w:gridSpan w:val="2"/>
          </w:tcPr>
          <w:p>
            <w:pPr>
              <w:spacing w:after="0"/>
              <w:rPr>
                <w:sz w:val="19"/>
                <w:szCs w:val="19"/>
                <w:color w:val="auto"/>
              </w:rPr>
            </w:pPr>
          </w:p>
        </w:tc>
      </w:tr>
      <w:tr>
        <w:trPr>
          <w:trHeight w:val="208"/>
        </w:trPr>
        <w:tc>
          <w:tcPr>
            <w:tcW w:w="2500" w:type="dxa"/>
            <w:vAlign w:val="bottom"/>
            <w:shd w:val="clear" w:color="auto" w:fill="C0C0C0"/>
          </w:tcPr>
          <w:p>
            <w:pPr>
              <w:spacing w:after="0"/>
              <w:rPr>
                <w:sz w:val="20"/>
                <w:szCs w:val="20"/>
                <w:color w:val="auto"/>
              </w:rPr>
            </w:pPr>
            <w:r>
              <w:rPr>
                <w:rFonts w:ascii="Arial" w:cs="Arial" w:eastAsia="Arial" w:hAnsi="Arial"/>
                <w:sz w:val="12"/>
                <w:szCs w:val="12"/>
                <w:color w:val="auto"/>
              </w:rPr>
              <w:t>M. J. Hames (2)</w:t>
            </w:r>
          </w:p>
        </w:tc>
        <w:tc>
          <w:tcPr>
            <w:tcW w:w="4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2007</w:t>
            </w:r>
          </w:p>
        </w:tc>
        <w:tc>
          <w:tcPr>
            <w:tcW w:w="11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$448,750</w:t>
            </w:r>
          </w:p>
        </w:tc>
        <w:tc>
          <w:tcPr>
            <w:tcW w:w="6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w w:val="89"/>
              </w:rPr>
              <w:t>0</w:t>
            </w:r>
          </w:p>
        </w:tc>
        <w:tc>
          <w:tcPr>
            <w:tcW w:w="1060" w:type="dxa"/>
            <w:vAlign w:val="bottom"/>
            <w:gridSpan w:val="3"/>
            <w:shd w:val="clear" w:color="auto" w:fill="C0C0C0"/>
          </w:tcPr>
          <w:p>
            <w:pPr>
              <w:jc w:val="right"/>
              <w:ind w:right="79"/>
              <w:spacing w:after="0"/>
              <w:rPr>
                <w:sz w:val="20"/>
                <w:szCs w:val="20"/>
                <w:color w:val="auto"/>
              </w:rPr>
            </w:pPr>
            <w:r>
              <w:rPr>
                <w:rFonts w:ascii="Arial" w:cs="Arial" w:eastAsia="Arial" w:hAnsi="Arial"/>
                <w:sz w:val="12"/>
                <w:szCs w:val="12"/>
                <w:color w:val="auto"/>
              </w:rPr>
              <w:t>$1,367,800</w:t>
            </w:r>
          </w:p>
        </w:tc>
        <w:tc>
          <w:tcPr>
            <w:tcW w:w="940" w:type="dxa"/>
            <w:vAlign w:val="bottom"/>
            <w:gridSpan w:val="2"/>
            <w:shd w:val="clear" w:color="auto" w:fill="C0C0C0"/>
          </w:tcPr>
          <w:p>
            <w:pPr>
              <w:jc w:val="right"/>
              <w:ind w:right="79"/>
              <w:spacing w:after="0"/>
              <w:rPr>
                <w:sz w:val="20"/>
                <w:szCs w:val="20"/>
                <w:color w:val="auto"/>
              </w:rPr>
            </w:pPr>
            <w:r>
              <w:rPr>
                <w:rFonts w:ascii="Arial" w:cs="Arial" w:eastAsia="Arial" w:hAnsi="Arial"/>
                <w:sz w:val="12"/>
                <w:szCs w:val="12"/>
                <w:color w:val="auto"/>
              </w:rPr>
              <w:t>$1,283,016</w:t>
            </w:r>
          </w:p>
        </w:tc>
        <w:tc>
          <w:tcPr>
            <w:tcW w:w="200" w:type="dxa"/>
            <w:vAlign w:val="bottom"/>
            <w:shd w:val="clear" w:color="auto" w:fill="C0C0C0"/>
          </w:tcPr>
          <w:p>
            <w:pPr>
              <w:spacing w:after="0"/>
              <w:rPr>
                <w:sz w:val="18"/>
                <w:szCs w:val="18"/>
                <w:color w:val="auto"/>
              </w:rPr>
            </w:pPr>
          </w:p>
        </w:tc>
        <w:tc>
          <w:tcPr>
            <w:tcW w:w="380" w:type="dxa"/>
            <w:vAlign w:val="bottom"/>
            <w:shd w:val="clear" w:color="auto" w:fill="C0C0C0"/>
          </w:tcPr>
          <w:p>
            <w:pPr>
              <w:ind w:left="2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0C0C0"/>
          </w:tcPr>
          <w:p>
            <w:pPr>
              <w:jc w:val="right"/>
              <w:ind w:right="259"/>
              <w:spacing w:after="0"/>
              <w:rPr>
                <w:sz w:val="20"/>
                <w:szCs w:val="20"/>
                <w:color w:val="auto"/>
              </w:rPr>
            </w:pPr>
            <w:r>
              <w:rPr>
                <w:rFonts w:ascii="Arial" w:cs="Arial" w:eastAsia="Arial" w:hAnsi="Arial"/>
                <w:sz w:val="12"/>
                <w:szCs w:val="12"/>
                <w:color w:val="auto"/>
              </w:rPr>
              <w:t>796,132</w:t>
            </w:r>
          </w:p>
        </w:tc>
        <w:tc>
          <w:tcPr>
            <w:tcW w:w="180" w:type="dxa"/>
            <w:vAlign w:val="bottom"/>
            <w:shd w:val="clear" w:color="auto" w:fill="C0C0C0"/>
          </w:tcPr>
          <w:p>
            <w:pPr>
              <w:spacing w:after="0"/>
              <w:rPr>
                <w:sz w:val="18"/>
                <w:szCs w:val="18"/>
                <w:color w:val="auto"/>
              </w:rPr>
            </w:pPr>
          </w:p>
        </w:tc>
        <w:tc>
          <w:tcPr>
            <w:tcW w:w="980" w:type="dxa"/>
            <w:vAlign w:val="bottom"/>
            <w:gridSpan w:val="2"/>
            <w:shd w:val="clear" w:color="auto" w:fill="C0C0C0"/>
          </w:tcPr>
          <w:p>
            <w:pPr>
              <w:jc w:val="right"/>
              <w:ind w:right="199"/>
              <w:spacing w:after="0" w:line="209"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296,953</w:t>
            </w:r>
          </w:p>
        </w:tc>
        <w:tc>
          <w:tcPr>
            <w:tcW w:w="200" w:type="dxa"/>
            <w:vAlign w:val="bottom"/>
            <w:shd w:val="clear" w:color="auto" w:fill="C0C0C0"/>
          </w:tcPr>
          <w:p>
            <w:pPr>
              <w:spacing w:after="0"/>
              <w:rPr>
                <w:sz w:val="18"/>
                <w:szCs w:val="18"/>
                <w:color w:val="auto"/>
              </w:rPr>
            </w:pPr>
          </w:p>
        </w:tc>
        <w:tc>
          <w:tcPr>
            <w:tcW w:w="2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0C0C0"/>
          </w:tcPr>
          <w:p>
            <w:pPr>
              <w:jc w:val="right"/>
              <w:ind w:right="179"/>
              <w:spacing w:after="0"/>
              <w:rPr>
                <w:sz w:val="20"/>
                <w:szCs w:val="20"/>
                <w:color w:val="auto"/>
              </w:rPr>
            </w:pPr>
            <w:r>
              <w:rPr>
                <w:rFonts w:ascii="Arial" w:cs="Arial" w:eastAsia="Arial" w:hAnsi="Arial"/>
                <w:sz w:val="12"/>
                <w:szCs w:val="12"/>
                <w:color w:val="auto"/>
              </w:rPr>
              <w:t>20,389</w:t>
            </w:r>
          </w:p>
        </w:tc>
        <w:tc>
          <w:tcPr>
            <w:tcW w:w="3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4,213,040</w:t>
            </w:r>
          </w:p>
        </w:tc>
        <w:tc>
          <w:tcPr>
            <w:tcW w:w="20" w:type="dxa"/>
            <w:vAlign w:val="bottom"/>
          </w:tcPr>
          <w:p>
            <w:pPr>
              <w:spacing w:after="0"/>
              <w:rPr>
                <w:sz w:val="18"/>
                <w:szCs w:val="18"/>
                <w:color w:val="auto"/>
              </w:rPr>
            </w:pPr>
          </w:p>
        </w:tc>
      </w:tr>
      <w:tr>
        <w:trPr>
          <w:trHeight w:val="233"/>
        </w:trPr>
        <w:tc>
          <w:tcPr>
            <w:tcW w:w="2500" w:type="dxa"/>
            <w:vAlign w:val="bottom"/>
            <w:shd w:val="clear" w:color="auto" w:fill="C0C0C0"/>
          </w:tcPr>
          <w:p>
            <w:pPr>
              <w:spacing w:after="0"/>
              <w:rPr>
                <w:sz w:val="20"/>
                <w:szCs w:val="20"/>
                <w:color w:val="auto"/>
              </w:rPr>
            </w:pPr>
            <w:r>
              <w:rPr>
                <w:rFonts w:ascii="Arial" w:cs="Arial" w:eastAsia="Arial" w:hAnsi="Arial"/>
                <w:sz w:val="12"/>
                <w:szCs w:val="12"/>
                <w:color w:val="auto"/>
              </w:rPr>
              <w:t>Senior Vice President</w:t>
            </w:r>
          </w:p>
        </w:tc>
        <w:tc>
          <w:tcPr>
            <w:tcW w:w="14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94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7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82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21"/>
        </w:trPr>
        <w:tc>
          <w:tcPr>
            <w:tcW w:w="250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1140" w:type="dxa"/>
            <w:vAlign w:val="bottom"/>
            <w:gridSpan w:val="2"/>
          </w:tcPr>
          <w:p>
            <w:pPr>
              <w:spacing w:after="0"/>
              <w:rPr>
                <w:sz w:val="19"/>
                <w:szCs w:val="19"/>
                <w:color w:val="auto"/>
              </w:rPr>
            </w:pPr>
          </w:p>
        </w:tc>
        <w:tc>
          <w:tcPr>
            <w:tcW w:w="640" w:type="dxa"/>
            <w:vAlign w:val="bottom"/>
            <w:gridSpan w:val="2"/>
          </w:tcPr>
          <w:p>
            <w:pPr>
              <w:spacing w:after="0"/>
              <w:rPr>
                <w:sz w:val="19"/>
                <w:szCs w:val="19"/>
                <w:color w:val="auto"/>
              </w:rPr>
            </w:pPr>
          </w:p>
        </w:tc>
        <w:tc>
          <w:tcPr>
            <w:tcW w:w="1060" w:type="dxa"/>
            <w:vAlign w:val="bottom"/>
            <w:gridSpan w:val="3"/>
          </w:tcPr>
          <w:p>
            <w:pPr>
              <w:spacing w:after="0"/>
              <w:rPr>
                <w:sz w:val="19"/>
                <w:szCs w:val="19"/>
                <w:color w:val="auto"/>
              </w:rPr>
            </w:pPr>
          </w:p>
        </w:tc>
        <w:tc>
          <w:tcPr>
            <w:tcW w:w="9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380" w:type="dxa"/>
            <w:vAlign w:val="bottom"/>
            <w:gridSpan w:val="2"/>
          </w:tcPr>
          <w:p>
            <w:pPr>
              <w:spacing w:after="0"/>
              <w:rPr>
                <w:sz w:val="19"/>
                <w:szCs w:val="19"/>
                <w:color w:val="auto"/>
              </w:rPr>
            </w:pPr>
          </w:p>
        </w:tc>
        <w:tc>
          <w:tcPr>
            <w:tcW w:w="620" w:type="dxa"/>
            <w:vAlign w:val="bottom"/>
            <w:gridSpan w:val="2"/>
          </w:tcPr>
          <w:p>
            <w:pPr>
              <w:spacing w:after="0"/>
              <w:rPr>
                <w:sz w:val="19"/>
                <w:szCs w:val="19"/>
                <w:color w:val="auto"/>
              </w:rPr>
            </w:pPr>
          </w:p>
        </w:tc>
      </w:tr>
      <w:tr>
        <w:trPr>
          <w:trHeight w:val="227"/>
        </w:trPr>
        <w:tc>
          <w:tcPr>
            <w:tcW w:w="2500" w:type="dxa"/>
            <w:vAlign w:val="bottom"/>
            <w:shd w:val="clear" w:color="auto" w:fill="C0C0C0"/>
          </w:tcPr>
          <w:p>
            <w:pPr>
              <w:spacing w:after="0"/>
              <w:rPr>
                <w:sz w:val="20"/>
                <w:szCs w:val="20"/>
                <w:color w:val="auto"/>
              </w:rPr>
            </w:pPr>
            <w:r>
              <w:rPr>
                <w:rFonts w:ascii="Arial" w:cs="Arial" w:eastAsia="Arial" w:hAnsi="Arial"/>
                <w:sz w:val="12"/>
                <w:szCs w:val="12"/>
                <w:color w:val="auto"/>
              </w:rPr>
              <w:t>G. Delfassy (3)</w:t>
            </w:r>
          </w:p>
        </w:tc>
        <w:tc>
          <w:tcPr>
            <w:tcW w:w="4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2007</w:t>
            </w:r>
          </w:p>
        </w:tc>
        <w:tc>
          <w:tcPr>
            <w:tcW w:w="11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$262,500</w:t>
            </w:r>
          </w:p>
        </w:tc>
        <w:tc>
          <w:tcPr>
            <w:tcW w:w="6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w w:val="89"/>
              </w:rPr>
              <w:t>0</w:t>
            </w:r>
          </w:p>
        </w:tc>
        <w:tc>
          <w:tcPr>
            <w:tcW w:w="1060" w:type="dxa"/>
            <w:vAlign w:val="bottom"/>
            <w:gridSpan w:val="3"/>
            <w:shd w:val="clear" w:color="auto" w:fill="C0C0C0"/>
          </w:tcPr>
          <w:p>
            <w:pPr>
              <w:jc w:val="right"/>
              <w:ind w:right="79"/>
              <w:spacing w:after="0"/>
              <w:rPr>
                <w:sz w:val="20"/>
                <w:szCs w:val="20"/>
                <w:color w:val="auto"/>
              </w:rPr>
            </w:pPr>
            <w:r>
              <w:rPr>
                <w:rFonts w:ascii="Arial" w:cs="Arial" w:eastAsia="Arial" w:hAnsi="Arial"/>
                <w:sz w:val="12"/>
                <w:szCs w:val="12"/>
                <w:color w:val="auto"/>
              </w:rPr>
              <w:t>$1,345,125</w:t>
            </w:r>
          </w:p>
        </w:tc>
        <w:tc>
          <w:tcPr>
            <w:tcW w:w="940" w:type="dxa"/>
            <w:vAlign w:val="bottom"/>
            <w:gridSpan w:val="2"/>
            <w:shd w:val="clear" w:color="auto" w:fill="C0C0C0"/>
          </w:tcPr>
          <w:p>
            <w:pPr>
              <w:jc w:val="right"/>
              <w:ind w:right="79"/>
              <w:spacing w:after="0"/>
              <w:rPr>
                <w:sz w:val="20"/>
                <w:szCs w:val="20"/>
                <w:color w:val="auto"/>
              </w:rPr>
            </w:pPr>
            <w:r>
              <w:rPr>
                <w:rFonts w:ascii="Arial" w:cs="Arial" w:eastAsia="Arial" w:hAnsi="Arial"/>
                <w:sz w:val="12"/>
                <w:szCs w:val="12"/>
                <w:color w:val="auto"/>
              </w:rPr>
              <w:t>$2,105,928</w:t>
            </w:r>
          </w:p>
        </w:tc>
        <w:tc>
          <w:tcPr>
            <w:tcW w:w="200" w:type="dxa"/>
            <w:vAlign w:val="bottom"/>
            <w:shd w:val="clear" w:color="auto" w:fill="C0C0C0"/>
          </w:tcPr>
          <w:p>
            <w:pPr>
              <w:spacing w:after="0"/>
              <w:rPr>
                <w:sz w:val="19"/>
                <w:szCs w:val="19"/>
                <w:color w:val="auto"/>
              </w:rPr>
            </w:pPr>
          </w:p>
        </w:tc>
        <w:tc>
          <w:tcPr>
            <w:tcW w:w="380" w:type="dxa"/>
            <w:vAlign w:val="bottom"/>
            <w:shd w:val="clear" w:color="auto" w:fill="C0C0C0"/>
          </w:tcPr>
          <w:p>
            <w:pPr>
              <w:ind w:left="260"/>
              <w:spacing w:after="0"/>
              <w:rPr>
                <w:sz w:val="20"/>
                <w:szCs w:val="20"/>
                <w:color w:val="auto"/>
              </w:rPr>
            </w:pPr>
            <w:r>
              <w:rPr>
                <w:rFonts w:ascii="Arial" w:cs="Arial" w:eastAsia="Arial" w:hAnsi="Arial"/>
                <w:sz w:val="12"/>
                <w:szCs w:val="12"/>
                <w:color w:val="auto"/>
              </w:rPr>
              <w:t>$</w:t>
            </w:r>
          </w:p>
        </w:tc>
        <w:tc>
          <w:tcPr>
            <w:tcW w:w="820" w:type="dxa"/>
            <w:vAlign w:val="bottom"/>
            <w:shd w:val="clear" w:color="auto" w:fill="C0C0C0"/>
          </w:tcPr>
          <w:p>
            <w:pPr>
              <w:jc w:val="right"/>
              <w:ind w:right="259"/>
              <w:spacing w:after="0"/>
              <w:rPr>
                <w:sz w:val="20"/>
                <w:szCs w:val="20"/>
                <w:color w:val="auto"/>
              </w:rPr>
            </w:pPr>
            <w:r>
              <w:rPr>
                <w:rFonts w:ascii="Arial" w:cs="Arial" w:eastAsia="Arial" w:hAnsi="Arial"/>
                <w:sz w:val="12"/>
                <w:szCs w:val="12"/>
                <w:color w:val="auto"/>
              </w:rPr>
              <w:t>26,985</w:t>
            </w:r>
          </w:p>
        </w:tc>
        <w:tc>
          <w:tcPr>
            <w:tcW w:w="1160" w:type="dxa"/>
            <w:vAlign w:val="bottom"/>
            <w:gridSpan w:val="3"/>
            <w:shd w:val="clear" w:color="auto" w:fill="C0C0C0"/>
          </w:tcPr>
          <w:p>
            <w:pPr>
              <w:jc w:val="right"/>
              <w:ind w:right="199"/>
              <w:spacing w:after="0"/>
              <w:rPr>
                <w:sz w:val="20"/>
                <w:szCs w:val="20"/>
                <w:color w:val="auto"/>
              </w:rPr>
            </w:pPr>
            <w:r>
              <w:rPr>
                <w:rFonts w:ascii="Arial" w:cs="Arial" w:eastAsia="Arial" w:hAnsi="Arial"/>
                <w:sz w:val="12"/>
                <w:szCs w:val="12"/>
                <w:color w:val="auto"/>
              </w:rPr>
              <w:t>0</w:t>
            </w:r>
          </w:p>
        </w:tc>
        <w:tc>
          <w:tcPr>
            <w:tcW w:w="200" w:type="dxa"/>
            <w:vAlign w:val="bottom"/>
            <w:shd w:val="clear" w:color="auto" w:fill="C0C0C0"/>
          </w:tcPr>
          <w:p>
            <w:pPr>
              <w:spacing w:after="0"/>
              <w:rPr>
                <w:sz w:val="19"/>
                <w:szCs w:val="19"/>
                <w:color w:val="auto"/>
              </w:rPr>
            </w:pPr>
          </w:p>
        </w:tc>
        <w:tc>
          <w:tcPr>
            <w:tcW w:w="940" w:type="dxa"/>
            <w:vAlign w:val="bottom"/>
            <w:gridSpan w:val="2"/>
            <w:shd w:val="clear" w:color="auto" w:fill="C0C0C0"/>
          </w:tcPr>
          <w:p>
            <w:pPr>
              <w:jc w:val="right"/>
              <w:ind w:right="179"/>
              <w:spacing w:after="0" w:line="209"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323,109</w:t>
            </w:r>
          </w:p>
        </w:tc>
        <w:tc>
          <w:tcPr>
            <w:tcW w:w="3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4,063,647</w:t>
            </w:r>
          </w:p>
        </w:tc>
        <w:tc>
          <w:tcPr>
            <w:tcW w:w="20" w:type="dxa"/>
            <w:vAlign w:val="bottom"/>
          </w:tcPr>
          <w:p>
            <w:pPr>
              <w:spacing w:after="0"/>
              <w:rPr>
                <w:sz w:val="19"/>
                <w:szCs w:val="19"/>
                <w:color w:val="auto"/>
              </w:rPr>
            </w:pPr>
          </w:p>
        </w:tc>
      </w:tr>
    </w:tbl>
    <w:p>
      <w:pPr>
        <w:sectPr>
          <w:pgSz w:w="11900" w:h="16900" w:orient="portrait"/>
          <w:cols w:equalWidth="0" w:num="1">
            <w:col w:w="11440"/>
          </w:cols>
          <w:pgMar w:left="240" w:top="122" w:right="219" w:bottom="0" w:gutter="0" w:footer="0" w:header="0"/>
        </w:sectPr>
      </w:pPr>
    </w:p>
    <w:bookmarkStart w:id="20" w:name="page21"/>
    <w:bookmarkEnd w:id="20"/>
    <w:p>
      <w:pPr>
        <w:spacing w:after="0" w:line="333" w:lineRule="exact"/>
        <w:rPr>
          <w:sz w:val="20"/>
          <w:szCs w:val="20"/>
          <w:color w:val="auto"/>
        </w:rPr>
      </w:pPr>
    </w:p>
    <w:p>
      <w:pPr>
        <w:ind w:left="2"/>
        <w:spacing w:after="0"/>
        <w:rPr>
          <w:sz w:val="20"/>
          <w:szCs w:val="20"/>
          <w:color w:val="auto"/>
        </w:rPr>
      </w:pPr>
      <w:r>
        <w:rPr>
          <w:rFonts w:ascii="Arial" w:cs="Arial" w:eastAsia="Arial" w:hAnsi="Arial"/>
          <w:sz w:val="17"/>
          <w:szCs w:val="17"/>
          <w:color w:val="auto"/>
        </w:rPr>
        <w:t>____________________</w:t>
      </w:r>
    </w:p>
    <w:p>
      <w:pPr>
        <w:spacing w:after="0" w:line="20" w:lineRule="exact"/>
        <w:rPr>
          <w:sz w:val="20"/>
          <w:szCs w:val="20"/>
          <w:color w:val="auto"/>
        </w:rPr>
      </w:pPr>
      <w:r>
        <w:rPr>
          <w:sz w:val="20"/>
          <w:szCs w:val="20"/>
          <w:color w:val="auto"/>
        </w:rPr>
        <w:br w:type="column"/>
      </w:r>
    </w:p>
    <w:p>
      <w:pPr>
        <w:spacing w:after="0"/>
        <w:tabs>
          <w:tab w:leader="none" w:pos="680" w:val="left"/>
          <w:tab w:leader="none" w:pos="1800" w:val="left"/>
          <w:tab w:leader="none" w:pos="2360" w:val="left"/>
          <w:tab w:leader="none" w:pos="3300" w:val="left"/>
          <w:tab w:leader="none" w:pos="4700" w:val="left"/>
          <w:tab w:leader="none" w:pos="7000" w:val="left"/>
          <w:tab w:leader="none" w:pos="8060" w:val="left"/>
        </w:tabs>
        <w:rPr>
          <w:sz w:val="20"/>
          <w:szCs w:val="20"/>
          <w:color w:val="auto"/>
        </w:rPr>
      </w:pPr>
      <w:r>
        <w:rPr>
          <w:rFonts w:ascii="Arial" w:cs="Arial" w:eastAsia="Arial" w:hAnsi="Arial"/>
          <w:sz w:val="12"/>
          <w:szCs w:val="12"/>
          <w:color w:val="auto"/>
        </w:rPr>
        <w:t>2006</w:t>
      </w:r>
      <w:r>
        <w:rPr>
          <w:sz w:val="20"/>
          <w:szCs w:val="20"/>
          <w:color w:val="auto"/>
        </w:rPr>
        <w:tab/>
      </w:r>
      <w:r>
        <w:rPr>
          <w:rFonts w:ascii="Arial" w:cs="Arial" w:eastAsia="Arial" w:hAnsi="Arial"/>
          <w:sz w:val="12"/>
          <w:szCs w:val="12"/>
          <w:color w:val="auto"/>
        </w:rPr>
        <w:t>$448,340</w:t>
      </w:r>
      <w:r>
        <w:rPr>
          <w:sz w:val="20"/>
          <w:szCs w:val="20"/>
          <w:color w:val="auto"/>
        </w:rPr>
        <w:tab/>
      </w:r>
      <w:r>
        <w:rPr>
          <w:rFonts w:ascii="Arial" w:cs="Arial" w:eastAsia="Arial" w:hAnsi="Arial"/>
          <w:sz w:val="12"/>
          <w:szCs w:val="12"/>
          <w:color w:val="auto"/>
        </w:rPr>
        <w:t>0</w:t>
      </w:r>
      <w:r>
        <w:rPr>
          <w:sz w:val="20"/>
          <w:szCs w:val="20"/>
          <w:color w:val="auto"/>
        </w:rPr>
        <w:tab/>
      </w:r>
      <w:r>
        <w:rPr>
          <w:rFonts w:ascii="Arial" w:cs="Arial" w:eastAsia="Arial" w:hAnsi="Arial"/>
          <w:sz w:val="12"/>
          <w:szCs w:val="12"/>
          <w:color w:val="auto"/>
        </w:rPr>
        <w:t>$1,075,750</w:t>
      </w:r>
      <w:r>
        <w:rPr>
          <w:sz w:val="20"/>
          <w:szCs w:val="20"/>
          <w:color w:val="auto"/>
        </w:rPr>
        <w:tab/>
      </w:r>
      <w:r>
        <w:rPr>
          <w:rFonts w:ascii="Arial" w:cs="Arial" w:eastAsia="Arial" w:hAnsi="Arial"/>
          <w:sz w:val="12"/>
          <w:szCs w:val="12"/>
          <w:color w:val="auto"/>
        </w:rPr>
        <w:t xml:space="preserve">$1,311,938         </w:t>
      </w:r>
      <w:r>
        <w:rPr>
          <w:sz w:val="1"/>
          <w:szCs w:val="1"/>
          <w:color w:val="auto"/>
        </w:rPr>
        <w:drawing>
          <wp:inline distT="0" distB="0" distL="0" distR="0">
            <wp:extent cx="31115" cy="13208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1115" cy="132080"/>
                    </a:xfrm>
                    <a:prstGeom prst="rect">
                      <a:avLst/>
                    </a:prstGeom>
                    <a:noFill/>
                    <a:ln>
                      <a:noFill/>
                    </a:ln>
                  </pic:spPr>
                </pic:pic>
              </a:graphicData>
            </a:graphic>
          </wp:inline>
        </w:drawing>
      </w:r>
      <w:r>
        <w:rPr>
          <w:rFonts w:ascii="Arial" w:cs="Arial" w:eastAsia="Arial" w:hAnsi="Arial"/>
          <w:sz w:val="25"/>
          <w:szCs w:val="25"/>
          <w:color w:val="auto"/>
          <w:vertAlign w:val="subscript"/>
        </w:rPr>
        <w:t>$</w:t>
      </w:r>
      <w:r>
        <w:rPr>
          <w:sz w:val="20"/>
          <w:szCs w:val="20"/>
          <w:color w:val="auto"/>
        </w:rPr>
        <w:tab/>
      </w:r>
      <w:r>
        <w:rPr>
          <w:rFonts w:ascii="Arial" w:cs="Arial" w:eastAsia="Arial" w:hAnsi="Arial"/>
          <w:sz w:val="12"/>
          <w:szCs w:val="12"/>
          <w:color w:val="auto"/>
        </w:rPr>
        <w:t>989,499</w:t>
      </w:r>
      <w:r>
        <w:rPr>
          <w:sz w:val="1"/>
          <w:szCs w:val="1"/>
          <w:color w:val="auto"/>
        </w:rPr>
        <w:drawing>
          <wp:inline distT="0" distB="0" distL="0" distR="0">
            <wp:extent cx="490220" cy="140335"/>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90220" cy="140335"/>
                    </a:xfrm>
                    <a:prstGeom prst="rect">
                      <a:avLst/>
                    </a:prstGeom>
                    <a:noFill/>
                    <a:ln>
                      <a:noFill/>
                    </a:ln>
                  </pic:spPr>
                </pic:pic>
              </a:graphicData>
            </a:graphic>
          </wp:inline>
        </w:drawing>
      </w:r>
      <w:r>
        <w:rPr>
          <w:rFonts w:ascii="Arial" w:cs="Arial" w:eastAsia="Arial" w:hAnsi="Arial"/>
          <w:sz w:val="12"/>
          <w:szCs w:val="12"/>
          <w:color w:val="auto"/>
        </w:rPr>
        <w:t xml:space="preserve">      0</w:t>
      </w:r>
      <w:r>
        <w:rPr>
          <w:sz w:val="20"/>
          <w:szCs w:val="20"/>
          <w:color w:val="auto"/>
        </w:rPr>
        <w:tab/>
      </w:r>
      <w:r>
        <w:rPr>
          <w:rFonts w:ascii="Arial" w:cs="Arial" w:eastAsia="Arial" w:hAnsi="Arial"/>
          <w:sz w:val="25"/>
          <w:szCs w:val="25"/>
          <w:color w:val="auto"/>
          <w:vertAlign w:val="subscript"/>
        </w:rPr>
        <w:t xml:space="preserve">$ </w:t>
      </w:r>
      <w:r>
        <w:rPr>
          <w:rFonts w:ascii="Arial" w:cs="Arial" w:eastAsia="Arial" w:hAnsi="Arial"/>
          <w:sz w:val="25"/>
          <w:szCs w:val="25"/>
          <w:color w:val="auto"/>
        </w:rPr>
        <w:t>92,301</w:t>
      </w:r>
      <w:r>
        <w:rPr>
          <w:sz w:val="20"/>
          <w:szCs w:val="20"/>
          <w:color w:val="auto"/>
        </w:rPr>
        <w:tab/>
      </w:r>
      <w:r>
        <w:rPr>
          <w:rFonts w:ascii="Arial" w:cs="Arial" w:eastAsia="Arial" w:hAnsi="Arial"/>
          <w:sz w:val="12"/>
          <w:szCs w:val="12"/>
          <w:color w:val="auto"/>
        </w:rPr>
        <w:t>$ 3,917,828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-1689735</wp:posOffset>
            </wp:positionH>
            <wp:positionV relativeFrom="paragraph">
              <wp:posOffset>-114935</wp:posOffset>
            </wp:positionV>
            <wp:extent cx="7259320" cy="147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9320" cy="147955"/>
                    </a:xfrm>
                    <a:prstGeom prst="rect">
                      <a:avLst/>
                    </a:prstGeom>
                    <a:noFill/>
                  </pic:spPr>
                </pic:pic>
              </a:graphicData>
            </a:graphic>
          </wp:anchor>
        </w:drawing>
      </w:r>
    </w:p>
    <w:p>
      <w:pPr>
        <w:spacing w:after="0" w:line="415" w:lineRule="exact"/>
        <w:rPr>
          <w:sz w:val="20"/>
          <w:szCs w:val="20"/>
          <w:color w:val="auto"/>
        </w:rPr>
      </w:pPr>
    </w:p>
    <w:p>
      <w:pPr>
        <w:sectPr>
          <w:pgSz w:w="11900" w:h="16838" w:orient="portrait"/>
          <w:cols w:equalWidth="0" w:num="2">
            <w:col w:w="1962" w:space="700"/>
            <w:col w:w="8780"/>
          </w:cols>
          <w:pgMar w:left="238" w:top="8" w:right="219" w:bottom="0" w:gutter="0" w:footer="0" w:header="0"/>
        </w:sectPr>
      </w:pPr>
    </w:p>
    <w:p>
      <w:pPr>
        <w:spacing w:after="0" w:line="68" w:lineRule="exact"/>
        <w:rPr>
          <w:sz w:val="20"/>
          <w:szCs w:val="20"/>
          <w:color w:val="auto"/>
        </w:rPr>
      </w:pPr>
    </w:p>
    <w:p>
      <w:pPr>
        <w:ind w:left="442" w:right="160" w:hanging="442"/>
        <w:spacing w:after="0" w:line="250" w:lineRule="auto"/>
        <w:tabs>
          <w:tab w:leader="none" w:pos="442" w:val="left"/>
        </w:tabs>
        <w:numPr>
          <w:ilvl w:val="0"/>
          <w:numId w:val="24"/>
        </w:numPr>
        <w:rPr>
          <w:rFonts w:ascii="Arial" w:cs="Arial" w:eastAsia="Arial" w:hAnsi="Arial"/>
          <w:sz w:val="16"/>
          <w:szCs w:val="16"/>
          <w:color w:val="auto"/>
        </w:rPr>
      </w:pPr>
      <w:r>
        <w:rPr>
          <w:rFonts w:ascii="Arial" w:cs="Arial" w:eastAsia="Arial" w:hAnsi="Arial"/>
          <w:sz w:val="16"/>
          <w:szCs w:val="16"/>
          <w:color w:val="auto"/>
        </w:rPr>
        <w:t>Mr. Engibous will retire from the company, and from his position as chairman, immediately after the company’s annual meeting of stockholders on April 17, 2008.</w:t>
      </w:r>
    </w:p>
    <w:p>
      <w:pPr>
        <w:spacing w:after="0" w:line="204" w:lineRule="exact"/>
        <w:rPr>
          <w:rFonts w:ascii="Arial" w:cs="Arial" w:eastAsia="Arial" w:hAnsi="Arial"/>
          <w:sz w:val="16"/>
          <w:szCs w:val="16"/>
          <w:color w:val="auto"/>
        </w:rPr>
      </w:pPr>
    </w:p>
    <w:p>
      <w:pPr>
        <w:ind w:left="442" w:hanging="442"/>
        <w:spacing w:after="0"/>
        <w:tabs>
          <w:tab w:leader="none" w:pos="442" w:val="left"/>
        </w:tabs>
        <w:numPr>
          <w:ilvl w:val="0"/>
          <w:numId w:val="24"/>
        </w:numPr>
        <w:rPr>
          <w:rFonts w:ascii="Arial" w:cs="Arial" w:eastAsia="Arial" w:hAnsi="Arial"/>
          <w:sz w:val="16"/>
          <w:szCs w:val="16"/>
          <w:color w:val="auto"/>
        </w:rPr>
      </w:pPr>
      <w:r>
        <w:rPr>
          <w:rFonts w:ascii="Arial" w:cs="Arial" w:eastAsia="Arial" w:hAnsi="Arial"/>
          <w:sz w:val="16"/>
          <w:szCs w:val="16"/>
          <w:color w:val="auto"/>
        </w:rPr>
        <w:t>Because Mr. Hames was not a named executive officer in 2006, SEC rules do not require his compensation for that year to be reported.</w:t>
      </w:r>
    </w:p>
    <w:p>
      <w:pPr>
        <w:spacing w:after="0" w:line="200" w:lineRule="exact"/>
        <w:rPr>
          <w:sz w:val="20"/>
          <w:szCs w:val="20"/>
          <w:color w:val="auto"/>
        </w:rPr>
      </w:pPr>
    </w:p>
    <w:p>
      <w:pPr>
        <w:spacing w:after="0" w:line="216"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542" w:hanging="542"/>
        <w:spacing w:after="0"/>
        <w:tabs>
          <w:tab w:leader="none" w:pos="542" w:val="left"/>
        </w:tabs>
        <w:numPr>
          <w:ilvl w:val="0"/>
          <w:numId w:val="25"/>
        </w:numPr>
        <w:rPr>
          <w:rFonts w:ascii="Arial" w:cs="Arial" w:eastAsia="Arial" w:hAnsi="Arial"/>
          <w:sz w:val="16"/>
          <w:szCs w:val="16"/>
          <w:color w:val="auto"/>
        </w:rPr>
      </w:pPr>
      <w:r>
        <w:rPr>
          <w:rFonts w:ascii="Arial" w:cs="Arial" w:eastAsia="Arial" w:hAnsi="Arial"/>
          <w:sz w:val="16"/>
          <w:szCs w:val="16"/>
          <w:color w:val="auto"/>
        </w:rPr>
        <w:t>Mr. Delfassy ceased to be an executive officer of the company in January 2007.</w:t>
      </w:r>
    </w:p>
    <w:p>
      <w:pPr>
        <w:spacing w:after="0" w:line="244" w:lineRule="exact"/>
        <w:rPr>
          <w:rFonts w:ascii="Arial" w:cs="Arial" w:eastAsia="Arial" w:hAnsi="Arial"/>
          <w:sz w:val="16"/>
          <w:szCs w:val="16"/>
          <w:color w:val="auto"/>
        </w:rPr>
      </w:pPr>
    </w:p>
    <w:p>
      <w:pPr>
        <w:ind w:left="542" w:right="120" w:hanging="542"/>
        <w:spacing w:after="0" w:line="250" w:lineRule="auto"/>
        <w:tabs>
          <w:tab w:leader="none" w:pos="542" w:val="left"/>
        </w:tabs>
        <w:numPr>
          <w:ilvl w:val="0"/>
          <w:numId w:val="25"/>
        </w:numPr>
        <w:rPr>
          <w:rFonts w:ascii="Arial" w:cs="Arial" w:eastAsia="Arial" w:hAnsi="Arial"/>
          <w:sz w:val="16"/>
          <w:szCs w:val="16"/>
          <w:color w:val="auto"/>
        </w:rPr>
      </w:pPr>
      <w:r>
        <w:rPr>
          <w:rFonts w:ascii="Arial" w:cs="Arial" w:eastAsia="Arial" w:hAnsi="Arial"/>
          <w:sz w:val="16"/>
          <w:szCs w:val="16"/>
          <w:color w:val="auto"/>
        </w:rPr>
        <w:t>Performance bonuses for 2007 were paid under the Texas Instruments Executive Officer Performance Plan. In accordance with SEC requirements, these amounts are reported in the Non-Equity Incentive Plan Compensation column.</w:t>
      </w:r>
    </w:p>
    <w:p>
      <w:pPr>
        <w:spacing w:after="0" w:line="204" w:lineRule="exact"/>
        <w:rPr>
          <w:rFonts w:ascii="Arial" w:cs="Arial" w:eastAsia="Arial" w:hAnsi="Arial"/>
          <w:sz w:val="16"/>
          <w:szCs w:val="16"/>
          <w:color w:val="auto"/>
        </w:rPr>
      </w:pPr>
    </w:p>
    <w:p>
      <w:pPr>
        <w:ind w:left="542" w:right="160" w:hanging="542"/>
        <w:spacing w:after="0" w:line="241" w:lineRule="auto"/>
        <w:tabs>
          <w:tab w:leader="none" w:pos="542" w:val="left"/>
        </w:tabs>
        <w:numPr>
          <w:ilvl w:val="0"/>
          <w:numId w:val="25"/>
        </w:numPr>
        <w:rPr>
          <w:rFonts w:ascii="Arial" w:cs="Arial" w:eastAsia="Arial" w:hAnsi="Arial"/>
          <w:sz w:val="16"/>
          <w:szCs w:val="16"/>
          <w:color w:val="auto"/>
        </w:rPr>
      </w:pPr>
      <w:r>
        <w:rPr>
          <w:rFonts w:ascii="Arial" w:cs="Arial" w:eastAsia="Arial" w:hAnsi="Arial"/>
          <w:sz w:val="16"/>
          <w:szCs w:val="16"/>
          <w:color w:val="auto"/>
        </w:rPr>
        <w:t>Shown is the expense recognized in the company’s financial statements for 2007 under SFAS 123(R) for all outstanding restricted stock unit (RSU) awards held by the named executive officers. This amount consists of the portions of the fair values of RSUs granted in 2003-2007 that were allocated to service provided by the named executive officers during 2007. The discussion of the assumptions used for purposes of the valuation appears on pages 23-26 of Exhibit 13 to TI’s annual report on Form 10-K for the year ended December 31, 2007. In accordance with SEC rules, no estimates were made for forfeitures in calculating these amounts. For a description of the grant terms, please see pages 36-37. When employees cease to be active employees but their outstanding equity awards continue to vest, the company will recognize all remaining stock-based compensation expense for those awards in the year in which active service ceased. Mr. Delfassy ceased to be an active employee in August 2007, and accordingly the company recognized the remaining expense relating to his outstanding RSUs in 2007.</w:t>
      </w:r>
    </w:p>
    <w:p>
      <w:pPr>
        <w:spacing w:after="0" w:line="212" w:lineRule="exact"/>
        <w:rPr>
          <w:rFonts w:ascii="Arial" w:cs="Arial" w:eastAsia="Arial" w:hAnsi="Arial"/>
          <w:sz w:val="16"/>
          <w:szCs w:val="16"/>
          <w:color w:val="auto"/>
        </w:rPr>
      </w:pPr>
    </w:p>
    <w:p>
      <w:pPr>
        <w:ind w:left="542" w:right="60" w:hanging="542"/>
        <w:spacing w:after="0"/>
        <w:tabs>
          <w:tab w:leader="none" w:pos="542" w:val="left"/>
        </w:tabs>
        <w:numPr>
          <w:ilvl w:val="0"/>
          <w:numId w:val="25"/>
        </w:numPr>
        <w:rPr>
          <w:rFonts w:ascii="Arial" w:cs="Arial" w:eastAsia="Arial" w:hAnsi="Arial"/>
          <w:sz w:val="16"/>
          <w:szCs w:val="16"/>
          <w:color w:val="auto"/>
        </w:rPr>
      </w:pPr>
      <w:r>
        <w:rPr>
          <w:rFonts w:ascii="Arial" w:cs="Arial" w:eastAsia="Arial" w:hAnsi="Arial"/>
          <w:sz w:val="16"/>
          <w:szCs w:val="16"/>
          <w:color w:val="auto"/>
        </w:rPr>
        <w:t>Shown is the expense recognized in the company’s financial statements for 2007 under SFAS 123(R) for all outstanding options held by the named executive officers. This amount consists of the portions of the fair values of options granted in 2003-2007 that were allocated to service provided by the named executive officers in 2007. The discussion of the assumptions used for purposes of valuation appears on pages 15 and 23-26 of Exhibit 13 to TI’s annual report on Form 10-K for the year ended December 31, 2007. In accordance with SEC rules, no estimates were made for forfeitures in calculating these amounts. For a description of the grant terms, please see page 36. Stock-based compensation expense for retirement-eligible employees (generally employees over age 55 and who have been TI employees for over 20 years) is recognized over a required six-month employment period. Compensation expense for stock options held by executive officers who will become retirement eligible prior to the option becoming fully exercisable will be recognized over the shorter of: (i) the period from grant date to the date they become retirement eligible (but not less than the six-month required service period) or (ii) the normal four-year vesting period. Mr. Engibous was the only named executive officer for whom the company incurred retirement-eligible stock-based compensation expense in 2007, as he became retirement eligible in 2008. As noted above, Mr. Delfassy ceased to be an active employee of the company in 2007, and accordingly the company recognized the remaining expense relating to his outstanding options in 2007.</w:t>
      </w:r>
    </w:p>
    <w:p>
      <w:pPr>
        <w:spacing w:after="0" w:line="218" w:lineRule="exact"/>
        <w:rPr>
          <w:rFonts w:ascii="Arial" w:cs="Arial" w:eastAsia="Arial" w:hAnsi="Arial"/>
          <w:sz w:val="16"/>
          <w:szCs w:val="16"/>
          <w:color w:val="auto"/>
        </w:rPr>
      </w:pPr>
    </w:p>
    <w:p>
      <w:pPr>
        <w:jc w:val="both"/>
        <w:ind w:left="542" w:right="100" w:hanging="542"/>
        <w:spacing w:after="0" w:line="245" w:lineRule="auto"/>
        <w:tabs>
          <w:tab w:leader="none" w:pos="542"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Consists of performance bonus and profit sharing for 2007 except for Mr. Delfassy, for whom the amount shown consists only of his profit sharing. Please see page 26 of the Compensation Discussion and Analysis for the amounts of bonus and profit sharing paid to each of the other named executive officers for 2007.</w:t>
      </w:r>
    </w:p>
    <w:p>
      <w:pPr>
        <w:spacing w:after="0" w:line="208" w:lineRule="exact"/>
        <w:rPr>
          <w:rFonts w:ascii="Arial" w:cs="Arial" w:eastAsia="Arial" w:hAnsi="Arial"/>
          <w:sz w:val="16"/>
          <w:szCs w:val="16"/>
          <w:color w:val="auto"/>
        </w:rPr>
      </w:pPr>
    </w:p>
    <w:p>
      <w:pPr>
        <w:ind w:left="542" w:right="20" w:hanging="542"/>
        <w:spacing w:after="0" w:line="241" w:lineRule="auto"/>
        <w:tabs>
          <w:tab w:leader="none" w:pos="542"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does not pay above-market earnings on deferred compensation. Therefore, no amounts are reported in this column for deferred compensation. The amounts in this column represent the change in the actuarial value of the named executive officers’ benefits under the qualified defined benefit pension plan (TI Employees Pension Plan) and the nonqualified defined benefit pension plan (TI Employees Non-Qualified Pension Plan) from December 31, 2006, through December 31, 2007. This “change in the actuarial value” is the difference between the 2006 and 2007 present value of the pension benefit accumulated as of year-end by the named executive officer, assuming that benefit is not paid until age 65. Mr. Delfassy does not participate in either of these plans. Mr. Templeton’s benefits under the company’s pension plans were frozen as of December 31, 1997.</w:t>
      </w:r>
    </w:p>
    <w:p>
      <w:pPr>
        <w:spacing w:after="0" w:line="214" w:lineRule="exact"/>
        <w:rPr>
          <w:rFonts w:ascii="Arial" w:cs="Arial" w:eastAsia="Arial" w:hAnsi="Arial"/>
          <w:sz w:val="16"/>
          <w:szCs w:val="16"/>
          <w:color w:val="auto"/>
        </w:rPr>
      </w:pPr>
    </w:p>
    <w:p>
      <w:pPr>
        <w:ind w:left="542" w:right="260" w:hanging="542"/>
        <w:spacing w:after="0" w:line="250" w:lineRule="auto"/>
        <w:tabs>
          <w:tab w:leader="none" w:pos="542"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actuarial value of Mr. Templeton’s account decreased by $11,314 during 2007. In accordance with SEC rules, this amount has not been included in his total 2007 compensation shown in this table.</w:t>
      </w:r>
    </w:p>
    <w:p>
      <w:pPr>
        <w:spacing w:after="0" w:line="204" w:lineRule="exact"/>
        <w:rPr>
          <w:rFonts w:ascii="Arial" w:cs="Arial" w:eastAsia="Arial" w:hAnsi="Arial"/>
          <w:sz w:val="16"/>
          <w:szCs w:val="16"/>
          <w:color w:val="auto"/>
        </w:rPr>
      </w:pPr>
    </w:p>
    <w:p>
      <w:pPr>
        <w:ind w:left="542" w:right="140" w:hanging="542"/>
        <w:spacing w:after="0" w:line="250" w:lineRule="auto"/>
        <w:tabs>
          <w:tab w:leader="none" w:pos="542"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interest of transparency, the value of perquisites and other personal benefits is provided in this column even if the amount is less than the reporting threshold established by the SEC. The table below shows the value of perquisites and other benefits for 2007.</w:t>
      </w:r>
    </w:p>
    <w:p>
      <w:pPr>
        <w:spacing w:after="0" w:line="180"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2" w:type="dxa"/>
        <w:tblCellMar>
          <w:top w:w="0" w:type="dxa"/>
          <w:left w:w="0" w:type="dxa"/>
          <w:bottom w:w="0" w:type="dxa"/>
          <w:right w:w="0" w:type="dxa"/>
        </w:tblCellMar>
      </w:tblPr>
      <w:tr>
        <w:trPr>
          <w:trHeight w:val="185"/>
        </w:trPr>
        <w:tc>
          <w:tcPr>
            <w:tcW w:w="2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Defined</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Personal</w:t>
            </w: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21"/>
        </w:trPr>
        <w:tc>
          <w:tcPr>
            <w:tcW w:w="2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Contribution</w:t>
            </w:r>
          </w:p>
        </w:tc>
        <w:tc>
          <w:tcPr>
            <w:tcW w:w="560" w:type="dxa"/>
            <w:vAlign w:val="bottom"/>
            <w:gridSpan w:val="2"/>
          </w:tcPr>
          <w:p>
            <w:pPr>
              <w:ind w:left="40"/>
              <w:spacing w:after="0"/>
              <w:rPr>
                <w:sz w:val="20"/>
                <w:szCs w:val="20"/>
                <w:color w:val="auto"/>
              </w:rPr>
            </w:pPr>
            <w:r>
              <w:rPr>
                <w:rFonts w:ascii="Arial" w:cs="Arial" w:eastAsia="Arial" w:hAnsi="Arial"/>
                <w:sz w:val="12"/>
                <w:szCs w:val="12"/>
                <w:b w:val="1"/>
                <w:bCs w:val="1"/>
                <w:color w:val="auto"/>
              </w:rPr>
              <w:t>Unused</w:t>
            </w:r>
          </w:p>
        </w:tc>
        <w:tc>
          <w:tcPr>
            <w:tcW w:w="1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w w:val="98"/>
              </w:rPr>
              <w:t>Use of</w:t>
            </w:r>
          </w:p>
        </w:tc>
        <w:tc>
          <w:tcPr>
            <w:tcW w:w="20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Executive</w:t>
            </w: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Home</w:t>
            </w:r>
          </w:p>
        </w:tc>
      </w:tr>
      <w:tr>
        <w:trPr>
          <w:trHeight w:val="221"/>
        </w:trPr>
        <w:tc>
          <w:tcPr>
            <w:tcW w:w="2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9"/>
              <w:spacing w:after="0"/>
              <w:rPr>
                <w:sz w:val="20"/>
                <w:szCs w:val="20"/>
                <w:color w:val="auto"/>
              </w:rPr>
            </w:pPr>
            <w:r>
              <w:rPr>
                <w:rFonts w:ascii="Arial" w:cs="Arial" w:eastAsia="Arial" w:hAnsi="Arial"/>
                <w:sz w:val="12"/>
                <w:szCs w:val="12"/>
                <w:b w:val="1"/>
                <w:bCs w:val="1"/>
                <w:color w:val="auto"/>
              </w:rPr>
              <w:t>Insurance</w:t>
            </w:r>
          </w:p>
        </w:tc>
        <w:tc>
          <w:tcPr>
            <w:tcW w:w="22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401(k)</w:t>
            </w:r>
          </w:p>
        </w:tc>
        <w:tc>
          <w:tcPr>
            <w:tcW w:w="22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Retirement</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Vacation</w:t>
            </w:r>
          </w:p>
        </w:tc>
        <w:tc>
          <w:tcPr>
            <w:tcW w:w="1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Company</w:t>
            </w:r>
          </w:p>
        </w:tc>
        <w:tc>
          <w:tcPr>
            <w:tcW w:w="200" w:type="dxa"/>
            <w:vAlign w:val="bottom"/>
          </w:tcPr>
          <w:p>
            <w:pPr>
              <w:spacing w:after="0"/>
              <w:rPr>
                <w:sz w:val="19"/>
                <w:szCs w:val="19"/>
                <w:color w:val="auto"/>
              </w:rPr>
            </w:pPr>
          </w:p>
        </w:tc>
        <w:tc>
          <w:tcPr>
            <w:tcW w:w="820" w:type="dxa"/>
            <w:vAlign w:val="bottom"/>
          </w:tcPr>
          <w:p>
            <w:pPr>
              <w:ind w:left="260"/>
              <w:spacing w:after="0"/>
              <w:rPr>
                <w:sz w:val="20"/>
                <w:szCs w:val="20"/>
                <w:color w:val="auto"/>
              </w:rPr>
            </w:pPr>
            <w:r>
              <w:rPr>
                <w:rFonts w:ascii="Arial" w:cs="Arial" w:eastAsia="Arial" w:hAnsi="Arial"/>
                <w:sz w:val="12"/>
                <w:szCs w:val="12"/>
                <w:b w:val="1"/>
                <w:bCs w:val="1"/>
                <w:color w:val="auto"/>
              </w:rPr>
              <w:t>Life</w:t>
            </w:r>
          </w:p>
        </w:tc>
        <w:tc>
          <w:tcPr>
            <w:tcW w:w="200" w:type="dxa"/>
            <w:vAlign w:val="bottom"/>
          </w:tcPr>
          <w:p>
            <w:pPr>
              <w:spacing w:after="0"/>
              <w:rPr>
                <w:sz w:val="19"/>
                <w:szCs w:val="19"/>
                <w:color w:val="auto"/>
              </w:rPr>
            </w:pPr>
          </w:p>
        </w:tc>
        <w:tc>
          <w:tcPr>
            <w:tcW w:w="780" w:type="dxa"/>
            <w:vAlign w:val="bottom"/>
          </w:tcPr>
          <w:p>
            <w:pPr>
              <w:jc w:val="right"/>
              <w:ind w:right="59"/>
              <w:spacing w:after="0"/>
              <w:rPr>
                <w:sz w:val="20"/>
                <w:szCs w:val="20"/>
                <w:color w:val="auto"/>
              </w:rPr>
            </w:pPr>
            <w:r>
              <w:rPr>
                <w:rFonts w:ascii="Arial" w:cs="Arial" w:eastAsia="Arial" w:hAnsi="Arial"/>
                <w:sz w:val="12"/>
                <w:szCs w:val="12"/>
                <w:b w:val="1"/>
                <w:bCs w:val="1"/>
                <w:color w:val="auto"/>
              </w:rPr>
              <w:t>Financial</w:t>
            </w:r>
          </w:p>
        </w:tc>
        <w:tc>
          <w:tcPr>
            <w:tcW w:w="220" w:type="dxa"/>
            <w:vAlign w:val="bottom"/>
          </w:tcPr>
          <w:p>
            <w:pPr>
              <w:spacing w:after="0"/>
              <w:rPr>
                <w:sz w:val="19"/>
                <w:szCs w:val="19"/>
                <w:color w:val="auto"/>
              </w:rPr>
            </w:pPr>
          </w:p>
        </w:tc>
        <w:tc>
          <w:tcPr>
            <w:tcW w:w="760" w:type="dxa"/>
            <w:vAlign w:val="bottom"/>
          </w:tcPr>
          <w:p>
            <w:pPr>
              <w:jc w:val="right"/>
              <w:ind w:right="39"/>
              <w:spacing w:after="0"/>
              <w:rPr>
                <w:sz w:val="20"/>
                <w:szCs w:val="20"/>
                <w:color w:val="auto"/>
              </w:rPr>
            </w:pPr>
            <w:r>
              <w:rPr>
                <w:rFonts w:ascii="Arial" w:cs="Arial" w:eastAsia="Arial" w:hAnsi="Arial"/>
                <w:sz w:val="12"/>
                <w:szCs w:val="12"/>
                <w:b w:val="1"/>
                <w:bCs w:val="1"/>
                <w:color w:val="auto"/>
              </w:rPr>
              <w:t>Executive</w:t>
            </w:r>
          </w:p>
        </w:tc>
        <w:tc>
          <w:tcPr>
            <w:tcW w:w="2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2"/>
                <w:szCs w:val="12"/>
                <w:b w:val="1"/>
                <w:bCs w:val="1"/>
                <w:color w:val="auto"/>
              </w:rPr>
              <w:t>Security</w:t>
            </w:r>
          </w:p>
        </w:tc>
      </w:tr>
      <w:tr>
        <w:trPr>
          <w:trHeight w:val="209"/>
        </w:trPr>
        <w:tc>
          <w:tcPr>
            <w:tcW w:w="2780" w:type="dxa"/>
            <w:vAlign w:val="bottom"/>
            <w:tcBorders>
              <w:bottom w:val="single" w:sz="8" w:color="auto"/>
            </w:tcBorders>
          </w:tcPr>
          <w:p>
            <w:pPr>
              <w:ind w:left="1220"/>
              <w:spacing w:after="0"/>
              <w:rPr>
                <w:sz w:val="20"/>
                <w:szCs w:val="20"/>
                <w:color w:val="auto"/>
              </w:rPr>
            </w:pPr>
            <w:r>
              <w:rPr>
                <w:rFonts w:ascii="Arial" w:cs="Arial" w:eastAsia="Arial" w:hAnsi="Arial"/>
                <w:sz w:val="12"/>
                <w:szCs w:val="12"/>
                <w:b w:val="1"/>
                <w:bCs w:val="1"/>
                <w:color w:val="auto"/>
              </w:rPr>
              <w:t>Name</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b w:val="1"/>
                <w:bCs w:val="1"/>
                <w:color w:val="auto"/>
              </w:rPr>
              <w:t>(b)</w:t>
            </w:r>
          </w:p>
        </w:tc>
        <w:tc>
          <w:tcPr>
            <w:tcW w:w="220" w:type="dxa"/>
            <w:vAlign w:val="bottom"/>
          </w:tcPr>
          <w:p>
            <w:pPr>
              <w:spacing w:after="0"/>
              <w:rPr>
                <w:sz w:val="18"/>
                <w:szCs w:val="18"/>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Contribution</w:t>
            </w:r>
          </w:p>
        </w:tc>
        <w:tc>
          <w:tcPr>
            <w:tcW w:w="220" w:type="dxa"/>
            <w:vAlign w:val="bottom"/>
          </w:tcPr>
          <w:p>
            <w:pPr>
              <w:spacing w:after="0"/>
              <w:rPr>
                <w:sz w:val="18"/>
                <w:szCs w:val="18"/>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Plan (c)</w:t>
            </w:r>
          </w:p>
        </w:tc>
        <w:tc>
          <w:tcPr>
            <w:tcW w:w="200" w:type="dxa"/>
            <w:vAlign w:val="bottom"/>
          </w:tcPr>
          <w:p>
            <w:pPr>
              <w:spacing w:after="0"/>
              <w:rPr>
                <w:sz w:val="18"/>
                <w:szCs w:val="18"/>
                <w:color w:val="auto"/>
              </w:rPr>
            </w:pPr>
          </w:p>
        </w:tc>
        <w:tc>
          <w:tcPr>
            <w:tcW w:w="56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rPr>
              <w:t>Time (d)</w:t>
            </w:r>
          </w:p>
        </w:tc>
        <w:tc>
          <w:tcPr>
            <w:tcW w:w="160" w:type="dxa"/>
            <w:vAlign w:val="bottom"/>
          </w:tcPr>
          <w:p>
            <w:pPr>
              <w:spacing w:after="0"/>
              <w:rPr>
                <w:sz w:val="18"/>
                <w:szCs w:val="18"/>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Aircraft (e)</w:t>
            </w:r>
          </w:p>
        </w:tc>
        <w:tc>
          <w:tcPr>
            <w:tcW w:w="200" w:type="dxa"/>
            <w:vAlign w:val="bottom"/>
          </w:tcPr>
          <w:p>
            <w:pPr>
              <w:spacing w:after="0"/>
              <w:rPr>
                <w:sz w:val="18"/>
                <w:szCs w:val="18"/>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Insurance</w:t>
            </w: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ind w:right="19"/>
              <w:spacing w:after="0"/>
              <w:rPr>
                <w:sz w:val="20"/>
                <w:szCs w:val="20"/>
                <w:color w:val="auto"/>
              </w:rPr>
            </w:pPr>
            <w:r>
              <w:rPr>
                <w:rFonts w:ascii="Arial" w:cs="Arial" w:eastAsia="Arial" w:hAnsi="Arial"/>
                <w:sz w:val="12"/>
                <w:szCs w:val="12"/>
                <w:b w:val="1"/>
                <w:bCs w:val="1"/>
                <w:color w:val="auto"/>
              </w:rPr>
              <w:t>Counseling</w:t>
            </w:r>
          </w:p>
        </w:tc>
        <w:tc>
          <w:tcPr>
            <w:tcW w:w="220" w:type="dxa"/>
            <w:vAlign w:val="bottom"/>
          </w:tcPr>
          <w:p>
            <w:pPr>
              <w:spacing w:after="0"/>
              <w:rPr>
                <w:sz w:val="18"/>
                <w:szCs w:val="18"/>
                <w:color w:val="auto"/>
              </w:rPr>
            </w:pPr>
          </w:p>
        </w:tc>
        <w:tc>
          <w:tcPr>
            <w:tcW w:w="7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Physical</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Monitoring</w:t>
            </w:r>
          </w:p>
        </w:tc>
      </w:tr>
      <w:tr>
        <w:trPr>
          <w:trHeight w:val="213"/>
        </w:trPr>
        <w:tc>
          <w:tcPr>
            <w:tcW w:w="2780" w:type="dxa"/>
            <w:vAlign w:val="bottom"/>
            <w:shd w:val="clear" w:color="auto" w:fill="C0C0C0"/>
          </w:tcPr>
          <w:p>
            <w:pPr>
              <w:spacing w:after="0"/>
              <w:rPr>
                <w:sz w:val="20"/>
                <w:szCs w:val="20"/>
                <w:color w:val="auto"/>
              </w:rPr>
            </w:pPr>
            <w:r>
              <w:rPr>
                <w:rFonts w:ascii="Arial" w:cs="Arial" w:eastAsia="Arial" w:hAnsi="Arial"/>
                <w:sz w:val="12"/>
                <w:szCs w:val="12"/>
                <w:color w:val="auto"/>
              </w:rPr>
              <w:t>R. K. Templeton</w:t>
            </w:r>
          </w:p>
        </w:tc>
        <w:tc>
          <w:tcPr>
            <w:tcW w:w="940" w:type="dxa"/>
            <w:vAlign w:val="bottom"/>
            <w:gridSpan w:val="2"/>
            <w:shd w:val="clear" w:color="auto" w:fill="C0C0C0"/>
          </w:tcPr>
          <w:p>
            <w:pPr>
              <w:jc w:val="right"/>
              <w:ind w:right="199"/>
              <w:spacing w:after="0"/>
              <w:rPr>
                <w:sz w:val="20"/>
                <w:szCs w:val="20"/>
                <w:color w:val="auto"/>
              </w:rPr>
            </w:pPr>
            <w:r>
              <w:rPr>
                <w:rFonts w:ascii="Arial" w:cs="Arial" w:eastAsia="Arial" w:hAnsi="Arial"/>
                <w:sz w:val="12"/>
                <w:szCs w:val="12"/>
                <w:color w:val="auto"/>
              </w:rPr>
              <w:t>$270</w:t>
            </w:r>
          </w:p>
        </w:tc>
        <w:tc>
          <w:tcPr>
            <w:tcW w:w="1060" w:type="dxa"/>
            <w:vAlign w:val="bottom"/>
            <w:gridSpan w:val="2"/>
            <w:shd w:val="clear" w:color="auto" w:fill="C0C0C0"/>
          </w:tcPr>
          <w:p>
            <w:pPr>
              <w:jc w:val="center"/>
              <w:ind w:left="159"/>
              <w:spacing w:after="0"/>
              <w:rPr>
                <w:sz w:val="20"/>
                <w:szCs w:val="20"/>
                <w:color w:val="auto"/>
              </w:rPr>
            </w:pPr>
            <w:r>
              <w:rPr>
                <w:rFonts w:ascii="Arial" w:cs="Arial" w:eastAsia="Arial" w:hAnsi="Arial"/>
                <w:sz w:val="12"/>
                <w:szCs w:val="12"/>
                <w:color w:val="auto"/>
                <w:w w:val="97"/>
              </w:rPr>
              <w:t>$9,000</w:t>
            </w:r>
          </w:p>
        </w:tc>
        <w:tc>
          <w:tcPr>
            <w:tcW w:w="960" w:type="dxa"/>
            <w:vAlign w:val="bottom"/>
            <w:gridSpan w:val="2"/>
            <w:shd w:val="clear" w:color="auto" w:fill="C0C0C0"/>
          </w:tcPr>
          <w:p>
            <w:pPr>
              <w:jc w:val="right"/>
              <w:ind w:right="99"/>
              <w:spacing w:after="0"/>
              <w:rPr>
                <w:sz w:val="20"/>
                <w:szCs w:val="20"/>
                <w:color w:val="auto"/>
              </w:rPr>
            </w:pPr>
            <w:r>
              <w:rPr>
                <w:rFonts w:ascii="Arial" w:cs="Arial" w:eastAsia="Arial" w:hAnsi="Arial"/>
                <w:sz w:val="12"/>
                <w:szCs w:val="12"/>
                <w:color w:val="auto"/>
              </w:rPr>
              <w:t>$70,063</w:t>
            </w:r>
          </w:p>
        </w:tc>
        <w:tc>
          <w:tcPr>
            <w:tcW w:w="20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000" w:type="dxa"/>
            <w:vAlign w:val="bottom"/>
            <w:gridSpan w:val="2"/>
            <w:shd w:val="clear" w:color="auto" w:fill="C0C0C0"/>
          </w:tcPr>
          <w:p>
            <w:pPr>
              <w:jc w:val="right"/>
              <w:ind w:right="179"/>
              <w:spacing w:after="0"/>
              <w:rPr>
                <w:sz w:val="20"/>
                <w:szCs w:val="20"/>
                <w:color w:val="auto"/>
              </w:rPr>
            </w:pPr>
            <w:r>
              <w:rPr>
                <w:rFonts w:ascii="Arial" w:cs="Arial" w:eastAsia="Arial" w:hAnsi="Arial"/>
                <w:sz w:val="12"/>
                <w:szCs w:val="12"/>
                <w:color w:val="auto"/>
              </w:rPr>
              <w:t>$23,425</w:t>
            </w:r>
          </w:p>
        </w:tc>
        <w:tc>
          <w:tcPr>
            <w:tcW w:w="200" w:type="dxa"/>
            <w:vAlign w:val="bottom"/>
            <w:shd w:val="clear" w:color="auto" w:fill="C0C0C0"/>
          </w:tcPr>
          <w:p>
            <w:pPr>
              <w:spacing w:after="0"/>
              <w:rPr>
                <w:sz w:val="18"/>
                <w:szCs w:val="18"/>
                <w:color w:val="auto"/>
              </w:rPr>
            </w:pPr>
          </w:p>
        </w:tc>
        <w:tc>
          <w:tcPr>
            <w:tcW w:w="820" w:type="dxa"/>
            <w:vAlign w:val="bottom"/>
            <w:shd w:val="clear" w:color="auto" w:fill="C0C0C0"/>
          </w:tcPr>
          <w:p>
            <w:pPr>
              <w:ind w:left="400"/>
              <w:spacing w:after="0"/>
              <w:rPr>
                <w:sz w:val="20"/>
                <w:szCs w:val="20"/>
                <w:color w:val="auto"/>
              </w:rPr>
            </w:pPr>
            <w:r>
              <w:rPr>
                <w:rFonts w:ascii="Arial" w:cs="Arial" w:eastAsia="Arial" w:hAnsi="Arial"/>
                <w:sz w:val="12"/>
                <w:szCs w:val="12"/>
                <w:color w:val="auto"/>
              </w:rPr>
              <w:t>N/A</w:t>
            </w:r>
          </w:p>
        </w:tc>
        <w:tc>
          <w:tcPr>
            <w:tcW w:w="980" w:type="dxa"/>
            <w:vAlign w:val="bottom"/>
            <w:gridSpan w:val="2"/>
            <w:shd w:val="clear" w:color="auto" w:fill="C0C0C0"/>
          </w:tcPr>
          <w:p>
            <w:pPr>
              <w:jc w:val="right"/>
              <w:ind w:right="159"/>
              <w:spacing w:after="0"/>
              <w:rPr>
                <w:sz w:val="20"/>
                <w:szCs w:val="20"/>
                <w:color w:val="auto"/>
              </w:rPr>
            </w:pPr>
            <w:r>
              <w:rPr>
                <w:rFonts w:ascii="Arial" w:cs="Arial" w:eastAsia="Arial" w:hAnsi="Arial"/>
                <w:sz w:val="12"/>
                <w:szCs w:val="12"/>
                <w:color w:val="auto"/>
              </w:rPr>
              <w:t>$8,000</w:t>
            </w:r>
          </w:p>
        </w:tc>
        <w:tc>
          <w:tcPr>
            <w:tcW w:w="980" w:type="dxa"/>
            <w:vAlign w:val="bottom"/>
            <w:gridSpan w:val="2"/>
            <w:shd w:val="clear" w:color="auto" w:fill="C0C0C0"/>
          </w:tcPr>
          <w:p>
            <w:pPr>
              <w:jc w:val="right"/>
              <w:ind w:right="159"/>
              <w:spacing w:after="0"/>
              <w:rPr>
                <w:sz w:val="20"/>
                <w:szCs w:val="20"/>
                <w:color w:val="auto"/>
              </w:rPr>
            </w:pPr>
            <w:r>
              <w:rPr>
                <w:rFonts w:ascii="Arial" w:cs="Arial" w:eastAsia="Arial" w:hAnsi="Arial"/>
                <w:sz w:val="12"/>
                <w:szCs w:val="12"/>
                <w:color w:val="auto"/>
              </w:rPr>
              <w:t>0</w:t>
            </w:r>
          </w:p>
        </w:tc>
        <w:tc>
          <w:tcPr>
            <w:tcW w:w="940" w:type="dxa"/>
            <w:vAlign w:val="bottom"/>
            <w:gridSpan w:val="2"/>
            <w:shd w:val="clear" w:color="auto" w:fill="C0C0C0"/>
          </w:tcPr>
          <w:p>
            <w:pPr>
              <w:jc w:val="right"/>
              <w:ind w:right="199"/>
              <w:spacing w:after="0"/>
              <w:rPr>
                <w:sz w:val="20"/>
                <w:szCs w:val="20"/>
                <w:color w:val="auto"/>
              </w:rPr>
            </w:pPr>
            <w:r>
              <w:rPr>
                <w:rFonts w:ascii="Arial" w:cs="Arial" w:eastAsia="Arial" w:hAnsi="Arial"/>
                <w:sz w:val="12"/>
                <w:szCs w:val="12"/>
                <w:color w:val="auto"/>
              </w:rPr>
              <w:t>$659</w:t>
            </w:r>
          </w:p>
        </w:tc>
      </w:tr>
      <w:tr>
        <w:trPr>
          <w:trHeight w:val="221"/>
        </w:trPr>
        <w:tc>
          <w:tcPr>
            <w:tcW w:w="2780" w:type="dxa"/>
            <w:vAlign w:val="bottom"/>
          </w:tcPr>
          <w:p>
            <w:pPr>
              <w:spacing w:after="0"/>
              <w:rPr>
                <w:sz w:val="20"/>
                <w:szCs w:val="20"/>
                <w:color w:val="auto"/>
              </w:rPr>
            </w:pPr>
            <w:r>
              <w:rPr>
                <w:rFonts w:ascii="Arial" w:cs="Arial" w:eastAsia="Arial" w:hAnsi="Arial"/>
                <w:sz w:val="12"/>
                <w:szCs w:val="12"/>
                <w:color w:val="auto"/>
              </w:rPr>
              <w:t>K. P. March</w:t>
            </w:r>
          </w:p>
        </w:tc>
        <w:tc>
          <w:tcPr>
            <w:tcW w:w="940" w:type="dxa"/>
            <w:vAlign w:val="bottom"/>
            <w:gridSpan w:val="2"/>
          </w:tcPr>
          <w:p>
            <w:pPr>
              <w:jc w:val="right"/>
              <w:ind w:right="199"/>
              <w:spacing w:after="0"/>
              <w:rPr>
                <w:sz w:val="20"/>
                <w:szCs w:val="20"/>
                <w:color w:val="auto"/>
              </w:rPr>
            </w:pPr>
            <w:r>
              <w:rPr>
                <w:rFonts w:ascii="Arial" w:cs="Arial" w:eastAsia="Arial" w:hAnsi="Arial"/>
                <w:sz w:val="12"/>
                <w:szCs w:val="12"/>
                <w:color w:val="auto"/>
              </w:rPr>
              <w:t>$270</w:t>
            </w:r>
          </w:p>
        </w:tc>
        <w:tc>
          <w:tcPr>
            <w:tcW w:w="1060" w:type="dxa"/>
            <w:vAlign w:val="bottom"/>
            <w:gridSpan w:val="2"/>
          </w:tcPr>
          <w:p>
            <w:pPr>
              <w:jc w:val="center"/>
              <w:ind w:left="159"/>
              <w:spacing w:after="0"/>
              <w:rPr>
                <w:sz w:val="20"/>
                <w:szCs w:val="20"/>
                <w:color w:val="auto"/>
              </w:rPr>
            </w:pPr>
            <w:r>
              <w:rPr>
                <w:rFonts w:ascii="Arial" w:cs="Arial" w:eastAsia="Arial" w:hAnsi="Arial"/>
                <w:sz w:val="12"/>
                <w:szCs w:val="12"/>
                <w:color w:val="auto"/>
                <w:w w:val="97"/>
              </w:rPr>
              <w:t>$4,500</w:t>
            </w:r>
          </w:p>
        </w:tc>
        <w:tc>
          <w:tcPr>
            <w:tcW w:w="22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2"/>
                <w:szCs w:val="12"/>
                <w:color w:val="auto"/>
              </w:rPr>
              <w:t>N/A</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13,379</w:t>
            </w:r>
          </w:p>
        </w:tc>
        <w:tc>
          <w:tcPr>
            <w:tcW w:w="1000" w:type="dxa"/>
            <w:vAlign w:val="bottom"/>
            <w:gridSpan w:val="2"/>
          </w:tcPr>
          <w:p>
            <w:pPr>
              <w:jc w:val="right"/>
              <w:ind w:right="179"/>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9"/>
                <w:szCs w:val="19"/>
                <w:color w:val="auto"/>
              </w:rPr>
            </w:pPr>
          </w:p>
        </w:tc>
        <w:tc>
          <w:tcPr>
            <w:tcW w:w="820" w:type="dxa"/>
            <w:vAlign w:val="bottom"/>
          </w:tcPr>
          <w:p>
            <w:pPr>
              <w:ind w:left="400"/>
              <w:spacing w:after="0"/>
              <w:rPr>
                <w:sz w:val="20"/>
                <w:szCs w:val="20"/>
                <w:color w:val="auto"/>
              </w:rPr>
            </w:pPr>
            <w:r>
              <w:rPr>
                <w:rFonts w:ascii="Arial" w:cs="Arial" w:eastAsia="Arial" w:hAnsi="Arial"/>
                <w:sz w:val="12"/>
                <w:szCs w:val="12"/>
                <w:color w:val="auto"/>
              </w:rPr>
              <w:t>N/A</w:t>
            </w:r>
          </w:p>
        </w:tc>
        <w:tc>
          <w:tcPr>
            <w:tcW w:w="980" w:type="dxa"/>
            <w:vAlign w:val="bottom"/>
            <w:gridSpan w:val="2"/>
          </w:tcPr>
          <w:p>
            <w:pPr>
              <w:jc w:val="right"/>
              <w:ind w:right="159"/>
              <w:spacing w:after="0"/>
              <w:rPr>
                <w:sz w:val="20"/>
                <w:szCs w:val="20"/>
                <w:color w:val="auto"/>
              </w:rPr>
            </w:pPr>
            <w:r>
              <w:rPr>
                <w:rFonts w:ascii="Arial" w:cs="Arial" w:eastAsia="Arial" w:hAnsi="Arial"/>
                <w:sz w:val="12"/>
                <w:szCs w:val="12"/>
                <w:color w:val="auto"/>
              </w:rPr>
              <w:t>$1,322</w:t>
            </w:r>
          </w:p>
        </w:tc>
        <w:tc>
          <w:tcPr>
            <w:tcW w:w="980" w:type="dxa"/>
            <w:vAlign w:val="bottom"/>
            <w:gridSpan w:val="2"/>
          </w:tcPr>
          <w:p>
            <w:pPr>
              <w:jc w:val="right"/>
              <w:ind w:right="159"/>
              <w:spacing w:after="0"/>
              <w:rPr>
                <w:sz w:val="20"/>
                <w:szCs w:val="20"/>
                <w:color w:val="auto"/>
              </w:rPr>
            </w:pPr>
            <w:r>
              <w:rPr>
                <w:rFonts w:ascii="Arial" w:cs="Arial" w:eastAsia="Arial" w:hAnsi="Arial"/>
                <w:sz w:val="12"/>
                <w:szCs w:val="12"/>
                <w:color w:val="auto"/>
              </w:rPr>
              <w:t>$1,808</w:t>
            </w:r>
          </w:p>
        </w:tc>
        <w:tc>
          <w:tcPr>
            <w:tcW w:w="940" w:type="dxa"/>
            <w:vAlign w:val="bottom"/>
            <w:gridSpan w:val="2"/>
          </w:tcPr>
          <w:p>
            <w:pPr>
              <w:jc w:val="right"/>
              <w:ind w:right="199"/>
              <w:spacing w:after="0"/>
              <w:rPr>
                <w:sz w:val="20"/>
                <w:szCs w:val="20"/>
                <w:color w:val="auto"/>
              </w:rPr>
            </w:pPr>
            <w:r>
              <w:rPr>
                <w:rFonts w:ascii="Arial" w:cs="Arial" w:eastAsia="Arial" w:hAnsi="Arial"/>
                <w:sz w:val="12"/>
                <w:szCs w:val="12"/>
                <w:color w:val="auto"/>
              </w:rPr>
              <w:t>$479</w:t>
            </w:r>
          </w:p>
        </w:tc>
      </w:tr>
      <w:tr>
        <w:trPr>
          <w:trHeight w:val="221"/>
        </w:trPr>
        <w:tc>
          <w:tcPr>
            <w:tcW w:w="2780" w:type="dxa"/>
            <w:vAlign w:val="bottom"/>
            <w:shd w:val="clear" w:color="auto" w:fill="C0C0C0"/>
          </w:tcPr>
          <w:p>
            <w:pPr>
              <w:spacing w:after="0"/>
              <w:rPr>
                <w:sz w:val="20"/>
                <w:szCs w:val="20"/>
                <w:color w:val="auto"/>
              </w:rPr>
            </w:pPr>
            <w:r>
              <w:rPr>
                <w:rFonts w:ascii="Arial" w:cs="Arial" w:eastAsia="Arial" w:hAnsi="Arial"/>
                <w:sz w:val="12"/>
                <w:szCs w:val="12"/>
                <w:color w:val="auto"/>
              </w:rPr>
              <w:t>T. J. Engibous</w:t>
            </w:r>
          </w:p>
        </w:tc>
        <w:tc>
          <w:tcPr>
            <w:tcW w:w="940" w:type="dxa"/>
            <w:vAlign w:val="bottom"/>
            <w:gridSpan w:val="2"/>
            <w:shd w:val="clear" w:color="auto" w:fill="C0C0C0"/>
          </w:tcPr>
          <w:p>
            <w:pPr>
              <w:jc w:val="right"/>
              <w:ind w:right="199"/>
              <w:spacing w:after="0"/>
              <w:rPr>
                <w:sz w:val="20"/>
                <w:szCs w:val="20"/>
                <w:color w:val="auto"/>
              </w:rPr>
            </w:pPr>
            <w:r>
              <w:rPr>
                <w:rFonts w:ascii="Arial" w:cs="Arial" w:eastAsia="Arial" w:hAnsi="Arial"/>
                <w:sz w:val="12"/>
                <w:szCs w:val="12"/>
                <w:color w:val="auto"/>
              </w:rPr>
              <w:t>$270</w:t>
            </w:r>
          </w:p>
        </w:tc>
        <w:tc>
          <w:tcPr>
            <w:tcW w:w="1060" w:type="dxa"/>
            <w:vAlign w:val="bottom"/>
            <w:gridSpan w:val="2"/>
            <w:shd w:val="clear" w:color="auto" w:fill="C0C0C0"/>
          </w:tcPr>
          <w:p>
            <w:pPr>
              <w:jc w:val="center"/>
              <w:ind w:left="159"/>
              <w:spacing w:after="0"/>
              <w:rPr>
                <w:sz w:val="20"/>
                <w:szCs w:val="20"/>
                <w:color w:val="auto"/>
              </w:rPr>
            </w:pPr>
            <w:r>
              <w:rPr>
                <w:rFonts w:ascii="Arial" w:cs="Arial" w:eastAsia="Arial" w:hAnsi="Arial"/>
                <w:sz w:val="12"/>
                <w:szCs w:val="12"/>
                <w:color w:val="auto"/>
                <w:w w:val="97"/>
              </w:rPr>
              <w:t>$4,500</w:t>
            </w:r>
          </w:p>
        </w:tc>
        <w:tc>
          <w:tcPr>
            <w:tcW w:w="220" w:type="dxa"/>
            <w:vAlign w:val="bottom"/>
            <w:shd w:val="clear" w:color="auto" w:fill="C0C0C0"/>
          </w:tcPr>
          <w:p>
            <w:pPr>
              <w:spacing w:after="0"/>
              <w:rPr>
                <w:sz w:val="19"/>
                <w:szCs w:val="19"/>
                <w:color w:val="auto"/>
              </w:rPr>
            </w:pPr>
          </w:p>
        </w:tc>
        <w:tc>
          <w:tcPr>
            <w:tcW w:w="940" w:type="dxa"/>
            <w:vAlign w:val="bottom"/>
            <w:gridSpan w:val="2"/>
            <w:shd w:val="clear" w:color="auto" w:fill="C0C0C0"/>
          </w:tcPr>
          <w:p>
            <w:pPr>
              <w:jc w:val="right"/>
              <w:ind w:right="360"/>
              <w:spacing w:after="0"/>
              <w:rPr>
                <w:sz w:val="20"/>
                <w:szCs w:val="20"/>
                <w:color w:val="auto"/>
              </w:rPr>
            </w:pPr>
            <w:r>
              <w:rPr>
                <w:rFonts w:ascii="Arial" w:cs="Arial" w:eastAsia="Arial" w:hAnsi="Arial"/>
                <w:sz w:val="12"/>
                <w:szCs w:val="12"/>
                <w:color w:val="auto"/>
              </w:rPr>
              <w:t>N/A</w:t>
            </w:r>
          </w:p>
        </w:tc>
        <w:tc>
          <w:tcPr>
            <w:tcW w:w="120" w:type="dxa"/>
            <w:vAlign w:val="bottom"/>
            <w:shd w:val="clear" w:color="auto" w:fill="C0C0C0"/>
          </w:tcPr>
          <w:p>
            <w:pPr>
              <w:spacing w:after="0"/>
              <w:rPr>
                <w:sz w:val="19"/>
                <w:szCs w:val="19"/>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000" w:type="dxa"/>
            <w:vAlign w:val="bottom"/>
            <w:gridSpan w:val="2"/>
            <w:shd w:val="clear" w:color="auto" w:fill="C0C0C0"/>
          </w:tcPr>
          <w:p>
            <w:pPr>
              <w:jc w:val="right"/>
              <w:ind w:right="179"/>
              <w:spacing w:after="0"/>
              <w:rPr>
                <w:sz w:val="20"/>
                <w:szCs w:val="20"/>
                <w:color w:val="auto"/>
              </w:rPr>
            </w:pPr>
            <w:r>
              <w:rPr>
                <w:rFonts w:ascii="Arial" w:cs="Arial" w:eastAsia="Arial" w:hAnsi="Arial"/>
                <w:sz w:val="12"/>
                <w:szCs w:val="12"/>
                <w:color w:val="auto"/>
              </w:rPr>
              <w:t>$14,316</w:t>
            </w:r>
          </w:p>
        </w:tc>
        <w:tc>
          <w:tcPr>
            <w:tcW w:w="200" w:type="dxa"/>
            <w:vAlign w:val="bottom"/>
            <w:shd w:val="clear" w:color="auto" w:fill="C0C0C0"/>
          </w:tcPr>
          <w:p>
            <w:pPr>
              <w:spacing w:after="0"/>
              <w:rPr>
                <w:sz w:val="19"/>
                <w:szCs w:val="19"/>
                <w:color w:val="auto"/>
              </w:rPr>
            </w:pPr>
          </w:p>
        </w:tc>
        <w:tc>
          <w:tcPr>
            <w:tcW w:w="820" w:type="dxa"/>
            <w:vAlign w:val="bottom"/>
            <w:shd w:val="clear" w:color="auto" w:fill="C0C0C0"/>
          </w:tcPr>
          <w:p>
            <w:pPr>
              <w:ind w:left="140"/>
              <w:spacing w:after="0" w:line="220" w:lineRule="exact"/>
              <w:rPr>
                <w:sz w:val="20"/>
                <w:szCs w:val="20"/>
                <w:color w:val="auto"/>
              </w:rPr>
            </w:pPr>
            <w:r>
              <w:rPr>
                <w:rFonts w:ascii="Arial" w:cs="Arial" w:eastAsia="Arial" w:hAnsi="Arial"/>
                <w:sz w:val="12"/>
                <w:szCs w:val="12"/>
                <w:color w:val="auto"/>
              </w:rPr>
              <w:t xml:space="preserve">$ 46,079 </w:t>
            </w:r>
            <w:r>
              <w:rPr>
                <w:rFonts w:ascii="Arial" w:cs="Arial" w:eastAsia="Arial" w:hAnsi="Arial"/>
                <w:sz w:val="24"/>
                <w:szCs w:val="24"/>
                <w:color w:val="auto"/>
                <w:vertAlign w:val="superscript"/>
              </w:rPr>
              <w:t>(f)</w:t>
            </w:r>
          </w:p>
        </w:tc>
        <w:tc>
          <w:tcPr>
            <w:tcW w:w="980" w:type="dxa"/>
            <w:vAlign w:val="bottom"/>
            <w:gridSpan w:val="2"/>
            <w:shd w:val="clear" w:color="auto" w:fill="C0C0C0"/>
          </w:tcPr>
          <w:p>
            <w:pPr>
              <w:jc w:val="right"/>
              <w:ind w:right="159"/>
              <w:spacing w:after="0"/>
              <w:rPr>
                <w:sz w:val="20"/>
                <w:szCs w:val="20"/>
                <w:color w:val="auto"/>
              </w:rPr>
            </w:pPr>
            <w:r>
              <w:rPr>
                <w:rFonts w:ascii="Arial" w:cs="Arial" w:eastAsia="Arial" w:hAnsi="Arial"/>
                <w:sz w:val="12"/>
                <w:szCs w:val="12"/>
                <w:color w:val="auto"/>
              </w:rPr>
              <w:t>$8,000</w:t>
            </w:r>
          </w:p>
        </w:tc>
        <w:tc>
          <w:tcPr>
            <w:tcW w:w="980" w:type="dxa"/>
            <w:vAlign w:val="bottom"/>
            <w:gridSpan w:val="2"/>
            <w:shd w:val="clear" w:color="auto" w:fill="C0C0C0"/>
          </w:tcPr>
          <w:p>
            <w:pPr>
              <w:jc w:val="right"/>
              <w:ind w:right="159"/>
              <w:spacing w:after="0"/>
              <w:rPr>
                <w:sz w:val="20"/>
                <w:szCs w:val="20"/>
                <w:color w:val="auto"/>
              </w:rPr>
            </w:pPr>
            <w:r>
              <w:rPr>
                <w:rFonts w:ascii="Arial" w:cs="Arial" w:eastAsia="Arial" w:hAnsi="Arial"/>
                <w:sz w:val="12"/>
                <w:szCs w:val="12"/>
                <w:color w:val="auto"/>
              </w:rPr>
              <w:t>0</w:t>
            </w:r>
          </w:p>
        </w:tc>
        <w:tc>
          <w:tcPr>
            <w:tcW w:w="940" w:type="dxa"/>
            <w:vAlign w:val="bottom"/>
            <w:gridSpan w:val="2"/>
            <w:shd w:val="clear" w:color="auto" w:fill="C0C0C0"/>
          </w:tcPr>
          <w:p>
            <w:pPr>
              <w:jc w:val="right"/>
              <w:ind w:right="199"/>
              <w:spacing w:after="0"/>
              <w:rPr>
                <w:sz w:val="20"/>
                <w:szCs w:val="20"/>
                <w:color w:val="auto"/>
              </w:rPr>
            </w:pPr>
            <w:r>
              <w:rPr>
                <w:rFonts w:ascii="Arial" w:cs="Arial" w:eastAsia="Arial" w:hAnsi="Arial"/>
                <w:sz w:val="12"/>
                <w:szCs w:val="12"/>
                <w:color w:val="auto"/>
              </w:rPr>
              <w:t>$300</w:t>
            </w:r>
          </w:p>
        </w:tc>
      </w:tr>
      <w:tr>
        <w:trPr>
          <w:trHeight w:val="221"/>
        </w:trPr>
        <w:tc>
          <w:tcPr>
            <w:tcW w:w="2780" w:type="dxa"/>
            <w:vAlign w:val="bottom"/>
          </w:tcPr>
          <w:p>
            <w:pPr>
              <w:spacing w:after="0"/>
              <w:rPr>
                <w:sz w:val="20"/>
                <w:szCs w:val="20"/>
                <w:color w:val="auto"/>
              </w:rPr>
            </w:pPr>
            <w:r>
              <w:rPr>
                <w:rFonts w:ascii="Arial" w:cs="Arial" w:eastAsia="Arial" w:hAnsi="Arial"/>
                <w:sz w:val="12"/>
                <w:szCs w:val="12"/>
                <w:color w:val="auto"/>
              </w:rPr>
              <w:t>G. A. Lowe</w:t>
            </w:r>
          </w:p>
        </w:tc>
        <w:tc>
          <w:tcPr>
            <w:tcW w:w="940" w:type="dxa"/>
            <w:vAlign w:val="bottom"/>
            <w:gridSpan w:val="2"/>
          </w:tcPr>
          <w:p>
            <w:pPr>
              <w:jc w:val="right"/>
              <w:ind w:right="199"/>
              <w:spacing w:after="0"/>
              <w:rPr>
                <w:sz w:val="20"/>
                <w:szCs w:val="20"/>
                <w:color w:val="auto"/>
              </w:rPr>
            </w:pPr>
            <w:r>
              <w:rPr>
                <w:rFonts w:ascii="Arial" w:cs="Arial" w:eastAsia="Arial" w:hAnsi="Arial"/>
                <w:sz w:val="12"/>
                <w:szCs w:val="12"/>
                <w:color w:val="auto"/>
              </w:rPr>
              <w:t>$270</w:t>
            </w:r>
          </w:p>
        </w:tc>
        <w:tc>
          <w:tcPr>
            <w:tcW w:w="1060" w:type="dxa"/>
            <w:vAlign w:val="bottom"/>
            <w:gridSpan w:val="2"/>
          </w:tcPr>
          <w:p>
            <w:pPr>
              <w:jc w:val="center"/>
              <w:ind w:left="159"/>
              <w:spacing w:after="0"/>
              <w:rPr>
                <w:sz w:val="20"/>
                <w:szCs w:val="20"/>
                <w:color w:val="auto"/>
              </w:rPr>
            </w:pPr>
            <w:r>
              <w:rPr>
                <w:rFonts w:ascii="Arial" w:cs="Arial" w:eastAsia="Arial" w:hAnsi="Arial"/>
                <w:sz w:val="12"/>
                <w:szCs w:val="12"/>
                <w:color w:val="auto"/>
                <w:w w:val="97"/>
              </w:rPr>
              <w:t>$4,500</w:t>
            </w:r>
          </w:p>
        </w:tc>
        <w:tc>
          <w:tcPr>
            <w:tcW w:w="22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2"/>
                <w:szCs w:val="12"/>
                <w:color w:val="auto"/>
              </w:rPr>
              <w:t>N/A</w:t>
            </w: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274</w:t>
            </w:r>
          </w:p>
        </w:tc>
        <w:tc>
          <w:tcPr>
            <w:tcW w:w="1000" w:type="dxa"/>
            <w:vAlign w:val="bottom"/>
            <w:gridSpan w:val="2"/>
          </w:tcPr>
          <w:p>
            <w:pPr>
              <w:jc w:val="right"/>
              <w:ind w:right="179"/>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9"/>
                <w:szCs w:val="19"/>
                <w:color w:val="auto"/>
              </w:rPr>
            </w:pPr>
          </w:p>
        </w:tc>
        <w:tc>
          <w:tcPr>
            <w:tcW w:w="820" w:type="dxa"/>
            <w:vAlign w:val="bottom"/>
          </w:tcPr>
          <w:p>
            <w:pPr>
              <w:ind w:left="400"/>
              <w:spacing w:after="0"/>
              <w:rPr>
                <w:sz w:val="20"/>
                <w:szCs w:val="20"/>
                <w:color w:val="auto"/>
              </w:rPr>
            </w:pPr>
            <w:r>
              <w:rPr>
                <w:rFonts w:ascii="Arial" w:cs="Arial" w:eastAsia="Arial" w:hAnsi="Arial"/>
                <w:sz w:val="12"/>
                <w:szCs w:val="12"/>
                <w:color w:val="auto"/>
              </w:rPr>
              <w:t>N/A</w:t>
            </w:r>
          </w:p>
        </w:tc>
        <w:tc>
          <w:tcPr>
            <w:tcW w:w="980" w:type="dxa"/>
            <w:vAlign w:val="bottom"/>
            <w:gridSpan w:val="2"/>
          </w:tcPr>
          <w:p>
            <w:pPr>
              <w:jc w:val="right"/>
              <w:ind w:right="159"/>
              <w:spacing w:after="0"/>
              <w:rPr>
                <w:sz w:val="20"/>
                <w:szCs w:val="20"/>
                <w:color w:val="auto"/>
              </w:rPr>
            </w:pPr>
            <w:r>
              <w:rPr>
                <w:rFonts w:ascii="Arial" w:cs="Arial" w:eastAsia="Arial" w:hAnsi="Arial"/>
                <w:sz w:val="12"/>
                <w:szCs w:val="12"/>
                <w:color w:val="auto"/>
              </w:rPr>
              <w:t>$2,059</w:t>
            </w:r>
          </w:p>
        </w:tc>
        <w:tc>
          <w:tcPr>
            <w:tcW w:w="980" w:type="dxa"/>
            <w:vAlign w:val="bottom"/>
            <w:gridSpan w:val="2"/>
          </w:tcPr>
          <w:p>
            <w:pPr>
              <w:jc w:val="right"/>
              <w:ind w:right="159"/>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9"/>
                <w:szCs w:val="19"/>
                <w:color w:val="auto"/>
              </w:rPr>
            </w:pPr>
          </w:p>
        </w:tc>
        <w:tc>
          <w:tcPr>
            <w:tcW w:w="740" w:type="dxa"/>
            <w:vAlign w:val="bottom"/>
          </w:tcPr>
          <w:p>
            <w:pPr>
              <w:jc w:val="right"/>
              <w:ind w:right="199"/>
              <w:spacing w:after="0"/>
              <w:rPr>
                <w:sz w:val="20"/>
                <w:szCs w:val="20"/>
                <w:color w:val="auto"/>
              </w:rPr>
            </w:pPr>
            <w:r>
              <w:rPr>
                <w:rFonts w:ascii="Arial" w:cs="Arial" w:eastAsia="Arial" w:hAnsi="Arial"/>
                <w:sz w:val="12"/>
                <w:szCs w:val="12"/>
                <w:color w:val="auto"/>
              </w:rPr>
              <w:t>N/A</w:t>
            </w:r>
          </w:p>
        </w:tc>
      </w:tr>
      <w:tr>
        <w:trPr>
          <w:trHeight w:val="221"/>
        </w:trPr>
        <w:tc>
          <w:tcPr>
            <w:tcW w:w="2780" w:type="dxa"/>
            <w:vAlign w:val="bottom"/>
            <w:shd w:val="clear" w:color="auto" w:fill="C0C0C0"/>
          </w:tcPr>
          <w:p>
            <w:pPr>
              <w:spacing w:after="0"/>
              <w:rPr>
                <w:sz w:val="20"/>
                <w:szCs w:val="20"/>
                <w:color w:val="auto"/>
              </w:rPr>
            </w:pPr>
            <w:r>
              <w:rPr>
                <w:rFonts w:ascii="Arial" w:cs="Arial" w:eastAsia="Arial" w:hAnsi="Arial"/>
                <w:sz w:val="12"/>
                <w:szCs w:val="12"/>
                <w:color w:val="auto"/>
              </w:rPr>
              <w:t>M. J. Hames</w:t>
            </w:r>
          </w:p>
        </w:tc>
        <w:tc>
          <w:tcPr>
            <w:tcW w:w="940" w:type="dxa"/>
            <w:vAlign w:val="bottom"/>
            <w:gridSpan w:val="2"/>
            <w:shd w:val="clear" w:color="auto" w:fill="C0C0C0"/>
          </w:tcPr>
          <w:p>
            <w:pPr>
              <w:jc w:val="right"/>
              <w:ind w:right="199"/>
              <w:spacing w:after="0"/>
              <w:rPr>
                <w:sz w:val="20"/>
                <w:szCs w:val="20"/>
                <w:color w:val="auto"/>
              </w:rPr>
            </w:pPr>
            <w:r>
              <w:rPr>
                <w:rFonts w:ascii="Arial" w:cs="Arial" w:eastAsia="Arial" w:hAnsi="Arial"/>
                <w:sz w:val="12"/>
                <w:szCs w:val="12"/>
                <w:color w:val="auto"/>
              </w:rPr>
              <w:t>$270</w:t>
            </w:r>
          </w:p>
        </w:tc>
        <w:tc>
          <w:tcPr>
            <w:tcW w:w="1060" w:type="dxa"/>
            <w:vAlign w:val="bottom"/>
            <w:gridSpan w:val="2"/>
            <w:shd w:val="clear" w:color="auto" w:fill="C0C0C0"/>
          </w:tcPr>
          <w:p>
            <w:pPr>
              <w:jc w:val="center"/>
              <w:ind w:left="159"/>
              <w:spacing w:after="0"/>
              <w:rPr>
                <w:sz w:val="20"/>
                <w:szCs w:val="20"/>
                <w:color w:val="auto"/>
              </w:rPr>
            </w:pPr>
            <w:r>
              <w:rPr>
                <w:rFonts w:ascii="Arial" w:cs="Arial" w:eastAsia="Arial" w:hAnsi="Arial"/>
                <w:sz w:val="12"/>
                <w:szCs w:val="12"/>
                <w:color w:val="auto"/>
                <w:w w:val="97"/>
              </w:rPr>
              <w:t>$4,500</w:t>
            </w:r>
          </w:p>
        </w:tc>
        <w:tc>
          <w:tcPr>
            <w:tcW w:w="220" w:type="dxa"/>
            <w:vAlign w:val="bottom"/>
            <w:shd w:val="clear" w:color="auto" w:fill="C0C0C0"/>
          </w:tcPr>
          <w:p>
            <w:pPr>
              <w:spacing w:after="0"/>
              <w:rPr>
                <w:sz w:val="19"/>
                <w:szCs w:val="19"/>
                <w:color w:val="auto"/>
              </w:rPr>
            </w:pPr>
          </w:p>
        </w:tc>
        <w:tc>
          <w:tcPr>
            <w:tcW w:w="940" w:type="dxa"/>
            <w:vAlign w:val="bottom"/>
            <w:gridSpan w:val="2"/>
            <w:shd w:val="clear" w:color="auto" w:fill="C0C0C0"/>
          </w:tcPr>
          <w:p>
            <w:pPr>
              <w:jc w:val="right"/>
              <w:ind w:right="360"/>
              <w:spacing w:after="0"/>
              <w:rPr>
                <w:sz w:val="20"/>
                <w:szCs w:val="20"/>
                <w:color w:val="auto"/>
              </w:rPr>
            </w:pPr>
            <w:r>
              <w:rPr>
                <w:rFonts w:ascii="Arial" w:cs="Arial" w:eastAsia="Arial" w:hAnsi="Arial"/>
                <w:sz w:val="12"/>
                <w:szCs w:val="12"/>
                <w:color w:val="auto"/>
              </w:rPr>
              <w:t>N/A</w:t>
            </w:r>
          </w:p>
        </w:tc>
        <w:tc>
          <w:tcPr>
            <w:tcW w:w="120" w:type="dxa"/>
            <w:vAlign w:val="bottom"/>
            <w:shd w:val="clear" w:color="auto" w:fill="C0C0C0"/>
          </w:tcPr>
          <w:p>
            <w:pPr>
              <w:ind w:left="40"/>
              <w:spacing w:after="0"/>
              <w:rPr>
                <w:sz w:val="20"/>
                <w:szCs w:val="20"/>
                <w:color w:val="auto"/>
              </w:rPr>
            </w:pPr>
            <w:r>
              <w:rPr>
                <w:rFonts w:ascii="Arial" w:cs="Arial" w:eastAsia="Arial" w:hAnsi="Arial"/>
                <w:sz w:val="12"/>
                <w:szCs w:val="12"/>
                <w:color w:val="auto"/>
                <w:w w:val="89"/>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14,054</w:t>
            </w:r>
          </w:p>
        </w:tc>
        <w:tc>
          <w:tcPr>
            <w:tcW w:w="1000" w:type="dxa"/>
            <w:vAlign w:val="bottom"/>
            <w:gridSpan w:val="2"/>
            <w:shd w:val="clear" w:color="auto" w:fill="C0C0C0"/>
          </w:tcPr>
          <w:p>
            <w:pPr>
              <w:jc w:val="right"/>
              <w:ind w:right="179"/>
              <w:spacing w:after="0"/>
              <w:rPr>
                <w:sz w:val="20"/>
                <w:szCs w:val="20"/>
                <w:color w:val="auto"/>
              </w:rPr>
            </w:pPr>
            <w:r>
              <w:rPr>
                <w:rFonts w:ascii="Arial" w:cs="Arial" w:eastAsia="Arial" w:hAnsi="Arial"/>
                <w:sz w:val="12"/>
                <w:szCs w:val="12"/>
                <w:color w:val="auto"/>
              </w:rPr>
              <w:t>0</w:t>
            </w:r>
          </w:p>
        </w:tc>
        <w:tc>
          <w:tcPr>
            <w:tcW w:w="200" w:type="dxa"/>
            <w:vAlign w:val="bottom"/>
            <w:shd w:val="clear" w:color="auto" w:fill="C0C0C0"/>
          </w:tcPr>
          <w:p>
            <w:pPr>
              <w:spacing w:after="0"/>
              <w:rPr>
                <w:sz w:val="19"/>
                <w:szCs w:val="19"/>
                <w:color w:val="auto"/>
              </w:rPr>
            </w:pPr>
          </w:p>
        </w:tc>
        <w:tc>
          <w:tcPr>
            <w:tcW w:w="820" w:type="dxa"/>
            <w:vAlign w:val="bottom"/>
            <w:shd w:val="clear" w:color="auto" w:fill="C0C0C0"/>
          </w:tcPr>
          <w:p>
            <w:pPr>
              <w:ind w:left="400"/>
              <w:spacing w:after="0"/>
              <w:rPr>
                <w:sz w:val="20"/>
                <w:szCs w:val="20"/>
                <w:color w:val="auto"/>
              </w:rPr>
            </w:pPr>
            <w:r>
              <w:rPr>
                <w:rFonts w:ascii="Arial" w:cs="Arial" w:eastAsia="Arial" w:hAnsi="Arial"/>
                <w:sz w:val="12"/>
                <w:szCs w:val="12"/>
                <w:color w:val="auto"/>
              </w:rPr>
              <w:t>N/A</w:t>
            </w:r>
          </w:p>
        </w:tc>
        <w:tc>
          <w:tcPr>
            <w:tcW w:w="980" w:type="dxa"/>
            <w:vAlign w:val="bottom"/>
            <w:gridSpan w:val="2"/>
            <w:shd w:val="clear" w:color="auto" w:fill="C0C0C0"/>
          </w:tcPr>
          <w:p>
            <w:pPr>
              <w:jc w:val="right"/>
              <w:ind w:right="159"/>
              <w:spacing w:after="0"/>
              <w:rPr>
                <w:sz w:val="20"/>
                <w:szCs w:val="20"/>
                <w:color w:val="auto"/>
              </w:rPr>
            </w:pPr>
            <w:r>
              <w:rPr>
                <w:rFonts w:ascii="Arial" w:cs="Arial" w:eastAsia="Arial" w:hAnsi="Arial"/>
                <w:sz w:val="12"/>
                <w:szCs w:val="12"/>
                <w:color w:val="auto"/>
              </w:rPr>
              <w:t>0</w:t>
            </w:r>
          </w:p>
        </w:tc>
        <w:tc>
          <w:tcPr>
            <w:tcW w:w="980" w:type="dxa"/>
            <w:vAlign w:val="bottom"/>
            <w:gridSpan w:val="2"/>
            <w:shd w:val="clear" w:color="auto" w:fill="C0C0C0"/>
          </w:tcPr>
          <w:p>
            <w:pPr>
              <w:jc w:val="right"/>
              <w:ind w:right="159"/>
              <w:spacing w:after="0"/>
              <w:rPr>
                <w:sz w:val="20"/>
                <w:szCs w:val="20"/>
                <w:color w:val="auto"/>
              </w:rPr>
            </w:pPr>
            <w:r>
              <w:rPr>
                <w:rFonts w:ascii="Arial" w:cs="Arial" w:eastAsia="Arial" w:hAnsi="Arial"/>
                <w:sz w:val="12"/>
                <w:szCs w:val="12"/>
                <w:color w:val="auto"/>
              </w:rPr>
              <w:t>$1,565</w:t>
            </w: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ind w:right="199"/>
              <w:spacing w:after="0"/>
              <w:rPr>
                <w:sz w:val="20"/>
                <w:szCs w:val="20"/>
                <w:color w:val="auto"/>
              </w:rPr>
            </w:pPr>
            <w:r>
              <w:rPr>
                <w:rFonts w:ascii="Arial" w:cs="Arial" w:eastAsia="Arial" w:hAnsi="Arial"/>
                <w:sz w:val="12"/>
                <w:szCs w:val="12"/>
                <w:color w:val="auto"/>
              </w:rPr>
              <w:t>N/A</w:t>
            </w:r>
          </w:p>
        </w:tc>
      </w:tr>
      <w:tr>
        <w:trPr>
          <w:trHeight w:val="201"/>
        </w:trPr>
        <w:tc>
          <w:tcPr>
            <w:tcW w:w="2780" w:type="dxa"/>
            <w:vAlign w:val="bottom"/>
          </w:tcPr>
          <w:p>
            <w:pPr>
              <w:spacing w:after="0"/>
              <w:rPr>
                <w:sz w:val="20"/>
                <w:szCs w:val="20"/>
                <w:color w:val="auto"/>
              </w:rPr>
            </w:pPr>
            <w:r>
              <w:rPr>
                <w:rFonts w:ascii="Arial" w:cs="Arial" w:eastAsia="Arial" w:hAnsi="Arial"/>
                <w:sz w:val="12"/>
                <w:szCs w:val="12"/>
                <w:color w:val="auto"/>
              </w:rPr>
              <w:t>G. Delfassy (a)</w:t>
            </w:r>
          </w:p>
        </w:tc>
        <w:tc>
          <w:tcPr>
            <w:tcW w:w="940" w:type="dxa"/>
            <w:vAlign w:val="bottom"/>
            <w:gridSpan w:val="2"/>
          </w:tcPr>
          <w:p>
            <w:pPr>
              <w:jc w:val="right"/>
              <w:ind w:right="199"/>
              <w:spacing w:after="0"/>
              <w:rPr>
                <w:sz w:val="20"/>
                <w:szCs w:val="20"/>
                <w:color w:val="auto"/>
              </w:rPr>
            </w:pPr>
            <w:r>
              <w:rPr>
                <w:rFonts w:ascii="Arial" w:cs="Arial" w:eastAsia="Arial" w:hAnsi="Arial"/>
                <w:sz w:val="12"/>
                <w:szCs w:val="12"/>
                <w:color w:val="auto"/>
              </w:rPr>
              <w:t>$270</w:t>
            </w:r>
          </w:p>
        </w:tc>
        <w:tc>
          <w:tcPr>
            <w:tcW w:w="1060" w:type="dxa"/>
            <w:vAlign w:val="bottom"/>
            <w:gridSpan w:val="2"/>
          </w:tcPr>
          <w:p>
            <w:pPr>
              <w:jc w:val="center"/>
              <w:ind w:left="159"/>
              <w:spacing w:after="0"/>
              <w:rPr>
                <w:sz w:val="20"/>
                <w:szCs w:val="20"/>
                <w:color w:val="auto"/>
              </w:rPr>
            </w:pPr>
            <w:r>
              <w:rPr>
                <w:rFonts w:ascii="Arial" w:cs="Arial" w:eastAsia="Arial" w:hAnsi="Arial"/>
                <w:sz w:val="12"/>
                <w:szCs w:val="12"/>
                <w:color w:val="auto"/>
                <w:w w:val="97"/>
              </w:rPr>
              <w:t>$9,000</w:t>
            </w:r>
          </w:p>
        </w:tc>
        <w:tc>
          <w:tcPr>
            <w:tcW w:w="960" w:type="dxa"/>
            <w:vAlign w:val="bottom"/>
            <w:gridSpan w:val="2"/>
          </w:tcPr>
          <w:p>
            <w:pPr>
              <w:jc w:val="right"/>
              <w:ind w:right="99"/>
              <w:spacing w:after="0"/>
              <w:rPr>
                <w:sz w:val="20"/>
                <w:szCs w:val="20"/>
                <w:color w:val="auto"/>
              </w:rPr>
            </w:pPr>
            <w:r>
              <w:rPr>
                <w:rFonts w:ascii="Arial" w:cs="Arial" w:eastAsia="Arial" w:hAnsi="Arial"/>
                <w:sz w:val="12"/>
                <w:szCs w:val="12"/>
                <w:color w:val="auto"/>
              </w:rPr>
              <w:t>$71,909</w:t>
            </w:r>
          </w:p>
        </w:tc>
        <w:tc>
          <w:tcPr>
            <w:tcW w:w="20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2"/>
                <w:szCs w:val="12"/>
                <w:color w:val="auto"/>
                <w:w w:val="89"/>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27,519</w:t>
            </w:r>
          </w:p>
        </w:tc>
        <w:tc>
          <w:tcPr>
            <w:tcW w:w="1000" w:type="dxa"/>
            <w:vAlign w:val="bottom"/>
            <w:gridSpan w:val="2"/>
          </w:tcPr>
          <w:p>
            <w:pPr>
              <w:jc w:val="right"/>
              <w:ind w:right="179"/>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7"/>
                <w:szCs w:val="17"/>
                <w:color w:val="auto"/>
              </w:rPr>
            </w:pPr>
          </w:p>
        </w:tc>
        <w:tc>
          <w:tcPr>
            <w:tcW w:w="820" w:type="dxa"/>
            <w:vAlign w:val="bottom"/>
          </w:tcPr>
          <w:p>
            <w:pPr>
              <w:ind w:left="400"/>
              <w:spacing w:after="0"/>
              <w:rPr>
                <w:sz w:val="20"/>
                <w:szCs w:val="20"/>
                <w:color w:val="auto"/>
              </w:rPr>
            </w:pPr>
            <w:r>
              <w:rPr>
                <w:rFonts w:ascii="Arial" w:cs="Arial" w:eastAsia="Arial" w:hAnsi="Arial"/>
                <w:sz w:val="12"/>
                <w:szCs w:val="12"/>
                <w:color w:val="auto"/>
              </w:rPr>
              <w:t>N/A</w:t>
            </w:r>
          </w:p>
        </w:tc>
        <w:tc>
          <w:tcPr>
            <w:tcW w:w="980" w:type="dxa"/>
            <w:vAlign w:val="bottom"/>
            <w:gridSpan w:val="2"/>
          </w:tcPr>
          <w:p>
            <w:pPr>
              <w:jc w:val="right"/>
              <w:ind w:right="159"/>
              <w:spacing w:after="0"/>
              <w:rPr>
                <w:sz w:val="20"/>
                <w:szCs w:val="20"/>
                <w:color w:val="auto"/>
              </w:rPr>
            </w:pPr>
            <w:r>
              <w:rPr>
                <w:rFonts w:ascii="Arial" w:cs="Arial" w:eastAsia="Arial" w:hAnsi="Arial"/>
                <w:sz w:val="12"/>
                <w:szCs w:val="12"/>
                <w:color w:val="auto"/>
              </w:rPr>
              <w:t>$6,743</w:t>
            </w:r>
          </w:p>
        </w:tc>
        <w:tc>
          <w:tcPr>
            <w:tcW w:w="980" w:type="dxa"/>
            <w:vAlign w:val="bottom"/>
            <w:gridSpan w:val="2"/>
          </w:tcPr>
          <w:p>
            <w:pPr>
              <w:jc w:val="right"/>
              <w:ind w:right="159"/>
              <w:spacing w:after="0"/>
              <w:rPr>
                <w:sz w:val="20"/>
                <w:szCs w:val="20"/>
                <w:color w:val="auto"/>
              </w:rPr>
            </w:pPr>
            <w:r>
              <w:rPr>
                <w:rFonts w:ascii="Arial" w:cs="Arial" w:eastAsia="Arial" w:hAnsi="Arial"/>
                <w:sz w:val="12"/>
                <w:szCs w:val="12"/>
                <w:color w:val="auto"/>
              </w:rPr>
              <w:t>$2,462</w:t>
            </w:r>
          </w:p>
        </w:tc>
        <w:tc>
          <w:tcPr>
            <w:tcW w:w="200" w:type="dxa"/>
            <w:vAlign w:val="bottom"/>
          </w:tcPr>
          <w:p>
            <w:pPr>
              <w:spacing w:after="0"/>
              <w:rPr>
                <w:sz w:val="17"/>
                <w:szCs w:val="17"/>
                <w:color w:val="auto"/>
              </w:rPr>
            </w:pPr>
          </w:p>
        </w:tc>
        <w:tc>
          <w:tcPr>
            <w:tcW w:w="740" w:type="dxa"/>
            <w:vAlign w:val="bottom"/>
          </w:tcPr>
          <w:p>
            <w:pPr>
              <w:jc w:val="right"/>
              <w:ind w:right="199"/>
              <w:spacing w:after="0"/>
              <w:rPr>
                <w:sz w:val="20"/>
                <w:szCs w:val="20"/>
                <w:color w:val="auto"/>
              </w:rPr>
            </w:pPr>
            <w:r>
              <w:rPr>
                <w:rFonts w:ascii="Arial" w:cs="Arial" w:eastAsia="Arial" w:hAnsi="Arial"/>
                <w:sz w:val="12"/>
                <w:szCs w:val="12"/>
                <w:color w:val="auto"/>
              </w:rPr>
              <w:t>N/A</w:t>
            </w:r>
          </w:p>
        </w:tc>
      </w:tr>
      <w:tr>
        <w:trPr>
          <w:trHeight w:val="249"/>
        </w:trPr>
        <w:tc>
          <w:tcPr>
            <w:tcW w:w="2780" w:type="dxa"/>
            <w:vAlign w:val="bottom"/>
          </w:tcPr>
          <w:p>
            <w:pPr>
              <w:spacing w:after="0"/>
              <w:rPr>
                <w:sz w:val="20"/>
                <w:szCs w:val="20"/>
                <w:color w:val="auto"/>
              </w:rPr>
            </w:pPr>
            <w:r>
              <w:rPr>
                <w:rFonts w:ascii="Arial" w:cs="Arial" w:eastAsia="Arial" w:hAnsi="Arial"/>
                <w:sz w:val="20"/>
                <w:szCs w:val="20"/>
                <w:color w:val="auto"/>
              </w:rPr>
              <w:t>____________________</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r>
    </w:tbl>
    <w:p>
      <w:pPr>
        <w:spacing w:after="0" w:line="214" w:lineRule="exact"/>
        <w:rPr>
          <w:sz w:val="20"/>
          <w:szCs w:val="20"/>
          <w:color w:val="auto"/>
        </w:rPr>
      </w:pPr>
    </w:p>
    <w:p>
      <w:pPr>
        <w:ind w:left="442" w:right="360" w:hanging="442"/>
        <w:spacing w:after="0" w:line="250" w:lineRule="auto"/>
        <w:tabs>
          <w:tab w:leader="none" w:pos="442"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amount shown in the Summary Compensation Table as “All Other Compensation” for Mr. Delfassy for 2007 also includes $205,206 consisting of (i) salary for the period he remained an employee after ceasing to be an executive officer, and (ii) reimbursement of educational expenses.</w:t>
      </w:r>
    </w:p>
    <w:p>
      <w:pPr>
        <w:spacing w:after="0" w:line="204" w:lineRule="exact"/>
        <w:rPr>
          <w:rFonts w:ascii="Arial" w:cs="Arial" w:eastAsia="Arial" w:hAnsi="Arial"/>
          <w:sz w:val="16"/>
          <w:szCs w:val="16"/>
          <w:color w:val="auto"/>
        </w:rPr>
      </w:pPr>
    </w:p>
    <w:p>
      <w:pPr>
        <w:ind w:left="442" w:right="460" w:hanging="442"/>
        <w:spacing w:after="0" w:line="250" w:lineRule="auto"/>
        <w:tabs>
          <w:tab w:leader="none" w:pos="442"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Consists of payments made in connection with travel and accident policies of $20 and insurance premium contributions of $250 for each of the named executive officers.</w:t>
      </w:r>
    </w:p>
    <w:p>
      <w:pPr>
        <w:spacing w:after="0" w:line="204" w:lineRule="exact"/>
        <w:rPr>
          <w:rFonts w:ascii="Arial" w:cs="Arial" w:eastAsia="Arial" w:hAnsi="Arial"/>
          <w:sz w:val="16"/>
          <w:szCs w:val="16"/>
          <w:color w:val="auto"/>
        </w:rPr>
      </w:pPr>
    </w:p>
    <w:p>
      <w:pPr>
        <w:ind w:left="442" w:right="200" w:hanging="442"/>
        <w:spacing w:after="0" w:line="243" w:lineRule="auto"/>
        <w:tabs>
          <w:tab w:leader="none" w:pos="442"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Consists of (i) contributions under the company’s enhanced defined contribution retirement plan of $4,500 for Messrs. Templeton and Delfassy, and (ii) additional amounts of $65,563 and $67,409 for the benefit of Messrs. Templeton and Delfassy, respectively, accrued by TI to offset IRC limitations on amounts that could be contributed to the enhanced defined contribution retirement plan. All of these amounts are also shown in the Nonqualified Deferred Compensation table on page 40.</w:t>
      </w:r>
    </w:p>
    <w:p>
      <w:pPr>
        <w:spacing w:after="0" w:line="210" w:lineRule="exact"/>
        <w:rPr>
          <w:rFonts w:ascii="Arial" w:cs="Arial" w:eastAsia="Arial" w:hAnsi="Arial"/>
          <w:sz w:val="16"/>
          <w:szCs w:val="16"/>
          <w:color w:val="auto"/>
        </w:rPr>
      </w:pPr>
    </w:p>
    <w:p>
      <w:pPr>
        <w:ind w:left="442" w:hanging="442"/>
        <w:spacing w:after="0"/>
        <w:tabs>
          <w:tab w:leader="none" w:pos="442"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payments for unused vacation time that could not be carried forward.</w:t>
      </w:r>
    </w:p>
    <w:p>
      <w:pPr>
        <w:sectPr>
          <w:pgSz w:w="11900" w:h="16838" w:orient="portrait"/>
          <w:cols w:equalWidth="0" w:num="1">
            <w:col w:w="11442"/>
          </w:cols>
          <w:pgMar w:left="238" w:top="8" w:right="219" w:bottom="0" w:gutter="0" w:footer="0" w:header="0"/>
          <w:type w:val="continuous"/>
        </w:sectPr>
      </w:pPr>
    </w:p>
    <w:bookmarkStart w:id="21" w:name="page22"/>
    <w:bookmarkEnd w:id="21"/>
    <w:p>
      <w:pPr>
        <w:spacing w:after="0" w:line="62" w:lineRule="exact"/>
        <w:rPr>
          <w:sz w:val="20"/>
          <w:szCs w:val="20"/>
          <w:color w:val="auto"/>
        </w:rPr>
      </w:pPr>
    </w:p>
    <w:p>
      <w:pPr>
        <w:ind w:left="442" w:right="100" w:hanging="442"/>
        <w:spacing w:after="0" w:line="241" w:lineRule="auto"/>
        <w:tabs>
          <w:tab w:leader="none" w:pos="442"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board of directors has determined that for security reasons, it is in TI’s interest to require the chief executive officer to use the company aircraft for personal air travel. The amount shown for Mr. Templeton includes $18,502 incremental cost of company-required personal use of aircraft and $4,923 for reimbursement of a portion of the tax related to the incremental cost of company-required personal use of aircraft. We valued the incremental cost of the personal use of company aircraft using a method that takes into account: landing, parking and flight planning services expenses; crew travel expenses; supplies and catering expenses; aircraft fuel and oil expenses per hour of flight; communications costs; and any customs, foreign permit and similar fees. Because company aircraft are primarily used for business travel, this methodology excludes the fixed costs, which do not change based on usage, such as pilots’ salaries and the lease cost of the company aircraft. The amount shown for Mr. Engibous was valued using the same methodology. He was not reimbursed for any portion of the tax related to his personal use of corporate aircraft.</w:t>
      </w:r>
    </w:p>
    <w:p>
      <w:pPr>
        <w:spacing w:after="0" w:line="212" w:lineRule="exact"/>
        <w:rPr>
          <w:rFonts w:ascii="Arial" w:cs="Arial" w:eastAsia="Arial" w:hAnsi="Arial"/>
          <w:sz w:val="16"/>
          <w:szCs w:val="16"/>
          <w:color w:val="auto"/>
        </w:rPr>
      </w:pPr>
    </w:p>
    <w:p>
      <w:pPr>
        <w:ind w:left="442" w:right="100" w:hanging="442"/>
        <w:spacing w:after="0" w:line="250" w:lineRule="auto"/>
        <w:tabs>
          <w:tab w:leader="none" w:pos="442"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the premium payment made by the company for an executive life insurance policy that was established under a program that is closed to other participants.</w:t>
      </w:r>
    </w:p>
    <w:p>
      <w:pPr>
        <w:spacing w:after="0" w:line="18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76" w:lineRule="exact"/>
        <w:rPr>
          <w:sz w:val="20"/>
          <w:szCs w:val="20"/>
          <w:color w:val="auto"/>
        </w:rPr>
      </w:pPr>
    </w:p>
    <w:p>
      <w:pPr>
        <w:ind w:left="4302"/>
        <w:spacing w:after="0"/>
        <w:rPr>
          <w:sz w:val="20"/>
          <w:szCs w:val="20"/>
          <w:color w:val="auto"/>
        </w:rPr>
      </w:pPr>
      <w:r>
        <w:rPr>
          <w:rFonts w:ascii="Arial" w:cs="Arial" w:eastAsia="Arial" w:hAnsi="Arial"/>
          <w:sz w:val="16"/>
          <w:szCs w:val="16"/>
          <w:b w:val="1"/>
          <w:bCs w:val="1"/>
          <w:color w:val="auto"/>
        </w:rPr>
        <w:t>Grants of Plan-Based Awards in 2007</w:t>
      </w:r>
    </w:p>
    <w:p>
      <w:pPr>
        <w:spacing w:after="0" w:line="216"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table shows the grants of plan-based awards to the named executive officers in 2007.</w:t>
      </w:r>
    </w:p>
    <w:p>
      <w:pPr>
        <w:spacing w:after="0" w:line="264"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80" w:type="dxa"/>
            <w:vAlign w:val="bottom"/>
            <w:gridSpan w:val="5"/>
          </w:tcPr>
          <w:p>
            <w:pPr>
              <w:ind w:left="320"/>
              <w:spacing w:after="0"/>
              <w:rPr>
                <w:sz w:val="20"/>
                <w:szCs w:val="20"/>
                <w:color w:val="auto"/>
              </w:rPr>
            </w:pPr>
            <w:r>
              <w:rPr>
                <w:rFonts w:ascii="Arial" w:cs="Arial" w:eastAsia="Arial" w:hAnsi="Arial"/>
                <w:sz w:val="12"/>
                <w:szCs w:val="12"/>
                <w:b w:val="1"/>
                <w:bCs w:val="1"/>
                <w:color w:val="auto"/>
              </w:rPr>
              <w:t>Estimated Possible Payouts</w:t>
            </w:r>
          </w:p>
        </w:tc>
        <w:tc>
          <w:tcPr>
            <w:tcW w:w="200" w:type="dxa"/>
            <w:vAlign w:val="bottom"/>
          </w:tcPr>
          <w:p>
            <w:pPr>
              <w:spacing w:after="0"/>
              <w:rPr>
                <w:sz w:val="13"/>
                <w:szCs w:val="13"/>
                <w:color w:val="auto"/>
              </w:rPr>
            </w:pPr>
          </w:p>
        </w:tc>
        <w:tc>
          <w:tcPr>
            <w:tcW w:w="2340" w:type="dxa"/>
            <w:vAlign w:val="bottom"/>
            <w:gridSpan w:val="5"/>
          </w:tcPr>
          <w:p>
            <w:pPr>
              <w:jc w:val="center"/>
              <w:spacing w:after="0"/>
              <w:rPr>
                <w:sz w:val="20"/>
                <w:szCs w:val="20"/>
                <w:color w:val="auto"/>
              </w:rPr>
            </w:pPr>
            <w:r>
              <w:rPr>
                <w:rFonts w:ascii="Arial" w:cs="Arial" w:eastAsia="Arial" w:hAnsi="Arial"/>
                <w:sz w:val="12"/>
                <w:szCs w:val="12"/>
                <w:b w:val="1"/>
                <w:bCs w:val="1"/>
                <w:color w:val="auto"/>
              </w:rPr>
              <w:t>Estimated Future Payouts</w:t>
            </w:r>
          </w:p>
        </w:tc>
        <w:tc>
          <w:tcPr>
            <w:tcW w:w="1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All Other</w:t>
            </w:r>
          </w:p>
        </w:tc>
        <w:tc>
          <w:tcPr>
            <w:tcW w:w="20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All Other</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21"/>
        </w:trPr>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80" w:type="dxa"/>
            <w:vAlign w:val="bottom"/>
            <w:gridSpan w:val="5"/>
          </w:tcPr>
          <w:p>
            <w:pPr>
              <w:ind w:left="340"/>
              <w:spacing w:after="0"/>
              <w:rPr>
                <w:sz w:val="20"/>
                <w:szCs w:val="20"/>
                <w:color w:val="auto"/>
              </w:rPr>
            </w:pPr>
            <w:r>
              <w:rPr>
                <w:rFonts w:ascii="Arial" w:cs="Arial" w:eastAsia="Arial" w:hAnsi="Arial"/>
                <w:sz w:val="12"/>
                <w:szCs w:val="12"/>
                <w:b w:val="1"/>
                <w:bCs w:val="1"/>
                <w:color w:val="auto"/>
              </w:rPr>
              <w:t>Under Non-Equity Incentive</w:t>
            </w:r>
          </w:p>
        </w:tc>
        <w:tc>
          <w:tcPr>
            <w:tcW w:w="200" w:type="dxa"/>
            <w:vAlign w:val="bottom"/>
          </w:tcPr>
          <w:p>
            <w:pPr>
              <w:spacing w:after="0"/>
              <w:rPr>
                <w:sz w:val="19"/>
                <w:szCs w:val="19"/>
                <w:color w:val="auto"/>
              </w:rPr>
            </w:pPr>
          </w:p>
        </w:tc>
        <w:tc>
          <w:tcPr>
            <w:tcW w:w="2340" w:type="dxa"/>
            <w:vAlign w:val="bottom"/>
            <w:gridSpan w:val="5"/>
          </w:tcPr>
          <w:p>
            <w:pPr>
              <w:jc w:val="center"/>
              <w:spacing w:after="0"/>
              <w:rPr>
                <w:sz w:val="20"/>
                <w:szCs w:val="20"/>
                <w:color w:val="auto"/>
              </w:rPr>
            </w:pPr>
            <w:r>
              <w:rPr>
                <w:rFonts w:ascii="Arial" w:cs="Arial" w:eastAsia="Arial" w:hAnsi="Arial"/>
                <w:sz w:val="12"/>
                <w:szCs w:val="12"/>
                <w:b w:val="1"/>
                <w:bCs w:val="1"/>
                <w:color w:val="auto"/>
              </w:rPr>
              <w:t>Under Equity Incentive</w:t>
            </w:r>
          </w:p>
        </w:tc>
        <w:tc>
          <w:tcPr>
            <w:tcW w:w="1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Stock</w:t>
            </w:r>
          </w:p>
        </w:tc>
        <w:tc>
          <w:tcPr>
            <w:tcW w:w="2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8"/>
              </w:rPr>
              <w:t>Option</w:t>
            </w: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97"/>
        </w:trPr>
        <w:tc>
          <w:tcPr>
            <w:tcW w:w="2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ind w:left="80"/>
              <w:spacing w:after="0"/>
              <w:rPr>
                <w:sz w:val="20"/>
                <w:szCs w:val="20"/>
                <w:color w:val="auto"/>
              </w:rPr>
            </w:pPr>
            <w:r>
              <w:rPr>
                <w:rFonts w:ascii="Arial" w:cs="Arial" w:eastAsia="Arial" w:hAnsi="Arial"/>
                <w:sz w:val="12"/>
                <w:szCs w:val="12"/>
                <w:b w:val="1"/>
                <w:bCs w:val="1"/>
                <w:color w:val="auto"/>
              </w:rPr>
              <w:t>Plan Awards</w:t>
            </w:r>
          </w:p>
        </w:tc>
        <w:tc>
          <w:tcPr>
            <w:tcW w:w="66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rPr>
              <w:t>Plan Awards</w:t>
            </w:r>
          </w:p>
        </w:tc>
        <w:tc>
          <w:tcPr>
            <w:tcW w:w="7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Awards:</w:t>
            </w:r>
          </w:p>
        </w:tc>
        <w:tc>
          <w:tcPr>
            <w:tcW w:w="2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Awards:</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w w:val="97"/>
              </w:rPr>
              <w:t>Exercise</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24"/>
        </w:trPr>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gridSpan w:val="2"/>
          </w:tcPr>
          <w:p>
            <w:pPr>
              <w:jc w:val="center"/>
              <w:ind w:left="119"/>
              <w:spacing w:after="0"/>
              <w:rPr>
                <w:sz w:val="20"/>
                <w:szCs w:val="20"/>
                <w:color w:val="auto"/>
              </w:rPr>
            </w:pPr>
            <w:r>
              <w:rPr>
                <w:rFonts w:ascii="Arial" w:cs="Arial" w:eastAsia="Arial" w:hAnsi="Arial"/>
                <w:sz w:val="12"/>
                <w:szCs w:val="12"/>
                <w:b w:val="1"/>
                <w:bCs w:val="1"/>
                <w:color w:val="auto"/>
              </w:rPr>
              <w:t>Number of</w:t>
            </w:r>
          </w:p>
        </w:tc>
        <w:tc>
          <w:tcPr>
            <w:tcW w:w="2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Number of</w:t>
            </w:r>
          </w:p>
        </w:tc>
        <w:tc>
          <w:tcPr>
            <w:tcW w:w="20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rPr>
              <w:t>or Base</w:t>
            </w:r>
          </w:p>
        </w:tc>
        <w:tc>
          <w:tcPr>
            <w:tcW w:w="200" w:type="dxa"/>
            <w:vAlign w:val="bottom"/>
          </w:tcPr>
          <w:p>
            <w:pPr>
              <w:spacing w:after="0"/>
              <w:rPr>
                <w:sz w:val="19"/>
                <w:szCs w:val="19"/>
                <w:color w:val="auto"/>
              </w:rPr>
            </w:pPr>
          </w:p>
        </w:tc>
        <w:tc>
          <w:tcPr>
            <w:tcW w:w="840" w:type="dxa"/>
            <w:vAlign w:val="bottom"/>
            <w:gridSpan w:val="2"/>
          </w:tcPr>
          <w:p>
            <w:pPr>
              <w:jc w:val="right"/>
              <w:ind w:right="39"/>
              <w:spacing w:after="0"/>
              <w:rPr>
                <w:sz w:val="20"/>
                <w:szCs w:val="20"/>
                <w:color w:val="auto"/>
              </w:rPr>
            </w:pPr>
            <w:r>
              <w:rPr>
                <w:rFonts w:ascii="Arial" w:cs="Arial" w:eastAsia="Arial" w:hAnsi="Arial"/>
                <w:sz w:val="12"/>
                <w:szCs w:val="12"/>
                <w:b w:val="1"/>
                <w:bCs w:val="1"/>
                <w:color w:val="auto"/>
              </w:rPr>
              <w:t>Grant Date</w:t>
            </w:r>
          </w:p>
        </w:tc>
      </w:tr>
      <w:tr>
        <w:trPr>
          <w:trHeight w:val="221"/>
        </w:trPr>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Shares of</w:t>
            </w:r>
          </w:p>
        </w:tc>
        <w:tc>
          <w:tcPr>
            <w:tcW w:w="2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9"/>
                <w:szCs w:val="19"/>
                <w:color w:val="auto"/>
              </w:rPr>
            </w:pP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Fair Value</w:t>
            </w:r>
          </w:p>
        </w:tc>
      </w:tr>
      <w:tr>
        <w:trPr>
          <w:trHeight w:val="221"/>
        </w:trPr>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9"/>
              </w:rPr>
              <w:t>Stock or</w:t>
            </w:r>
          </w:p>
        </w:tc>
        <w:tc>
          <w:tcPr>
            <w:tcW w:w="2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w w:val="98"/>
              </w:rPr>
              <w:t>Option</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ind w:right="99"/>
              <w:spacing w:after="0"/>
              <w:rPr>
                <w:sz w:val="20"/>
                <w:szCs w:val="20"/>
                <w:color w:val="auto"/>
              </w:rPr>
            </w:pPr>
            <w:r>
              <w:rPr>
                <w:rFonts w:ascii="Arial" w:cs="Arial" w:eastAsia="Arial" w:hAnsi="Arial"/>
                <w:sz w:val="12"/>
                <w:szCs w:val="12"/>
                <w:b w:val="1"/>
                <w:bCs w:val="1"/>
                <w:color w:val="auto"/>
                <w:w w:val="97"/>
              </w:rPr>
              <w:t>of Stock</w:t>
            </w:r>
          </w:p>
        </w:tc>
      </w:tr>
      <w:tr>
        <w:trPr>
          <w:trHeight w:val="221"/>
        </w:trPr>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Grant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Threshold</w:t>
            </w:r>
          </w:p>
        </w:tc>
        <w:tc>
          <w:tcPr>
            <w:tcW w:w="200" w:type="dxa"/>
            <w:vAlign w:val="bottom"/>
          </w:tcPr>
          <w:p>
            <w:pPr>
              <w:spacing w:after="0"/>
              <w:rPr>
                <w:sz w:val="19"/>
                <w:szCs w:val="19"/>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Target</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Maximum</w:t>
            </w:r>
          </w:p>
        </w:tc>
        <w:tc>
          <w:tcPr>
            <w:tcW w:w="200" w:type="dxa"/>
            <w:vAlign w:val="bottom"/>
          </w:tcPr>
          <w:p>
            <w:pPr>
              <w:spacing w:after="0"/>
              <w:rPr>
                <w:sz w:val="19"/>
                <w:szCs w:val="19"/>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Threshold</w:t>
            </w:r>
          </w:p>
        </w:tc>
        <w:tc>
          <w:tcPr>
            <w:tcW w:w="200" w:type="dxa"/>
            <w:vAlign w:val="bottom"/>
          </w:tcPr>
          <w:p>
            <w:pPr>
              <w:spacing w:after="0"/>
              <w:rPr>
                <w:sz w:val="19"/>
                <w:szCs w:val="19"/>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Target</w:t>
            </w:r>
          </w:p>
        </w:tc>
        <w:tc>
          <w:tcPr>
            <w:tcW w:w="720" w:type="dxa"/>
            <w:vAlign w:val="bottom"/>
          </w:tcPr>
          <w:p>
            <w:pPr>
              <w:ind w:left="100"/>
              <w:spacing w:after="0"/>
              <w:rPr>
                <w:sz w:val="20"/>
                <w:szCs w:val="20"/>
                <w:color w:val="auto"/>
              </w:rPr>
            </w:pPr>
            <w:r>
              <w:rPr>
                <w:rFonts w:ascii="Arial" w:cs="Arial" w:eastAsia="Arial" w:hAnsi="Arial"/>
                <w:sz w:val="12"/>
                <w:szCs w:val="12"/>
                <w:b w:val="1"/>
                <w:bCs w:val="1"/>
                <w:color w:val="auto"/>
              </w:rPr>
              <w:t>Maximum</w:t>
            </w:r>
          </w:p>
        </w:tc>
        <w:tc>
          <w:tcPr>
            <w:tcW w:w="18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9"/>
              </w:rPr>
              <w:t>Units</w:t>
            </w:r>
          </w:p>
        </w:tc>
        <w:tc>
          <w:tcPr>
            <w:tcW w:w="20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rPr>
              <w:t>Options</w:t>
            </w:r>
          </w:p>
        </w:tc>
        <w:tc>
          <w:tcPr>
            <w:tcW w:w="20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Arial" w:cs="Arial" w:eastAsia="Arial" w:hAnsi="Arial"/>
                <w:sz w:val="12"/>
                <w:szCs w:val="12"/>
                <w:b w:val="1"/>
                <w:bCs w:val="1"/>
                <w:color w:val="auto"/>
              </w:rPr>
              <w:t>Awards</w:t>
            </w:r>
          </w:p>
        </w:tc>
        <w:tc>
          <w:tcPr>
            <w:tcW w:w="20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and Option</w:t>
            </w:r>
          </w:p>
        </w:tc>
      </w:tr>
      <w:tr>
        <w:trPr>
          <w:trHeight w:val="209"/>
        </w:trPr>
        <w:tc>
          <w:tcPr>
            <w:tcW w:w="2160" w:type="dxa"/>
            <w:vAlign w:val="bottom"/>
            <w:tcBorders>
              <w:bottom w:val="single" w:sz="8" w:color="auto"/>
            </w:tcBorders>
          </w:tcPr>
          <w:p>
            <w:pPr>
              <w:ind w:left="880"/>
              <w:spacing w:after="0"/>
              <w:rPr>
                <w:sz w:val="20"/>
                <w:szCs w:val="20"/>
                <w:color w:val="auto"/>
              </w:rPr>
            </w:pPr>
            <w:r>
              <w:rPr>
                <w:rFonts w:ascii="Arial" w:cs="Arial" w:eastAsia="Arial" w:hAnsi="Arial"/>
                <w:sz w:val="12"/>
                <w:szCs w:val="12"/>
                <w:b w:val="1"/>
                <w:bCs w:val="1"/>
                <w:color w:val="auto"/>
              </w:rPr>
              <w:t>Name</w:t>
            </w:r>
          </w:p>
        </w:tc>
        <w:tc>
          <w:tcPr>
            <w:tcW w:w="200" w:type="dxa"/>
            <w:vAlign w:val="bottom"/>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Date</w:t>
            </w:r>
          </w:p>
        </w:tc>
        <w:tc>
          <w:tcPr>
            <w:tcW w:w="200" w:type="dxa"/>
            <w:vAlign w:val="bottom"/>
          </w:tcPr>
          <w:p>
            <w:pPr>
              <w:spacing w:after="0"/>
              <w:rPr>
                <w:sz w:val="18"/>
                <w:szCs w:val="18"/>
                <w:color w:val="auto"/>
              </w:rPr>
            </w:pPr>
          </w:p>
        </w:tc>
        <w:tc>
          <w:tcPr>
            <w:tcW w:w="700" w:type="dxa"/>
            <w:vAlign w:val="bottom"/>
            <w:tcBorders>
              <w:bottom w:val="single" w:sz="8" w:color="auto"/>
            </w:tcBorders>
          </w:tcPr>
          <w:p>
            <w:pPr>
              <w:ind w:left="300"/>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180" w:type="dxa"/>
            <w:vAlign w:val="bottom"/>
          </w:tcPr>
          <w:p>
            <w:pPr>
              <w:spacing w:after="0"/>
              <w:rPr>
                <w:sz w:val="18"/>
                <w:szCs w:val="18"/>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200" w:type="dxa"/>
            <w:vAlign w:val="bottom"/>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w:t>
            </w:r>
          </w:p>
        </w:tc>
        <w:tc>
          <w:tcPr>
            <w:tcW w:w="180" w:type="dxa"/>
            <w:vAlign w:val="bottom"/>
          </w:tcPr>
          <w:p>
            <w:pPr>
              <w:spacing w:after="0"/>
              <w:rPr>
                <w:sz w:val="18"/>
                <w:szCs w:val="18"/>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(#)(1)</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($/Sh)</w:t>
            </w:r>
          </w:p>
        </w:tc>
        <w:tc>
          <w:tcPr>
            <w:tcW w:w="200" w:type="dxa"/>
            <w:vAlign w:val="bottom"/>
          </w:tcPr>
          <w:p>
            <w:pPr>
              <w:spacing w:after="0"/>
              <w:rPr>
                <w:sz w:val="18"/>
                <w:szCs w:val="18"/>
                <w:color w:val="auto"/>
              </w:rPr>
            </w:pPr>
          </w:p>
        </w:tc>
        <w:tc>
          <w:tcPr>
            <w:tcW w:w="8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2"/>
                <w:szCs w:val="12"/>
                <w:b w:val="1"/>
                <w:bCs w:val="1"/>
                <w:color w:val="auto"/>
              </w:rPr>
              <w:t>Awards (3)</w:t>
            </w:r>
          </w:p>
        </w:tc>
      </w:tr>
      <w:tr>
        <w:trPr>
          <w:trHeight w:val="213"/>
        </w:trPr>
        <w:tc>
          <w:tcPr>
            <w:tcW w:w="2160" w:type="dxa"/>
            <w:vAlign w:val="bottom"/>
            <w:shd w:val="clear" w:color="auto" w:fill="C0C0C0"/>
          </w:tcPr>
          <w:p>
            <w:pPr>
              <w:spacing w:after="0"/>
              <w:rPr>
                <w:sz w:val="20"/>
                <w:szCs w:val="20"/>
                <w:color w:val="auto"/>
              </w:rPr>
            </w:pPr>
            <w:r>
              <w:rPr>
                <w:rFonts w:ascii="Arial" w:cs="Arial" w:eastAsia="Arial" w:hAnsi="Arial"/>
                <w:sz w:val="12"/>
                <w:szCs w:val="12"/>
                <w:color w:val="auto"/>
              </w:rPr>
              <w:t>R. K. Templeton</w:t>
            </w:r>
          </w:p>
        </w:tc>
        <w:tc>
          <w:tcPr>
            <w:tcW w:w="940" w:type="dxa"/>
            <w:vAlign w:val="bottom"/>
            <w:gridSpan w:val="3"/>
            <w:shd w:val="clear" w:color="auto" w:fill="C0C0C0"/>
          </w:tcPr>
          <w:p>
            <w:pPr>
              <w:jc w:val="center"/>
              <w:spacing w:after="0"/>
              <w:rPr>
                <w:sz w:val="20"/>
                <w:szCs w:val="20"/>
                <w:color w:val="auto"/>
              </w:rPr>
            </w:pPr>
            <w:r>
              <w:rPr>
                <w:rFonts w:ascii="Arial" w:cs="Arial" w:eastAsia="Arial" w:hAnsi="Arial"/>
                <w:sz w:val="12"/>
                <w:szCs w:val="12"/>
                <w:color w:val="auto"/>
              </w:rPr>
              <w:t>1/18/2007</w:t>
            </w:r>
          </w:p>
        </w:tc>
        <w:tc>
          <w:tcPr>
            <w:tcW w:w="700" w:type="dxa"/>
            <w:vAlign w:val="bottom"/>
            <w:shd w:val="clear" w:color="auto" w:fill="C0C0C0"/>
          </w:tcPr>
          <w:p>
            <w:pPr>
              <w:ind w:left="32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w w:val="84"/>
              </w:rPr>
              <w:t>*</w:t>
            </w:r>
          </w:p>
        </w:tc>
        <w:tc>
          <w:tcPr>
            <w:tcW w:w="180" w:type="dxa"/>
            <w:vAlign w:val="bottom"/>
            <w:shd w:val="clear" w:color="auto" w:fill="C0C0C0"/>
          </w:tcPr>
          <w:p>
            <w:pPr>
              <w:spacing w:after="0"/>
              <w:rPr>
                <w:sz w:val="18"/>
                <w:szCs w:val="18"/>
                <w:color w:val="auto"/>
              </w:rPr>
            </w:pPr>
          </w:p>
        </w:tc>
        <w:tc>
          <w:tcPr>
            <w:tcW w:w="66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4"/>
              </w:rPr>
              <w:t>*</w:t>
            </w:r>
          </w:p>
        </w:tc>
        <w:tc>
          <w:tcPr>
            <w:tcW w:w="900" w:type="dxa"/>
            <w:vAlign w:val="bottom"/>
            <w:gridSpan w:val="2"/>
            <w:shd w:val="clear" w:color="auto" w:fill="C0C0C0"/>
          </w:tcPr>
          <w:p>
            <w:pPr>
              <w:jc w:val="center"/>
              <w:ind w:left="139"/>
              <w:spacing w:after="0"/>
              <w:rPr>
                <w:sz w:val="20"/>
                <w:szCs w:val="20"/>
                <w:color w:val="auto"/>
              </w:rPr>
            </w:pPr>
            <w:r>
              <w:rPr>
                <w:rFonts w:ascii="Arial" w:cs="Arial" w:eastAsia="Arial" w:hAnsi="Arial"/>
                <w:sz w:val="12"/>
                <w:szCs w:val="12"/>
                <w:color w:val="auto"/>
                <w:w w:val="89"/>
              </w:rPr>
              <w:t>0</w:t>
            </w:r>
          </w:p>
        </w:tc>
        <w:tc>
          <w:tcPr>
            <w:tcW w:w="720" w:type="dxa"/>
            <w:vAlign w:val="bottom"/>
            <w:gridSpan w:val="2"/>
            <w:shd w:val="clear" w:color="auto" w:fill="C0C0C0"/>
          </w:tcPr>
          <w:p>
            <w:pPr>
              <w:jc w:val="center"/>
              <w:ind w:left="139"/>
              <w:spacing w:after="0"/>
              <w:rPr>
                <w:sz w:val="20"/>
                <w:szCs w:val="20"/>
                <w:color w:val="auto"/>
              </w:rPr>
            </w:pPr>
            <w:r>
              <w:rPr>
                <w:rFonts w:ascii="Arial" w:cs="Arial" w:eastAsia="Arial" w:hAnsi="Arial"/>
                <w:sz w:val="12"/>
                <w:szCs w:val="12"/>
                <w:color w:val="auto"/>
              </w:rPr>
              <w:t>0</w:t>
            </w:r>
          </w:p>
        </w:tc>
        <w:tc>
          <w:tcPr>
            <w:tcW w:w="200" w:type="dxa"/>
            <w:vAlign w:val="bottom"/>
            <w:shd w:val="clear" w:color="auto" w:fill="C0C0C0"/>
          </w:tcPr>
          <w:p>
            <w:pPr>
              <w:spacing w:after="0"/>
              <w:rPr>
                <w:sz w:val="18"/>
                <w:szCs w:val="18"/>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180" w:type="dxa"/>
            <w:vAlign w:val="bottom"/>
            <w:shd w:val="clear" w:color="auto" w:fill="C0C0C0"/>
          </w:tcPr>
          <w:p>
            <w:pPr>
              <w:spacing w:after="0"/>
              <w:rPr>
                <w:sz w:val="18"/>
                <w:szCs w:val="18"/>
                <w:color w:val="auto"/>
              </w:rPr>
            </w:pPr>
          </w:p>
        </w:tc>
        <w:tc>
          <w:tcPr>
            <w:tcW w:w="620" w:type="dxa"/>
            <w:vAlign w:val="bottom"/>
            <w:shd w:val="clear" w:color="auto" w:fill="C0C0C0"/>
          </w:tcPr>
          <w:p>
            <w:pPr>
              <w:spacing w:after="0"/>
              <w:rPr>
                <w:sz w:val="18"/>
                <w:szCs w:val="18"/>
                <w:color w:val="auto"/>
              </w:rPr>
            </w:pPr>
          </w:p>
        </w:tc>
        <w:tc>
          <w:tcPr>
            <w:tcW w:w="900" w:type="dxa"/>
            <w:vAlign w:val="bottom"/>
            <w:gridSpan w:val="2"/>
            <w:shd w:val="clear" w:color="auto" w:fill="C0C0C0"/>
          </w:tcPr>
          <w:p>
            <w:pPr>
              <w:jc w:val="right"/>
              <w:ind w:right="99"/>
              <w:spacing w:after="0"/>
              <w:rPr>
                <w:sz w:val="20"/>
                <w:szCs w:val="20"/>
                <w:color w:val="auto"/>
              </w:rPr>
            </w:pPr>
            <w:r>
              <w:rPr>
                <w:rFonts w:ascii="Arial" w:cs="Arial" w:eastAsia="Arial" w:hAnsi="Arial"/>
                <w:sz w:val="12"/>
                <w:szCs w:val="12"/>
                <w:color w:val="auto"/>
              </w:rPr>
              <w:t>270,000</w:t>
            </w: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$28.32</w:t>
            </w:r>
          </w:p>
        </w:tc>
        <w:tc>
          <w:tcPr>
            <w:tcW w:w="400" w:type="dxa"/>
            <w:vAlign w:val="bottom"/>
            <w:gridSpan w:val="2"/>
            <w:shd w:val="clear" w:color="auto" w:fill="C0C0C0"/>
          </w:tcPr>
          <w:p>
            <w:pPr>
              <w:ind w:left="3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0C0C0"/>
          </w:tcPr>
          <w:p>
            <w:pPr>
              <w:jc w:val="right"/>
              <w:ind w:right="19"/>
              <w:spacing w:after="0"/>
              <w:rPr>
                <w:sz w:val="20"/>
                <w:szCs w:val="20"/>
                <w:color w:val="auto"/>
              </w:rPr>
            </w:pPr>
            <w:r>
              <w:rPr>
                <w:rFonts w:ascii="Arial" w:cs="Arial" w:eastAsia="Arial" w:hAnsi="Arial"/>
                <w:sz w:val="12"/>
                <w:szCs w:val="12"/>
                <w:color w:val="auto"/>
              </w:rPr>
              <w:t>2,616,300</w:t>
            </w:r>
          </w:p>
        </w:tc>
      </w:tr>
      <w:tr>
        <w:trPr>
          <w:trHeight w:val="221"/>
        </w:trPr>
        <w:tc>
          <w:tcPr>
            <w:tcW w:w="2160" w:type="dxa"/>
            <w:vAlign w:val="bottom"/>
            <w:shd w:val="clear" w:color="auto" w:fill="C0C0C0"/>
          </w:tcPr>
          <w:p>
            <w:pPr>
              <w:spacing w:after="0"/>
              <w:rPr>
                <w:sz w:val="19"/>
                <w:szCs w:val="19"/>
                <w:color w:val="auto"/>
              </w:rPr>
            </w:pPr>
          </w:p>
        </w:tc>
        <w:tc>
          <w:tcPr>
            <w:tcW w:w="940" w:type="dxa"/>
            <w:vAlign w:val="bottom"/>
            <w:gridSpan w:val="3"/>
            <w:shd w:val="clear" w:color="auto" w:fill="C0C0C0"/>
          </w:tcPr>
          <w:p>
            <w:pPr>
              <w:jc w:val="center"/>
              <w:spacing w:after="0"/>
              <w:rPr>
                <w:sz w:val="20"/>
                <w:szCs w:val="20"/>
                <w:color w:val="auto"/>
              </w:rPr>
            </w:pPr>
            <w:r>
              <w:rPr>
                <w:rFonts w:ascii="Arial" w:cs="Arial" w:eastAsia="Arial" w:hAnsi="Arial"/>
                <w:sz w:val="12"/>
                <w:szCs w:val="12"/>
                <w:color w:val="auto"/>
              </w:rPr>
              <w:t>1/18/2007</w:t>
            </w:r>
          </w:p>
        </w:tc>
        <w:tc>
          <w:tcPr>
            <w:tcW w:w="70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52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20" w:type="dxa"/>
            <w:vAlign w:val="bottom"/>
            <w:shd w:val="clear" w:color="auto" w:fill="C0C0C0"/>
          </w:tcPr>
          <w:p>
            <w:pPr>
              <w:spacing w:after="0"/>
              <w:rPr>
                <w:sz w:val="19"/>
                <w:szCs w:val="19"/>
                <w:color w:val="auto"/>
              </w:rPr>
            </w:pPr>
          </w:p>
        </w:tc>
        <w:tc>
          <w:tcPr>
            <w:tcW w:w="800" w:type="dxa"/>
            <w:vAlign w:val="bottom"/>
            <w:gridSpan w:val="2"/>
            <w:shd w:val="clear" w:color="auto" w:fill="C0C0C0"/>
          </w:tcPr>
          <w:p>
            <w:pPr>
              <w:jc w:val="right"/>
              <w:ind w:right="39"/>
              <w:spacing w:after="0"/>
              <w:rPr>
                <w:sz w:val="20"/>
                <w:szCs w:val="20"/>
                <w:color w:val="auto"/>
              </w:rPr>
            </w:pPr>
            <w:r>
              <w:rPr>
                <w:rFonts w:ascii="Arial" w:cs="Arial" w:eastAsia="Arial" w:hAnsi="Arial"/>
                <w:sz w:val="12"/>
                <w:szCs w:val="12"/>
                <w:color w:val="auto"/>
              </w:rPr>
              <w:t>150,000</w:t>
            </w:r>
          </w:p>
        </w:tc>
        <w:tc>
          <w:tcPr>
            <w:tcW w:w="20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400" w:type="dxa"/>
            <w:vAlign w:val="bottom"/>
            <w:gridSpan w:val="2"/>
            <w:shd w:val="clear" w:color="auto" w:fill="C0C0C0"/>
          </w:tcPr>
          <w:p>
            <w:pPr>
              <w:ind w:left="3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0C0C0"/>
          </w:tcPr>
          <w:p>
            <w:pPr>
              <w:jc w:val="right"/>
              <w:ind w:right="19"/>
              <w:spacing w:after="0"/>
              <w:rPr>
                <w:sz w:val="20"/>
                <w:szCs w:val="20"/>
                <w:color w:val="auto"/>
              </w:rPr>
            </w:pPr>
            <w:r>
              <w:rPr>
                <w:rFonts w:ascii="Arial" w:cs="Arial" w:eastAsia="Arial" w:hAnsi="Arial"/>
                <w:sz w:val="12"/>
                <w:szCs w:val="12"/>
                <w:color w:val="auto"/>
              </w:rPr>
              <w:t>4,248,000</w:t>
            </w:r>
          </w:p>
        </w:tc>
      </w:tr>
      <w:tr>
        <w:trPr>
          <w:trHeight w:val="232"/>
        </w:trPr>
        <w:tc>
          <w:tcPr>
            <w:tcW w:w="2160" w:type="dxa"/>
            <w:vAlign w:val="bottom"/>
          </w:tcPr>
          <w:p>
            <w:pPr>
              <w:spacing w:after="0"/>
              <w:rPr>
                <w:sz w:val="20"/>
                <w:szCs w:val="20"/>
                <w:color w:val="auto"/>
              </w:rPr>
            </w:pPr>
            <w:r>
              <w:rPr>
                <w:rFonts w:ascii="Arial" w:cs="Arial" w:eastAsia="Arial" w:hAnsi="Arial"/>
                <w:sz w:val="12"/>
                <w:szCs w:val="12"/>
                <w:color w:val="auto"/>
              </w:rPr>
              <w:t>K. P. March</w:t>
            </w:r>
          </w:p>
        </w:tc>
        <w:tc>
          <w:tcPr>
            <w:tcW w:w="940" w:type="dxa"/>
            <w:vAlign w:val="bottom"/>
            <w:gridSpan w:val="3"/>
          </w:tcPr>
          <w:p>
            <w:pPr>
              <w:jc w:val="center"/>
              <w:spacing w:after="0"/>
              <w:rPr>
                <w:sz w:val="20"/>
                <w:szCs w:val="20"/>
                <w:color w:val="auto"/>
              </w:rPr>
            </w:pPr>
            <w:r>
              <w:rPr>
                <w:rFonts w:ascii="Arial" w:cs="Arial" w:eastAsia="Arial" w:hAnsi="Arial"/>
                <w:sz w:val="12"/>
                <w:szCs w:val="12"/>
                <w:color w:val="auto"/>
              </w:rPr>
              <w:t>1/18/2007</w:t>
            </w:r>
          </w:p>
        </w:tc>
        <w:tc>
          <w:tcPr>
            <w:tcW w:w="700" w:type="dxa"/>
            <w:vAlign w:val="bottom"/>
          </w:tcPr>
          <w:p>
            <w:pPr>
              <w:ind w:left="32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center"/>
              <w:ind w:left="119"/>
              <w:spacing w:after="0"/>
              <w:rPr>
                <w:sz w:val="20"/>
                <w:szCs w:val="20"/>
                <w:color w:val="auto"/>
              </w:rPr>
            </w:pPr>
            <w:r>
              <w:rPr>
                <w:rFonts w:ascii="Arial" w:cs="Arial" w:eastAsia="Arial" w:hAnsi="Arial"/>
                <w:sz w:val="12"/>
                <w:szCs w:val="12"/>
                <w:color w:val="auto"/>
                <w:w w:val="84"/>
              </w:rPr>
              <w:t>*</w:t>
            </w:r>
          </w:p>
        </w:tc>
        <w:tc>
          <w:tcPr>
            <w:tcW w:w="1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auto"/>
                <w:w w:val="84"/>
              </w:rPr>
              <w:t>*</w:t>
            </w:r>
          </w:p>
        </w:tc>
        <w:tc>
          <w:tcPr>
            <w:tcW w:w="900" w:type="dxa"/>
            <w:vAlign w:val="bottom"/>
            <w:gridSpan w:val="2"/>
          </w:tcPr>
          <w:p>
            <w:pPr>
              <w:jc w:val="center"/>
              <w:ind w:left="139"/>
              <w:spacing w:after="0"/>
              <w:rPr>
                <w:sz w:val="20"/>
                <w:szCs w:val="20"/>
                <w:color w:val="auto"/>
              </w:rPr>
            </w:pPr>
            <w:r>
              <w:rPr>
                <w:rFonts w:ascii="Arial" w:cs="Arial" w:eastAsia="Arial" w:hAnsi="Arial"/>
                <w:sz w:val="12"/>
                <w:szCs w:val="12"/>
                <w:color w:val="auto"/>
                <w:w w:val="89"/>
              </w:rPr>
              <w:t>0</w:t>
            </w:r>
          </w:p>
        </w:tc>
        <w:tc>
          <w:tcPr>
            <w:tcW w:w="720" w:type="dxa"/>
            <w:vAlign w:val="bottom"/>
            <w:gridSpan w:val="2"/>
          </w:tcPr>
          <w:p>
            <w:pPr>
              <w:jc w:val="center"/>
              <w:ind w:left="139"/>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gridSpan w:val="2"/>
          </w:tcPr>
          <w:p>
            <w:pPr>
              <w:jc w:val="right"/>
              <w:ind w:right="99"/>
              <w:spacing w:after="0"/>
              <w:rPr>
                <w:sz w:val="20"/>
                <w:szCs w:val="20"/>
                <w:color w:val="auto"/>
              </w:rPr>
            </w:pPr>
            <w:r>
              <w:rPr>
                <w:rFonts w:ascii="Arial" w:cs="Arial" w:eastAsia="Arial" w:hAnsi="Arial"/>
                <w:sz w:val="12"/>
                <w:szCs w:val="12"/>
                <w:color w:val="auto"/>
              </w:rPr>
              <w:t>85,000</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$28.32</w:t>
            </w:r>
          </w:p>
        </w:tc>
        <w:tc>
          <w:tcPr>
            <w:tcW w:w="400" w:type="dxa"/>
            <w:vAlign w:val="bottom"/>
            <w:gridSpan w:val="2"/>
          </w:tcPr>
          <w:p>
            <w:pPr>
              <w:ind w:left="3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823,650</w:t>
            </w:r>
          </w:p>
        </w:tc>
      </w:tr>
      <w:tr>
        <w:trPr>
          <w:trHeight w:val="209"/>
        </w:trPr>
        <w:tc>
          <w:tcPr>
            <w:tcW w:w="216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Arial" w:cs="Arial" w:eastAsia="Arial" w:hAnsi="Arial"/>
                <w:sz w:val="12"/>
                <w:szCs w:val="12"/>
                <w:color w:val="auto"/>
              </w:rPr>
              <w:t>1/18/2007</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gridSpan w:val="2"/>
          </w:tcPr>
          <w:p>
            <w:pPr>
              <w:jc w:val="right"/>
              <w:ind w:right="39"/>
              <w:spacing w:after="0"/>
              <w:rPr>
                <w:sz w:val="20"/>
                <w:szCs w:val="20"/>
                <w:color w:val="auto"/>
              </w:rPr>
            </w:pPr>
            <w:r>
              <w:rPr>
                <w:rFonts w:ascii="Arial" w:cs="Arial" w:eastAsia="Arial" w:hAnsi="Arial"/>
                <w:sz w:val="12"/>
                <w:szCs w:val="12"/>
                <w:color w:val="auto"/>
              </w:rPr>
              <w:t>35,000</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ind w:left="3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991,200</w:t>
            </w:r>
          </w:p>
        </w:tc>
      </w:tr>
      <w:tr>
        <w:trPr>
          <w:trHeight w:val="221"/>
        </w:trPr>
        <w:tc>
          <w:tcPr>
            <w:tcW w:w="2160" w:type="dxa"/>
            <w:vAlign w:val="bottom"/>
            <w:shd w:val="clear" w:color="auto" w:fill="C0C0C0"/>
          </w:tcPr>
          <w:p>
            <w:pPr>
              <w:spacing w:after="0"/>
              <w:rPr>
                <w:sz w:val="20"/>
                <w:szCs w:val="20"/>
                <w:color w:val="auto"/>
              </w:rPr>
            </w:pPr>
            <w:r>
              <w:rPr>
                <w:rFonts w:ascii="Arial" w:cs="Arial" w:eastAsia="Arial" w:hAnsi="Arial"/>
                <w:sz w:val="12"/>
                <w:szCs w:val="12"/>
                <w:color w:val="auto"/>
              </w:rPr>
              <w:t>T. J. Engibous</w:t>
            </w:r>
          </w:p>
        </w:tc>
        <w:tc>
          <w:tcPr>
            <w:tcW w:w="940" w:type="dxa"/>
            <w:vAlign w:val="bottom"/>
            <w:gridSpan w:val="3"/>
            <w:shd w:val="clear" w:color="auto" w:fill="C0C0C0"/>
          </w:tcPr>
          <w:p>
            <w:pPr>
              <w:jc w:val="center"/>
              <w:spacing w:after="0"/>
              <w:rPr>
                <w:sz w:val="20"/>
                <w:szCs w:val="20"/>
                <w:color w:val="auto"/>
              </w:rPr>
            </w:pPr>
            <w:r>
              <w:rPr>
                <w:rFonts w:ascii="Arial" w:cs="Arial" w:eastAsia="Arial" w:hAnsi="Arial"/>
                <w:sz w:val="12"/>
                <w:szCs w:val="12"/>
                <w:color w:val="auto"/>
              </w:rPr>
              <w:t>1/18/2007</w:t>
            </w:r>
          </w:p>
        </w:tc>
        <w:tc>
          <w:tcPr>
            <w:tcW w:w="700" w:type="dxa"/>
            <w:vAlign w:val="bottom"/>
            <w:shd w:val="clear" w:color="auto" w:fill="C0C0C0"/>
          </w:tcPr>
          <w:p>
            <w:pPr>
              <w:ind w:left="32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w w:val="84"/>
              </w:rPr>
              <w:t>*</w:t>
            </w:r>
          </w:p>
        </w:tc>
        <w:tc>
          <w:tcPr>
            <w:tcW w:w="180" w:type="dxa"/>
            <w:vAlign w:val="bottom"/>
            <w:shd w:val="clear" w:color="auto" w:fill="C0C0C0"/>
          </w:tcPr>
          <w:p>
            <w:pPr>
              <w:spacing w:after="0"/>
              <w:rPr>
                <w:sz w:val="19"/>
                <w:szCs w:val="19"/>
                <w:color w:val="auto"/>
              </w:rPr>
            </w:pPr>
          </w:p>
        </w:tc>
        <w:tc>
          <w:tcPr>
            <w:tcW w:w="66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4"/>
              </w:rPr>
              <w:t>*</w:t>
            </w:r>
          </w:p>
        </w:tc>
        <w:tc>
          <w:tcPr>
            <w:tcW w:w="900" w:type="dxa"/>
            <w:vAlign w:val="bottom"/>
            <w:gridSpan w:val="2"/>
            <w:shd w:val="clear" w:color="auto" w:fill="C0C0C0"/>
          </w:tcPr>
          <w:p>
            <w:pPr>
              <w:jc w:val="center"/>
              <w:ind w:left="139"/>
              <w:spacing w:after="0"/>
              <w:rPr>
                <w:sz w:val="20"/>
                <w:szCs w:val="20"/>
                <w:color w:val="auto"/>
              </w:rPr>
            </w:pPr>
            <w:r>
              <w:rPr>
                <w:rFonts w:ascii="Arial" w:cs="Arial" w:eastAsia="Arial" w:hAnsi="Arial"/>
                <w:sz w:val="12"/>
                <w:szCs w:val="12"/>
                <w:color w:val="auto"/>
                <w:w w:val="89"/>
              </w:rPr>
              <w:t>0</w:t>
            </w:r>
          </w:p>
        </w:tc>
        <w:tc>
          <w:tcPr>
            <w:tcW w:w="720" w:type="dxa"/>
            <w:vAlign w:val="bottom"/>
            <w:gridSpan w:val="2"/>
            <w:shd w:val="clear" w:color="auto" w:fill="C0C0C0"/>
          </w:tcPr>
          <w:p>
            <w:pPr>
              <w:jc w:val="center"/>
              <w:ind w:left="139"/>
              <w:spacing w:after="0"/>
              <w:rPr>
                <w:sz w:val="20"/>
                <w:szCs w:val="20"/>
                <w:color w:val="auto"/>
              </w:rPr>
            </w:pPr>
            <w:r>
              <w:rPr>
                <w:rFonts w:ascii="Arial" w:cs="Arial" w:eastAsia="Arial" w:hAnsi="Arial"/>
                <w:sz w:val="12"/>
                <w:szCs w:val="12"/>
                <w:color w:val="auto"/>
              </w:rPr>
              <w:t>0</w:t>
            </w:r>
          </w:p>
        </w:tc>
        <w:tc>
          <w:tcPr>
            <w:tcW w:w="20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gridSpan w:val="2"/>
            <w:shd w:val="clear" w:color="auto" w:fill="C0C0C0"/>
          </w:tcPr>
          <w:p>
            <w:pPr>
              <w:jc w:val="right"/>
              <w:ind w:right="39"/>
              <w:spacing w:after="0"/>
              <w:rPr>
                <w:sz w:val="20"/>
                <w:szCs w:val="20"/>
                <w:color w:val="auto"/>
              </w:rPr>
            </w:pPr>
            <w:r>
              <w:rPr>
                <w:rFonts w:ascii="Arial" w:cs="Arial" w:eastAsia="Arial" w:hAnsi="Arial"/>
                <w:sz w:val="12"/>
                <w:szCs w:val="12"/>
                <w:color w:val="auto"/>
              </w:rPr>
              <w:t>0</w:t>
            </w:r>
          </w:p>
        </w:tc>
        <w:tc>
          <w:tcPr>
            <w:tcW w:w="900" w:type="dxa"/>
            <w:vAlign w:val="bottom"/>
            <w:gridSpan w:val="2"/>
            <w:shd w:val="clear" w:color="auto" w:fill="C0C0C0"/>
          </w:tcPr>
          <w:p>
            <w:pPr>
              <w:jc w:val="right"/>
              <w:ind w:right="99"/>
              <w:spacing w:after="0"/>
              <w:rPr>
                <w:sz w:val="20"/>
                <w:szCs w:val="20"/>
                <w:color w:val="auto"/>
              </w:rPr>
            </w:pPr>
            <w:r>
              <w:rPr>
                <w:rFonts w:ascii="Arial" w:cs="Arial" w:eastAsia="Arial" w:hAnsi="Arial"/>
                <w:sz w:val="12"/>
                <w:szCs w:val="12"/>
                <w:color w:val="auto"/>
              </w:rPr>
              <w:t>120,000</w:t>
            </w: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$28.32</w:t>
            </w:r>
          </w:p>
        </w:tc>
        <w:tc>
          <w:tcPr>
            <w:tcW w:w="400" w:type="dxa"/>
            <w:vAlign w:val="bottom"/>
            <w:gridSpan w:val="2"/>
            <w:shd w:val="clear" w:color="auto" w:fill="C0C0C0"/>
          </w:tcPr>
          <w:p>
            <w:pPr>
              <w:ind w:left="3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0C0C0"/>
          </w:tcPr>
          <w:p>
            <w:pPr>
              <w:jc w:val="right"/>
              <w:ind w:right="19"/>
              <w:spacing w:after="0"/>
              <w:rPr>
                <w:sz w:val="20"/>
                <w:szCs w:val="20"/>
                <w:color w:val="auto"/>
              </w:rPr>
            </w:pPr>
            <w:r>
              <w:rPr>
                <w:rFonts w:ascii="Arial" w:cs="Arial" w:eastAsia="Arial" w:hAnsi="Arial"/>
                <w:sz w:val="12"/>
                <w:szCs w:val="12"/>
                <w:color w:val="auto"/>
              </w:rPr>
              <w:t>1,162,800</w:t>
            </w:r>
          </w:p>
        </w:tc>
      </w:tr>
      <w:tr>
        <w:trPr>
          <w:trHeight w:val="221"/>
        </w:trPr>
        <w:tc>
          <w:tcPr>
            <w:tcW w:w="21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52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2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640" w:type="dxa"/>
            <w:vAlign w:val="bottom"/>
            <w:shd w:val="clear" w:color="auto" w:fill="C0C0C0"/>
          </w:tcPr>
          <w:p>
            <w:pPr>
              <w:jc w:val="right"/>
              <w:ind w:right="19"/>
              <w:spacing w:after="0"/>
              <w:rPr>
                <w:sz w:val="20"/>
                <w:szCs w:val="20"/>
                <w:color w:val="auto"/>
              </w:rPr>
            </w:pPr>
            <w:r>
              <w:rPr>
                <w:rFonts w:ascii="Arial" w:cs="Arial" w:eastAsia="Arial" w:hAnsi="Arial"/>
                <w:sz w:val="12"/>
                <w:szCs w:val="12"/>
                <w:color w:val="auto"/>
              </w:rPr>
              <w:t>0</w:t>
            </w:r>
          </w:p>
        </w:tc>
      </w:tr>
      <w:tr>
        <w:trPr>
          <w:trHeight w:val="232"/>
        </w:trPr>
        <w:tc>
          <w:tcPr>
            <w:tcW w:w="2160" w:type="dxa"/>
            <w:vAlign w:val="bottom"/>
          </w:tcPr>
          <w:p>
            <w:pPr>
              <w:spacing w:after="0"/>
              <w:rPr>
                <w:sz w:val="20"/>
                <w:szCs w:val="20"/>
                <w:color w:val="auto"/>
              </w:rPr>
            </w:pPr>
            <w:r>
              <w:rPr>
                <w:rFonts w:ascii="Arial" w:cs="Arial" w:eastAsia="Arial" w:hAnsi="Arial"/>
                <w:sz w:val="12"/>
                <w:szCs w:val="12"/>
                <w:color w:val="auto"/>
              </w:rPr>
              <w:t>G. A. Lowe</w:t>
            </w:r>
          </w:p>
        </w:tc>
        <w:tc>
          <w:tcPr>
            <w:tcW w:w="940" w:type="dxa"/>
            <w:vAlign w:val="bottom"/>
            <w:gridSpan w:val="3"/>
          </w:tcPr>
          <w:p>
            <w:pPr>
              <w:jc w:val="center"/>
              <w:spacing w:after="0"/>
              <w:rPr>
                <w:sz w:val="20"/>
                <w:szCs w:val="20"/>
                <w:color w:val="auto"/>
              </w:rPr>
            </w:pPr>
            <w:r>
              <w:rPr>
                <w:rFonts w:ascii="Arial" w:cs="Arial" w:eastAsia="Arial" w:hAnsi="Arial"/>
                <w:sz w:val="12"/>
                <w:szCs w:val="12"/>
                <w:color w:val="auto"/>
              </w:rPr>
              <w:t>1/18/2007</w:t>
            </w:r>
          </w:p>
        </w:tc>
        <w:tc>
          <w:tcPr>
            <w:tcW w:w="700" w:type="dxa"/>
            <w:vAlign w:val="bottom"/>
          </w:tcPr>
          <w:p>
            <w:pPr>
              <w:ind w:left="32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center"/>
              <w:ind w:left="119"/>
              <w:spacing w:after="0"/>
              <w:rPr>
                <w:sz w:val="20"/>
                <w:szCs w:val="20"/>
                <w:color w:val="auto"/>
              </w:rPr>
            </w:pPr>
            <w:r>
              <w:rPr>
                <w:rFonts w:ascii="Arial" w:cs="Arial" w:eastAsia="Arial" w:hAnsi="Arial"/>
                <w:sz w:val="12"/>
                <w:szCs w:val="12"/>
                <w:color w:val="auto"/>
                <w:w w:val="84"/>
              </w:rPr>
              <w:t>*</w:t>
            </w:r>
          </w:p>
        </w:tc>
        <w:tc>
          <w:tcPr>
            <w:tcW w:w="1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auto"/>
                <w:w w:val="84"/>
              </w:rPr>
              <w:t>*</w:t>
            </w:r>
          </w:p>
        </w:tc>
        <w:tc>
          <w:tcPr>
            <w:tcW w:w="900" w:type="dxa"/>
            <w:vAlign w:val="bottom"/>
            <w:gridSpan w:val="2"/>
          </w:tcPr>
          <w:p>
            <w:pPr>
              <w:jc w:val="center"/>
              <w:ind w:left="139"/>
              <w:spacing w:after="0"/>
              <w:rPr>
                <w:sz w:val="20"/>
                <w:szCs w:val="20"/>
                <w:color w:val="auto"/>
              </w:rPr>
            </w:pPr>
            <w:r>
              <w:rPr>
                <w:rFonts w:ascii="Arial" w:cs="Arial" w:eastAsia="Arial" w:hAnsi="Arial"/>
                <w:sz w:val="12"/>
                <w:szCs w:val="12"/>
                <w:color w:val="auto"/>
                <w:w w:val="89"/>
              </w:rPr>
              <w:t>0</w:t>
            </w:r>
          </w:p>
        </w:tc>
        <w:tc>
          <w:tcPr>
            <w:tcW w:w="720" w:type="dxa"/>
            <w:vAlign w:val="bottom"/>
            <w:gridSpan w:val="2"/>
          </w:tcPr>
          <w:p>
            <w:pPr>
              <w:jc w:val="center"/>
              <w:ind w:left="139"/>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gridSpan w:val="2"/>
          </w:tcPr>
          <w:p>
            <w:pPr>
              <w:jc w:val="right"/>
              <w:ind w:right="99"/>
              <w:spacing w:after="0"/>
              <w:rPr>
                <w:sz w:val="20"/>
                <w:szCs w:val="20"/>
                <w:color w:val="auto"/>
              </w:rPr>
            </w:pPr>
            <w:r>
              <w:rPr>
                <w:rFonts w:ascii="Arial" w:cs="Arial" w:eastAsia="Arial" w:hAnsi="Arial"/>
                <w:sz w:val="12"/>
                <w:szCs w:val="12"/>
                <w:color w:val="auto"/>
              </w:rPr>
              <w:t>100,000</w:t>
            </w:r>
          </w:p>
        </w:tc>
        <w:tc>
          <w:tcPr>
            <w:tcW w:w="760" w:type="dxa"/>
            <w:vAlign w:val="bottom"/>
            <w:gridSpan w:val="2"/>
          </w:tcPr>
          <w:p>
            <w:pPr>
              <w:jc w:val="right"/>
              <w:spacing w:after="0"/>
              <w:rPr>
                <w:sz w:val="20"/>
                <w:szCs w:val="20"/>
                <w:color w:val="auto"/>
              </w:rPr>
            </w:pPr>
            <w:r>
              <w:rPr>
                <w:rFonts w:ascii="Arial" w:cs="Arial" w:eastAsia="Arial" w:hAnsi="Arial"/>
                <w:sz w:val="12"/>
                <w:szCs w:val="12"/>
                <w:color w:val="auto"/>
              </w:rPr>
              <w:t>$28.32</w:t>
            </w:r>
          </w:p>
        </w:tc>
        <w:tc>
          <w:tcPr>
            <w:tcW w:w="400" w:type="dxa"/>
            <w:vAlign w:val="bottom"/>
            <w:gridSpan w:val="2"/>
          </w:tcPr>
          <w:p>
            <w:pPr>
              <w:ind w:left="3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969,000</w:t>
            </w:r>
          </w:p>
        </w:tc>
      </w:tr>
      <w:tr>
        <w:trPr>
          <w:trHeight w:val="209"/>
        </w:trPr>
        <w:tc>
          <w:tcPr>
            <w:tcW w:w="2160" w:type="dxa"/>
            <w:vAlign w:val="bottom"/>
          </w:tcPr>
          <w:p>
            <w:pPr>
              <w:spacing w:after="0"/>
              <w:rPr>
                <w:sz w:val="18"/>
                <w:szCs w:val="18"/>
                <w:color w:val="auto"/>
              </w:rPr>
            </w:pPr>
          </w:p>
        </w:tc>
        <w:tc>
          <w:tcPr>
            <w:tcW w:w="940" w:type="dxa"/>
            <w:vAlign w:val="bottom"/>
            <w:gridSpan w:val="3"/>
          </w:tcPr>
          <w:p>
            <w:pPr>
              <w:jc w:val="center"/>
              <w:spacing w:after="0"/>
              <w:rPr>
                <w:sz w:val="20"/>
                <w:szCs w:val="20"/>
                <w:color w:val="auto"/>
              </w:rPr>
            </w:pPr>
            <w:r>
              <w:rPr>
                <w:rFonts w:ascii="Arial" w:cs="Arial" w:eastAsia="Arial" w:hAnsi="Arial"/>
                <w:sz w:val="12"/>
                <w:szCs w:val="12"/>
                <w:color w:val="auto"/>
              </w:rPr>
              <w:t>1/18/2007</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gridSpan w:val="2"/>
          </w:tcPr>
          <w:p>
            <w:pPr>
              <w:jc w:val="right"/>
              <w:ind w:right="39"/>
              <w:spacing w:after="0"/>
              <w:rPr>
                <w:sz w:val="20"/>
                <w:szCs w:val="20"/>
                <w:color w:val="auto"/>
              </w:rPr>
            </w:pPr>
            <w:r>
              <w:rPr>
                <w:rFonts w:ascii="Arial" w:cs="Arial" w:eastAsia="Arial" w:hAnsi="Arial"/>
                <w:sz w:val="12"/>
                <w:szCs w:val="12"/>
                <w:color w:val="auto"/>
              </w:rPr>
              <w:t>60,000</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gridSpan w:val="2"/>
          </w:tcPr>
          <w:p>
            <w:pPr>
              <w:ind w:left="3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1,699,200</w:t>
            </w:r>
          </w:p>
        </w:tc>
      </w:tr>
      <w:tr>
        <w:trPr>
          <w:trHeight w:val="221"/>
        </w:trPr>
        <w:tc>
          <w:tcPr>
            <w:tcW w:w="2160" w:type="dxa"/>
            <w:vAlign w:val="bottom"/>
            <w:shd w:val="clear" w:color="auto" w:fill="C0C0C0"/>
          </w:tcPr>
          <w:p>
            <w:pPr>
              <w:spacing w:after="0"/>
              <w:rPr>
                <w:sz w:val="20"/>
                <w:szCs w:val="20"/>
                <w:color w:val="auto"/>
              </w:rPr>
            </w:pPr>
            <w:r>
              <w:rPr>
                <w:rFonts w:ascii="Arial" w:cs="Arial" w:eastAsia="Arial" w:hAnsi="Arial"/>
                <w:sz w:val="12"/>
                <w:szCs w:val="12"/>
                <w:color w:val="auto"/>
              </w:rPr>
              <w:t>M. J. Hames</w:t>
            </w:r>
          </w:p>
        </w:tc>
        <w:tc>
          <w:tcPr>
            <w:tcW w:w="940" w:type="dxa"/>
            <w:vAlign w:val="bottom"/>
            <w:gridSpan w:val="3"/>
            <w:shd w:val="clear" w:color="auto" w:fill="C0C0C0"/>
          </w:tcPr>
          <w:p>
            <w:pPr>
              <w:jc w:val="center"/>
              <w:spacing w:after="0"/>
              <w:rPr>
                <w:sz w:val="20"/>
                <w:szCs w:val="20"/>
                <w:color w:val="auto"/>
              </w:rPr>
            </w:pPr>
            <w:r>
              <w:rPr>
                <w:rFonts w:ascii="Arial" w:cs="Arial" w:eastAsia="Arial" w:hAnsi="Arial"/>
                <w:sz w:val="12"/>
                <w:szCs w:val="12"/>
                <w:color w:val="auto"/>
              </w:rPr>
              <w:t>1/18/2007</w:t>
            </w:r>
          </w:p>
        </w:tc>
        <w:tc>
          <w:tcPr>
            <w:tcW w:w="700" w:type="dxa"/>
            <w:vAlign w:val="bottom"/>
            <w:shd w:val="clear" w:color="auto" w:fill="C0C0C0"/>
          </w:tcPr>
          <w:p>
            <w:pPr>
              <w:ind w:left="320"/>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w w:val="84"/>
              </w:rPr>
              <w:t>*</w:t>
            </w:r>
          </w:p>
        </w:tc>
        <w:tc>
          <w:tcPr>
            <w:tcW w:w="180" w:type="dxa"/>
            <w:vAlign w:val="bottom"/>
            <w:shd w:val="clear" w:color="auto" w:fill="C0C0C0"/>
          </w:tcPr>
          <w:p>
            <w:pPr>
              <w:spacing w:after="0"/>
              <w:rPr>
                <w:sz w:val="19"/>
                <w:szCs w:val="19"/>
                <w:color w:val="auto"/>
              </w:rPr>
            </w:pPr>
          </w:p>
        </w:tc>
        <w:tc>
          <w:tcPr>
            <w:tcW w:w="66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4"/>
              </w:rPr>
              <w:t>*</w:t>
            </w:r>
          </w:p>
        </w:tc>
        <w:tc>
          <w:tcPr>
            <w:tcW w:w="900" w:type="dxa"/>
            <w:vAlign w:val="bottom"/>
            <w:gridSpan w:val="2"/>
            <w:shd w:val="clear" w:color="auto" w:fill="C0C0C0"/>
          </w:tcPr>
          <w:p>
            <w:pPr>
              <w:jc w:val="center"/>
              <w:ind w:left="139"/>
              <w:spacing w:after="0"/>
              <w:rPr>
                <w:sz w:val="20"/>
                <w:szCs w:val="20"/>
                <w:color w:val="auto"/>
              </w:rPr>
            </w:pPr>
            <w:r>
              <w:rPr>
                <w:rFonts w:ascii="Arial" w:cs="Arial" w:eastAsia="Arial" w:hAnsi="Arial"/>
                <w:sz w:val="12"/>
                <w:szCs w:val="12"/>
                <w:color w:val="auto"/>
                <w:w w:val="89"/>
              </w:rPr>
              <w:t>0</w:t>
            </w:r>
          </w:p>
        </w:tc>
        <w:tc>
          <w:tcPr>
            <w:tcW w:w="720" w:type="dxa"/>
            <w:vAlign w:val="bottom"/>
            <w:gridSpan w:val="2"/>
            <w:shd w:val="clear" w:color="auto" w:fill="C0C0C0"/>
          </w:tcPr>
          <w:p>
            <w:pPr>
              <w:jc w:val="center"/>
              <w:ind w:left="139"/>
              <w:spacing w:after="0"/>
              <w:rPr>
                <w:sz w:val="20"/>
                <w:szCs w:val="20"/>
                <w:color w:val="auto"/>
              </w:rPr>
            </w:pPr>
            <w:r>
              <w:rPr>
                <w:rFonts w:ascii="Arial" w:cs="Arial" w:eastAsia="Arial" w:hAnsi="Arial"/>
                <w:sz w:val="12"/>
                <w:szCs w:val="12"/>
                <w:color w:val="auto"/>
              </w:rPr>
              <w:t>0</w:t>
            </w:r>
          </w:p>
        </w:tc>
        <w:tc>
          <w:tcPr>
            <w:tcW w:w="200" w:type="dxa"/>
            <w:vAlign w:val="bottom"/>
            <w:shd w:val="clear" w:color="auto" w:fill="C0C0C0"/>
          </w:tcPr>
          <w:p>
            <w:pPr>
              <w:spacing w:after="0"/>
              <w:rPr>
                <w:sz w:val="19"/>
                <w:szCs w:val="19"/>
                <w:color w:val="auto"/>
              </w:rPr>
            </w:pPr>
          </w:p>
        </w:tc>
        <w:tc>
          <w:tcPr>
            <w:tcW w:w="72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18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900" w:type="dxa"/>
            <w:vAlign w:val="bottom"/>
            <w:gridSpan w:val="2"/>
            <w:shd w:val="clear" w:color="auto" w:fill="C0C0C0"/>
          </w:tcPr>
          <w:p>
            <w:pPr>
              <w:jc w:val="right"/>
              <w:ind w:right="99"/>
              <w:spacing w:after="0"/>
              <w:rPr>
                <w:sz w:val="20"/>
                <w:szCs w:val="20"/>
                <w:color w:val="auto"/>
              </w:rPr>
            </w:pPr>
            <w:r>
              <w:rPr>
                <w:rFonts w:ascii="Arial" w:cs="Arial" w:eastAsia="Arial" w:hAnsi="Arial"/>
                <w:sz w:val="12"/>
                <w:szCs w:val="12"/>
                <w:color w:val="auto"/>
              </w:rPr>
              <w:t>75,000</w:t>
            </w: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$28.32</w:t>
            </w:r>
          </w:p>
        </w:tc>
        <w:tc>
          <w:tcPr>
            <w:tcW w:w="400" w:type="dxa"/>
            <w:vAlign w:val="bottom"/>
            <w:gridSpan w:val="2"/>
            <w:shd w:val="clear" w:color="auto" w:fill="C0C0C0"/>
          </w:tcPr>
          <w:p>
            <w:pPr>
              <w:ind w:left="3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0C0C0"/>
          </w:tcPr>
          <w:p>
            <w:pPr>
              <w:jc w:val="right"/>
              <w:ind w:right="19"/>
              <w:spacing w:after="0"/>
              <w:rPr>
                <w:sz w:val="20"/>
                <w:szCs w:val="20"/>
                <w:color w:val="auto"/>
              </w:rPr>
            </w:pPr>
            <w:r>
              <w:rPr>
                <w:rFonts w:ascii="Arial" w:cs="Arial" w:eastAsia="Arial" w:hAnsi="Arial"/>
                <w:sz w:val="12"/>
                <w:szCs w:val="12"/>
                <w:color w:val="auto"/>
              </w:rPr>
              <w:t>726,750</w:t>
            </w:r>
          </w:p>
        </w:tc>
      </w:tr>
      <w:tr>
        <w:trPr>
          <w:trHeight w:val="221"/>
        </w:trPr>
        <w:tc>
          <w:tcPr>
            <w:tcW w:w="2160" w:type="dxa"/>
            <w:vAlign w:val="bottom"/>
            <w:shd w:val="clear" w:color="auto" w:fill="C0C0C0"/>
          </w:tcPr>
          <w:p>
            <w:pPr>
              <w:spacing w:after="0"/>
              <w:rPr>
                <w:sz w:val="19"/>
                <w:szCs w:val="19"/>
                <w:color w:val="auto"/>
              </w:rPr>
            </w:pPr>
          </w:p>
        </w:tc>
        <w:tc>
          <w:tcPr>
            <w:tcW w:w="940" w:type="dxa"/>
            <w:vAlign w:val="bottom"/>
            <w:gridSpan w:val="3"/>
            <w:shd w:val="clear" w:color="auto" w:fill="C0C0C0"/>
          </w:tcPr>
          <w:p>
            <w:pPr>
              <w:jc w:val="center"/>
              <w:spacing w:after="0"/>
              <w:rPr>
                <w:sz w:val="20"/>
                <w:szCs w:val="20"/>
                <w:color w:val="auto"/>
              </w:rPr>
            </w:pPr>
            <w:r>
              <w:rPr>
                <w:rFonts w:ascii="Arial" w:cs="Arial" w:eastAsia="Arial" w:hAnsi="Arial"/>
                <w:sz w:val="12"/>
                <w:szCs w:val="12"/>
                <w:color w:val="auto"/>
              </w:rPr>
              <w:t>1/18/2007</w:t>
            </w:r>
          </w:p>
        </w:tc>
        <w:tc>
          <w:tcPr>
            <w:tcW w:w="70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52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20" w:type="dxa"/>
            <w:vAlign w:val="bottom"/>
            <w:shd w:val="clear" w:color="auto" w:fill="C0C0C0"/>
          </w:tcPr>
          <w:p>
            <w:pPr>
              <w:spacing w:after="0"/>
              <w:rPr>
                <w:sz w:val="19"/>
                <w:szCs w:val="19"/>
                <w:color w:val="auto"/>
              </w:rPr>
            </w:pPr>
          </w:p>
        </w:tc>
        <w:tc>
          <w:tcPr>
            <w:tcW w:w="800" w:type="dxa"/>
            <w:vAlign w:val="bottom"/>
            <w:gridSpan w:val="2"/>
            <w:shd w:val="clear" w:color="auto" w:fill="C0C0C0"/>
          </w:tcPr>
          <w:p>
            <w:pPr>
              <w:jc w:val="right"/>
              <w:ind w:right="39"/>
              <w:spacing w:after="0"/>
              <w:rPr>
                <w:sz w:val="20"/>
                <w:szCs w:val="20"/>
                <w:color w:val="auto"/>
              </w:rPr>
            </w:pPr>
            <w:r>
              <w:rPr>
                <w:rFonts w:ascii="Arial" w:cs="Arial" w:eastAsia="Arial" w:hAnsi="Arial"/>
                <w:sz w:val="12"/>
                <w:szCs w:val="12"/>
                <w:color w:val="auto"/>
              </w:rPr>
              <w:t>45,000</w:t>
            </w:r>
          </w:p>
        </w:tc>
        <w:tc>
          <w:tcPr>
            <w:tcW w:w="20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400" w:type="dxa"/>
            <w:vAlign w:val="bottom"/>
            <w:gridSpan w:val="2"/>
            <w:shd w:val="clear" w:color="auto" w:fill="C0C0C0"/>
          </w:tcPr>
          <w:p>
            <w:pPr>
              <w:ind w:left="34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0C0C0"/>
          </w:tcPr>
          <w:p>
            <w:pPr>
              <w:jc w:val="right"/>
              <w:ind w:right="19"/>
              <w:spacing w:after="0"/>
              <w:rPr>
                <w:sz w:val="20"/>
                <w:szCs w:val="20"/>
                <w:color w:val="auto"/>
              </w:rPr>
            </w:pPr>
            <w:r>
              <w:rPr>
                <w:rFonts w:ascii="Arial" w:cs="Arial" w:eastAsia="Arial" w:hAnsi="Arial"/>
                <w:sz w:val="12"/>
                <w:szCs w:val="12"/>
                <w:color w:val="auto"/>
              </w:rPr>
              <w:t>1,274,400</w:t>
            </w:r>
          </w:p>
        </w:tc>
      </w:tr>
      <w:tr>
        <w:trPr>
          <w:trHeight w:val="201"/>
        </w:trPr>
        <w:tc>
          <w:tcPr>
            <w:tcW w:w="2160" w:type="dxa"/>
            <w:vAlign w:val="bottom"/>
          </w:tcPr>
          <w:p>
            <w:pPr>
              <w:spacing w:after="0"/>
              <w:rPr>
                <w:sz w:val="20"/>
                <w:szCs w:val="20"/>
                <w:color w:val="auto"/>
              </w:rPr>
            </w:pPr>
            <w:r>
              <w:rPr>
                <w:rFonts w:ascii="Arial" w:cs="Arial" w:eastAsia="Arial" w:hAnsi="Arial"/>
                <w:sz w:val="12"/>
                <w:szCs w:val="12"/>
                <w:color w:val="auto"/>
              </w:rPr>
              <w:t>G. Delfassy</w:t>
            </w:r>
          </w:p>
        </w:tc>
        <w:tc>
          <w:tcPr>
            <w:tcW w:w="200" w:type="dxa"/>
            <w:vAlign w:val="bottom"/>
          </w:tcPr>
          <w:p>
            <w:pPr>
              <w:spacing w:after="0"/>
              <w:rPr>
                <w:sz w:val="17"/>
                <w:szCs w:val="17"/>
                <w:color w:val="auto"/>
              </w:rPr>
            </w:pPr>
          </w:p>
        </w:tc>
        <w:tc>
          <w:tcPr>
            <w:tcW w:w="740" w:type="dxa"/>
            <w:vAlign w:val="bottom"/>
            <w:gridSpan w:val="2"/>
          </w:tcPr>
          <w:p>
            <w:pPr>
              <w:ind w:left="340"/>
              <w:spacing w:after="0"/>
              <w:rPr>
                <w:sz w:val="20"/>
                <w:szCs w:val="20"/>
                <w:color w:val="auto"/>
              </w:rPr>
            </w:pPr>
            <w:r>
              <w:rPr>
                <w:rFonts w:ascii="Arial" w:cs="Arial" w:eastAsia="Arial" w:hAnsi="Arial"/>
                <w:sz w:val="12"/>
                <w:szCs w:val="12"/>
                <w:color w:val="auto"/>
              </w:rPr>
              <w:t>N/A</w:t>
            </w:r>
          </w:p>
        </w:tc>
        <w:tc>
          <w:tcPr>
            <w:tcW w:w="700" w:type="dxa"/>
            <w:vAlign w:val="bottom"/>
          </w:tcPr>
          <w:p>
            <w:pPr>
              <w:ind w:left="320"/>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center"/>
              <w:ind w:left="119"/>
              <w:spacing w:after="0"/>
              <w:rPr>
                <w:sz w:val="20"/>
                <w:szCs w:val="20"/>
                <w:color w:val="auto"/>
              </w:rPr>
            </w:pPr>
            <w:r>
              <w:rPr>
                <w:rFonts w:ascii="Arial" w:cs="Arial" w:eastAsia="Arial" w:hAnsi="Arial"/>
                <w:sz w:val="12"/>
                <w:szCs w:val="12"/>
                <w:color w:val="auto"/>
                <w:w w:val="84"/>
              </w:rPr>
              <w:t>*</w:t>
            </w:r>
          </w:p>
        </w:tc>
        <w:tc>
          <w:tcPr>
            <w:tcW w:w="18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2"/>
                <w:szCs w:val="12"/>
                <w:color w:val="auto"/>
                <w:w w:val="84"/>
              </w:rPr>
              <w:t>*</w:t>
            </w:r>
          </w:p>
        </w:tc>
        <w:tc>
          <w:tcPr>
            <w:tcW w:w="900" w:type="dxa"/>
            <w:vAlign w:val="bottom"/>
            <w:gridSpan w:val="2"/>
          </w:tcPr>
          <w:p>
            <w:pPr>
              <w:jc w:val="center"/>
              <w:ind w:left="139"/>
              <w:spacing w:after="0"/>
              <w:rPr>
                <w:sz w:val="20"/>
                <w:szCs w:val="20"/>
                <w:color w:val="auto"/>
              </w:rPr>
            </w:pPr>
            <w:r>
              <w:rPr>
                <w:rFonts w:ascii="Arial" w:cs="Arial" w:eastAsia="Arial" w:hAnsi="Arial"/>
                <w:sz w:val="12"/>
                <w:szCs w:val="12"/>
                <w:color w:val="auto"/>
                <w:w w:val="89"/>
              </w:rPr>
              <w:t>0</w:t>
            </w:r>
          </w:p>
        </w:tc>
        <w:tc>
          <w:tcPr>
            <w:tcW w:w="720" w:type="dxa"/>
            <w:vAlign w:val="bottom"/>
            <w:gridSpan w:val="2"/>
          </w:tcPr>
          <w:p>
            <w:pPr>
              <w:jc w:val="center"/>
              <w:ind w:left="139"/>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2"/>
                <w:szCs w:val="12"/>
                <w:color w:val="auto"/>
                <w:w w:val="89"/>
              </w:rPr>
              <w:t>0</w:t>
            </w:r>
          </w:p>
        </w:tc>
        <w:tc>
          <w:tcPr>
            <w:tcW w:w="800" w:type="dxa"/>
            <w:vAlign w:val="bottom"/>
            <w:gridSpan w:val="2"/>
          </w:tcPr>
          <w:p>
            <w:pPr>
              <w:jc w:val="right"/>
              <w:ind w:right="39"/>
              <w:spacing w:after="0"/>
              <w:rPr>
                <w:sz w:val="20"/>
                <w:szCs w:val="20"/>
                <w:color w:val="auto"/>
              </w:rPr>
            </w:pPr>
            <w:r>
              <w:rPr>
                <w:rFonts w:ascii="Arial" w:cs="Arial" w:eastAsia="Arial" w:hAnsi="Arial"/>
                <w:sz w:val="12"/>
                <w:szCs w:val="12"/>
                <w:color w:val="auto"/>
              </w:rPr>
              <w:t>0</w:t>
            </w:r>
          </w:p>
        </w:tc>
        <w:tc>
          <w:tcPr>
            <w:tcW w:w="900" w:type="dxa"/>
            <w:vAlign w:val="bottom"/>
            <w:gridSpan w:val="2"/>
          </w:tcPr>
          <w:p>
            <w:pPr>
              <w:jc w:val="right"/>
              <w:ind w:right="99"/>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N/A</w:t>
            </w:r>
          </w:p>
        </w:tc>
        <w:tc>
          <w:tcPr>
            <w:tcW w:w="400" w:type="dxa"/>
            <w:vAlign w:val="bottom"/>
            <w:gridSpan w:val="2"/>
          </w:tcPr>
          <w:p>
            <w:pPr>
              <w:ind w:left="340"/>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ind w:right="19"/>
              <w:spacing w:after="0"/>
              <w:rPr>
                <w:sz w:val="20"/>
                <w:szCs w:val="20"/>
                <w:color w:val="auto"/>
              </w:rPr>
            </w:pPr>
            <w:r>
              <w:rPr>
                <w:rFonts w:ascii="Arial" w:cs="Arial" w:eastAsia="Arial" w:hAnsi="Arial"/>
                <w:sz w:val="12"/>
                <w:szCs w:val="12"/>
                <w:color w:val="auto"/>
              </w:rPr>
              <w:t>0</w:t>
            </w:r>
          </w:p>
        </w:tc>
      </w:tr>
      <w:tr>
        <w:trPr>
          <w:trHeight w:val="249"/>
        </w:trPr>
        <w:tc>
          <w:tcPr>
            <w:tcW w:w="2160" w:type="dxa"/>
            <w:vAlign w:val="bottom"/>
          </w:tcPr>
          <w:p>
            <w:pPr>
              <w:spacing w:after="0"/>
              <w:rPr>
                <w:sz w:val="20"/>
                <w:szCs w:val="20"/>
                <w:color w:val="auto"/>
              </w:rPr>
            </w:pPr>
            <w:r>
              <w:rPr>
                <w:rFonts w:ascii="Arial" w:cs="Arial" w:eastAsia="Arial" w:hAnsi="Arial"/>
                <w:sz w:val="20"/>
                <w:szCs w:val="20"/>
                <w:color w:val="auto"/>
                <w:w w:val="96"/>
              </w:rPr>
              <w:t>____________________</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r>
    </w:tbl>
    <w:p>
      <w:pPr>
        <w:spacing w:after="0" w:line="214" w:lineRule="exact"/>
        <w:rPr>
          <w:sz w:val="20"/>
          <w:szCs w:val="20"/>
          <w:color w:val="auto"/>
        </w:rPr>
      </w:pPr>
    </w:p>
    <w:p>
      <w:pPr>
        <w:ind w:left="462" w:right="140" w:hanging="462"/>
        <w:spacing w:after="0" w:line="243" w:lineRule="auto"/>
        <w:tabs>
          <w:tab w:leader="none" w:pos="462" w:val="left"/>
        </w:tabs>
        <w:numPr>
          <w:ilvl w:val="0"/>
          <w:numId w:val="28"/>
        </w:numPr>
        <w:rPr>
          <w:rFonts w:ascii="Arial" w:cs="Arial" w:eastAsia="Arial" w:hAnsi="Arial"/>
          <w:sz w:val="16"/>
          <w:szCs w:val="16"/>
          <w:color w:val="auto"/>
        </w:rPr>
      </w:pPr>
      <w:r>
        <w:rPr>
          <w:rFonts w:ascii="Arial" w:cs="Arial" w:eastAsia="Arial" w:hAnsi="Arial"/>
          <w:sz w:val="16"/>
          <w:szCs w:val="16"/>
          <w:color w:val="auto"/>
        </w:rPr>
        <w:t>TI did not use formulas or pre-set thresholds or multiples to determine incentive awards. Under the terms of the Executive Officer Performance Plan, each named executive officer is eligible to receive a cash bonus equal to 0.5 percent of the company’s consolidated income (as defined in the plan). However, the Compensation Committee has the discretion to set bonuses at a lower level if it decides it is appropriate to do so. The committee decided to do so for 2007.</w:t>
      </w:r>
    </w:p>
    <w:p>
      <w:pPr>
        <w:spacing w:after="0" w:line="211" w:lineRule="exact"/>
        <w:rPr>
          <w:sz w:val="20"/>
          <w:szCs w:val="20"/>
          <w:color w:val="auto"/>
        </w:rPr>
      </w:pPr>
    </w:p>
    <w:p>
      <w:pPr>
        <w:ind w:left="442" w:right="360" w:hanging="442"/>
        <w:spacing w:after="0" w:line="250" w:lineRule="auto"/>
        <w:tabs>
          <w:tab w:leader="none" w:pos="44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stock awards granted to the named executive officers in 2007 were RSU awards. These awards were made under the company’s 2000 Long-Term Incentive Plan. For information on the terms and conditions of these RSU awards, please see the discussion beginning on page 36.</w:t>
      </w:r>
    </w:p>
    <w:p>
      <w:pPr>
        <w:spacing w:after="0" w:line="204" w:lineRule="exact"/>
        <w:rPr>
          <w:rFonts w:ascii="Arial" w:cs="Arial" w:eastAsia="Arial" w:hAnsi="Arial"/>
          <w:sz w:val="16"/>
          <w:szCs w:val="16"/>
          <w:color w:val="auto"/>
        </w:rPr>
      </w:pPr>
    </w:p>
    <w:p>
      <w:pPr>
        <w:ind w:left="442" w:right="40" w:hanging="442"/>
        <w:spacing w:after="0" w:line="250" w:lineRule="auto"/>
        <w:tabs>
          <w:tab w:leader="none" w:pos="442"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These options were granted under the company’s 2000 Long-Term Incentive Plan. For information on the terms and conditions of these options, please see the discussion beginning on page 36.</w:t>
      </w:r>
    </w:p>
    <w:p>
      <w:pPr>
        <w:spacing w:after="0" w:line="204" w:lineRule="exact"/>
        <w:rPr>
          <w:rFonts w:ascii="Arial" w:cs="Arial" w:eastAsia="Arial" w:hAnsi="Arial"/>
          <w:sz w:val="16"/>
          <w:szCs w:val="16"/>
          <w:color w:val="auto"/>
        </w:rPr>
      </w:pPr>
    </w:p>
    <w:p>
      <w:pPr>
        <w:ind w:left="442" w:right="60" w:hanging="442"/>
        <w:spacing w:after="0" w:line="243" w:lineRule="auto"/>
        <w:tabs>
          <w:tab w:leader="none" w:pos="442" w:val="left"/>
        </w:tabs>
        <w:numPr>
          <w:ilvl w:val="0"/>
          <w:numId w:val="29"/>
        </w:numPr>
        <w:rPr>
          <w:rFonts w:ascii="Arial" w:cs="Arial" w:eastAsia="Arial" w:hAnsi="Arial"/>
          <w:sz w:val="16"/>
          <w:szCs w:val="16"/>
          <w:color w:val="auto"/>
        </w:rPr>
      </w:pPr>
      <w:r>
        <w:rPr>
          <w:rFonts w:ascii="Arial" w:cs="Arial" w:eastAsia="Arial" w:hAnsi="Arial"/>
          <w:sz w:val="16"/>
          <w:szCs w:val="16"/>
          <w:color w:val="auto"/>
        </w:rPr>
        <w:t>Shown is the aggregate grant date fair value computed in accordance with SFAS 123(R) for stock and option awards in 2007. The discussion of the assumptions used for purposes of the valuation appears on pages 15 and 23-26 of Exhibit 13 to TI’s annual report on Form 10-K for the year ended December 31, 2007. By contrast, the amount shown for stock and option awards in 2007 in the Summary Compensation Table is the amount recognized by the company for financial statement purposes in 2007 for awards granted in 2007 and prior years to the named executive officers.</w:t>
      </w:r>
    </w:p>
    <w:p>
      <w:pPr>
        <w:spacing w:after="0" w:line="186" w:lineRule="exact"/>
        <w:rPr>
          <w:sz w:val="20"/>
          <w:szCs w:val="20"/>
          <w:color w:val="auto"/>
        </w:rPr>
      </w:pPr>
    </w:p>
    <w:p>
      <w:pPr>
        <w:ind w:left="2"/>
        <w:spacing w:after="0"/>
        <w:rPr>
          <w:sz w:val="20"/>
          <w:szCs w:val="20"/>
          <w:color w:val="auto"/>
        </w:rPr>
      </w:pPr>
      <w:r>
        <w:rPr>
          <w:rFonts w:ascii="Arial" w:cs="Arial" w:eastAsia="Arial" w:hAnsi="Arial"/>
          <w:sz w:val="16"/>
          <w:szCs w:val="16"/>
          <w:color w:val="auto"/>
        </w:rPr>
        <w:t>None of the options or other equity awards granted to the named executive officers was repriced or modified by the company.</w:t>
      </w:r>
    </w:p>
    <w:p>
      <w:pPr>
        <w:spacing w:after="0" w:line="196" w:lineRule="exact"/>
        <w:rPr>
          <w:sz w:val="20"/>
          <w:szCs w:val="20"/>
          <w:color w:val="auto"/>
        </w:rPr>
      </w:pPr>
    </w:p>
    <w:p>
      <w:pPr>
        <w:ind w:left="2"/>
        <w:spacing w:after="0"/>
        <w:rPr>
          <w:sz w:val="20"/>
          <w:szCs w:val="20"/>
          <w:color w:val="auto"/>
        </w:rPr>
      </w:pPr>
      <w:r>
        <w:rPr>
          <w:rFonts w:ascii="Arial" w:cs="Arial" w:eastAsia="Arial" w:hAnsi="Arial"/>
          <w:sz w:val="16"/>
          <w:szCs w:val="16"/>
          <w:color w:val="auto"/>
        </w:rPr>
        <w:t>For additional information regarding TI’s equity compensation grant practices, please see the Compensation Discussion and Analysis on pages 26-27.</w:t>
      </w:r>
    </w:p>
    <w:p>
      <w:pPr>
        <w:spacing w:after="0" w:line="19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7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Outstanding Equity Awards at Fiscal Year-End 2007</w:t>
      </w:r>
    </w:p>
    <w:p>
      <w:pPr>
        <w:spacing w:after="0" w:line="216"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table shows the outstanding equity awards for each of the named executive officers as of December 31, 2007.</w:t>
      </w:r>
    </w:p>
    <w:p>
      <w:pPr>
        <w:spacing w:after="0" w:line="252"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2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Option Awards</w:t>
            </w:r>
          </w:p>
        </w:tc>
        <w:tc>
          <w:tcPr>
            <w:tcW w:w="2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3"/>
          </w:tcPr>
          <w:p>
            <w:pPr>
              <w:ind w:left="680"/>
              <w:spacing w:after="0"/>
              <w:rPr>
                <w:sz w:val="20"/>
                <w:szCs w:val="20"/>
                <w:color w:val="auto"/>
              </w:rPr>
            </w:pPr>
            <w:r>
              <w:rPr>
                <w:rFonts w:ascii="Arial" w:cs="Arial" w:eastAsia="Arial" w:hAnsi="Arial"/>
                <w:sz w:val="12"/>
                <w:szCs w:val="12"/>
                <w:b w:val="1"/>
                <w:bCs w:val="1"/>
                <w:color w:val="auto"/>
              </w:rPr>
              <w:t>Stock Awards</w:t>
            </w: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r>
      <w:tr>
        <w:trPr>
          <w:trHeight w:val="224"/>
        </w:trPr>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rPr>
              <w:t>Equity</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8"/>
              </w:rPr>
              <w:t>Equity</w:t>
            </w:r>
          </w:p>
        </w:tc>
        <w:tc>
          <w:tcPr>
            <w:tcW w:w="2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Equity</w:t>
            </w:r>
          </w:p>
        </w:tc>
      </w:tr>
      <w:tr>
        <w:trPr>
          <w:trHeight w:val="221"/>
        </w:trPr>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rPr>
              <w:t>Incentive</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Market</w:t>
            </w:r>
          </w:p>
        </w:tc>
        <w:tc>
          <w:tcPr>
            <w:tcW w:w="2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9"/>
              </w:rPr>
              <w:t>Incentive</w:t>
            </w:r>
          </w:p>
        </w:tc>
        <w:tc>
          <w:tcPr>
            <w:tcW w:w="2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Incentive Plan</w:t>
            </w:r>
          </w:p>
        </w:tc>
      </w:tr>
      <w:tr>
        <w:trPr>
          <w:trHeight w:val="221"/>
        </w:trPr>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Number of</w:t>
            </w: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auto"/>
              </w:rPr>
              <w:t>Number of</w:t>
            </w:r>
          </w:p>
        </w:tc>
        <w:tc>
          <w:tcPr>
            <w:tcW w:w="2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rPr>
              <w:t>Plan Awards:</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8"/>
              </w:rPr>
              <w:t>Value of</w:t>
            </w:r>
          </w:p>
        </w:tc>
        <w:tc>
          <w:tcPr>
            <w:tcW w:w="2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9"/>
              </w:rPr>
              <w:t>Plan Awards:</w:t>
            </w:r>
          </w:p>
        </w:tc>
        <w:tc>
          <w:tcPr>
            <w:tcW w:w="2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Awards: Market</w:t>
            </w:r>
          </w:p>
        </w:tc>
      </w:tr>
      <w:tr>
        <w:trPr>
          <w:trHeight w:val="221"/>
        </w:trPr>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rPr>
              <w:t>Number of</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center"/>
              <w:spacing w:after="0"/>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Shares or</w:t>
            </w:r>
          </w:p>
        </w:tc>
        <w:tc>
          <w:tcPr>
            <w:tcW w:w="2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w w:val="99"/>
              </w:rPr>
              <w:t>Number of</w:t>
            </w:r>
          </w:p>
        </w:tc>
        <w:tc>
          <w:tcPr>
            <w:tcW w:w="2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or Payout Value</w:t>
            </w:r>
          </w:p>
        </w:tc>
      </w:tr>
      <w:tr>
        <w:trPr>
          <w:trHeight w:val="221"/>
        </w:trPr>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Underlying</w:t>
            </w: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jc w:val="center"/>
              <w:spacing w:after="0"/>
              <w:rPr>
                <w:sz w:val="20"/>
                <w:szCs w:val="20"/>
                <w:color w:val="auto"/>
              </w:rPr>
            </w:pPr>
            <w:r>
              <w:rPr>
                <w:rFonts w:ascii="Arial" w:cs="Arial" w:eastAsia="Arial" w:hAnsi="Arial"/>
                <w:sz w:val="12"/>
                <w:szCs w:val="12"/>
                <w:b w:val="1"/>
                <w:bCs w:val="1"/>
                <w:color w:val="auto"/>
                <w:w w:val="98"/>
              </w:rPr>
              <w:t>of Shares</w:t>
            </w:r>
          </w:p>
        </w:tc>
        <w:tc>
          <w:tcPr>
            <w:tcW w:w="2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Units of</w:t>
            </w:r>
          </w:p>
        </w:tc>
        <w:tc>
          <w:tcPr>
            <w:tcW w:w="2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Unearned</w:t>
            </w:r>
          </w:p>
        </w:tc>
        <w:tc>
          <w:tcPr>
            <w:tcW w:w="2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9"/>
              </w:rPr>
              <w:t>of Unearned</w:t>
            </w:r>
          </w:p>
        </w:tc>
      </w:tr>
      <w:tr>
        <w:trPr>
          <w:trHeight w:val="221"/>
        </w:trPr>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Unexercised</w:t>
            </w: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auto"/>
              </w:rPr>
              <w:t>Unexercised</w:t>
            </w:r>
          </w:p>
        </w:tc>
        <w:tc>
          <w:tcPr>
            <w:tcW w:w="2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or Units of</w:t>
            </w:r>
          </w:p>
        </w:tc>
        <w:tc>
          <w:tcPr>
            <w:tcW w:w="2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Stock That</w:t>
            </w:r>
          </w:p>
        </w:tc>
        <w:tc>
          <w:tcPr>
            <w:tcW w:w="2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Shares, Units</w:t>
            </w:r>
          </w:p>
        </w:tc>
        <w:tc>
          <w:tcPr>
            <w:tcW w:w="2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Shares, Units</w:t>
            </w:r>
          </w:p>
        </w:tc>
      </w:tr>
      <w:tr>
        <w:trPr>
          <w:trHeight w:val="221"/>
        </w:trPr>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Options</w:t>
            </w:r>
          </w:p>
        </w:tc>
        <w:tc>
          <w:tcPr>
            <w:tcW w:w="980" w:type="dxa"/>
            <w:vAlign w:val="bottom"/>
            <w:gridSpan w:val="2"/>
          </w:tcPr>
          <w:p>
            <w:pPr>
              <w:jc w:val="center"/>
              <w:spacing w:after="0"/>
              <w:rPr>
                <w:sz w:val="20"/>
                <w:szCs w:val="20"/>
                <w:color w:val="auto"/>
              </w:rPr>
            </w:pPr>
            <w:r>
              <w:rPr>
                <w:rFonts w:ascii="Arial" w:cs="Arial" w:eastAsia="Arial" w:hAnsi="Arial"/>
                <w:sz w:val="12"/>
                <w:szCs w:val="12"/>
                <w:b w:val="1"/>
                <w:bCs w:val="1"/>
                <w:color w:val="auto"/>
              </w:rPr>
              <w:t>Options</w:t>
            </w:r>
          </w:p>
        </w:tc>
        <w:tc>
          <w:tcPr>
            <w:tcW w:w="2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rPr>
              <w:t>Unexercised</w:t>
            </w:r>
          </w:p>
        </w:tc>
        <w:tc>
          <w:tcPr>
            <w:tcW w:w="220" w:type="dxa"/>
            <w:vAlign w:val="bottom"/>
          </w:tcPr>
          <w:p>
            <w:pPr>
              <w:spacing w:after="0"/>
              <w:rPr>
                <w:sz w:val="19"/>
                <w:szCs w:val="19"/>
                <w:color w:val="auto"/>
              </w:rPr>
            </w:pPr>
          </w:p>
        </w:tc>
        <w:tc>
          <w:tcPr>
            <w:tcW w:w="640" w:type="dxa"/>
            <w:vAlign w:val="bottom"/>
          </w:tcPr>
          <w:p>
            <w:pPr>
              <w:jc w:val="right"/>
              <w:ind w:right="79"/>
              <w:spacing w:after="0"/>
              <w:rPr>
                <w:sz w:val="20"/>
                <w:szCs w:val="20"/>
                <w:color w:val="auto"/>
              </w:rPr>
            </w:pPr>
            <w:r>
              <w:rPr>
                <w:rFonts w:ascii="Arial" w:cs="Arial" w:eastAsia="Arial" w:hAnsi="Arial"/>
                <w:sz w:val="12"/>
                <w:szCs w:val="12"/>
                <w:b w:val="1"/>
                <w:bCs w:val="1"/>
                <w:color w:val="auto"/>
              </w:rPr>
              <w:t>Option</w:t>
            </w:r>
          </w:p>
        </w:tc>
        <w:tc>
          <w:tcPr>
            <w:tcW w:w="220" w:type="dxa"/>
            <w:vAlign w:val="bottom"/>
          </w:tcPr>
          <w:p>
            <w:pPr>
              <w:spacing w:after="0"/>
              <w:rPr>
                <w:sz w:val="19"/>
                <w:szCs w:val="19"/>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Option</w:t>
            </w:r>
          </w:p>
        </w:tc>
        <w:tc>
          <w:tcPr>
            <w:tcW w:w="220" w:type="dxa"/>
            <w:vAlign w:val="bottom"/>
          </w:tcPr>
          <w:p>
            <w:pPr>
              <w:spacing w:after="0"/>
              <w:rPr>
                <w:sz w:val="19"/>
                <w:szCs w:val="19"/>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Stock That</w:t>
            </w:r>
          </w:p>
        </w:tc>
        <w:tc>
          <w:tcPr>
            <w:tcW w:w="2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9"/>
              </w:rPr>
              <w:t>Have Not</w:t>
            </w:r>
          </w:p>
        </w:tc>
        <w:tc>
          <w:tcPr>
            <w:tcW w:w="2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or Other Rights</w:t>
            </w:r>
          </w:p>
        </w:tc>
        <w:tc>
          <w:tcPr>
            <w:tcW w:w="2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or Other Rights</w:t>
            </w:r>
          </w:p>
        </w:tc>
      </w:tr>
      <w:tr>
        <w:trPr>
          <w:trHeight w:val="221"/>
        </w:trPr>
        <w:tc>
          <w:tcPr>
            <w:tcW w:w="2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ind w:left="280"/>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9"/>
                <w:szCs w:val="19"/>
                <w:color w:val="auto"/>
              </w:rPr>
            </w:pPr>
          </w:p>
        </w:tc>
        <w:tc>
          <w:tcPr>
            <w:tcW w:w="660" w:type="dxa"/>
            <w:vAlign w:val="bottom"/>
          </w:tcPr>
          <w:p>
            <w:pPr>
              <w:jc w:val="center"/>
              <w:ind w:left="259"/>
              <w:spacing w:after="0"/>
              <w:rPr>
                <w:sz w:val="20"/>
                <w:szCs w:val="20"/>
                <w:color w:val="auto"/>
              </w:rPr>
            </w:pPr>
            <w:r>
              <w:rPr>
                <w:rFonts w:ascii="Arial" w:cs="Arial" w:eastAsia="Arial" w:hAnsi="Arial"/>
                <w:sz w:val="12"/>
                <w:szCs w:val="12"/>
                <w:b w:val="1"/>
                <w:bCs w:val="1"/>
                <w:color w:val="auto"/>
                <w:w w:val="95"/>
              </w:rPr>
              <w: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rPr>
              <w:t>Unearned</w:t>
            </w:r>
          </w:p>
        </w:tc>
        <w:tc>
          <w:tcPr>
            <w:tcW w:w="220" w:type="dxa"/>
            <w:vAlign w:val="bottom"/>
          </w:tcPr>
          <w:p>
            <w:pPr>
              <w:spacing w:after="0"/>
              <w:rPr>
                <w:sz w:val="19"/>
                <w:szCs w:val="19"/>
                <w:color w:val="auto"/>
              </w:rPr>
            </w:pPr>
          </w:p>
        </w:tc>
        <w:tc>
          <w:tcPr>
            <w:tcW w:w="640" w:type="dxa"/>
            <w:vAlign w:val="bottom"/>
          </w:tcPr>
          <w:p>
            <w:pPr>
              <w:jc w:val="right"/>
              <w:ind w:right="39"/>
              <w:spacing w:after="0"/>
              <w:rPr>
                <w:sz w:val="20"/>
                <w:szCs w:val="20"/>
                <w:color w:val="auto"/>
              </w:rPr>
            </w:pPr>
            <w:r>
              <w:rPr>
                <w:rFonts w:ascii="Arial" w:cs="Arial" w:eastAsia="Arial" w:hAnsi="Arial"/>
                <w:sz w:val="12"/>
                <w:szCs w:val="12"/>
                <w:b w:val="1"/>
                <w:bCs w:val="1"/>
                <w:color w:val="auto"/>
              </w:rPr>
              <w:t>Exercise</w:t>
            </w:r>
          </w:p>
        </w:tc>
        <w:tc>
          <w:tcPr>
            <w:tcW w:w="220" w:type="dxa"/>
            <w:vAlign w:val="bottom"/>
          </w:tcPr>
          <w:p>
            <w:pPr>
              <w:spacing w:after="0"/>
              <w:rPr>
                <w:sz w:val="19"/>
                <w:szCs w:val="19"/>
                <w:color w:val="auto"/>
              </w:rPr>
            </w:pPr>
          </w:p>
        </w:tc>
        <w:tc>
          <w:tcPr>
            <w:tcW w:w="660" w:type="dxa"/>
            <w:vAlign w:val="bottom"/>
          </w:tcPr>
          <w:p>
            <w:pPr>
              <w:spacing w:after="0"/>
              <w:rPr>
                <w:sz w:val="20"/>
                <w:szCs w:val="20"/>
                <w:color w:val="auto"/>
              </w:rPr>
            </w:pPr>
            <w:r>
              <w:rPr>
                <w:rFonts w:ascii="Arial" w:cs="Arial" w:eastAsia="Arial" w:hAnsi="Arial"/>
                <w:sz w:val="12"/>
                <w:szCs w:val="12"/>
                <w:b w:val="1"/>
                <w:bCs w:val="1"/>
                <w:color w:val="auto"/>
              </w:rPr>
              <w:t>Expiration</w:t>
            </w:r>
          </w:p>
        </w:tc>
        <w:tc>
          <w:tcPr>
            <w:tcW w:w="220" w:type="dxa"/>
            <w:vAlign w:val="bottom"/>
          </w:tcPr>
          <w:p>
            <w:pPr>
              <w:spacing w:after="0"/>
              <w:rPr>
                <w:sz w:val="19"/>
                <w:szCs w:val="19"/>
                <w:color w:val="auto"/>
              </w:rPr>
            </w:pPr>
          </w:p>
        </w:tc>
        <w:tc>
          <w:tcPr>
            <w:tcW w:w="820" w:type="dxa"/>
            <w:vAlign w:val="bottom"/>
            <w:gridSpan w:val="2"/>
          </w:tcPr>
          <w:p>
            <w:pPr>
              <w:jc w:val="center"/>
              <w:spacing w:after="0"/>
              <w:rPr>
                <w:sz w:val="20"/>
                <w:szCs w:val="20"/>
                <w:color w:val="auto"/>
              </w:rPr>
            </w:pPr>
            <w:r>
              <w:rPr>
                <w:rFonts w:ascii="Arial" w:cs="Arial" w:eastAsia="Arial" w:hAnsi="Arial"/>
                <w:sz w:val="12"/>
                <w:szCs w:val="12"/>
                <w:b w:val="1"/>
                <w:bCs w:val="1"/>
                <w:color w:val="auto"/>
              </w:rPr>
              <w:t>Have Not</w:t>
            </w:r>
          </w:p>
        </w:tc>
        <w:tc>
          <w:tcPr>
            <w:tcW w:w="20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Vested</w:t>
            </w:r>
          </w:p>
        </w:tc>
        <w:tc>
          <w:tcPr>
            <w:tcW w:w="2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2"/>
                <w:szCs w:val="12"/>
                <w:b w:val="1"/>
                <w:bCs w:val="1"/>
                <w:color w:val="auto"/>
              </w:rPr>
              <w:t>That Have Not</w:t>
            </w:r>
          </w:p>
        </w:tc>
        <w:tc>
          <w:tcPr>
            <w:tcW w:w="22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That Have Not</w:t>
            </w:r>
          </w:p>
        </w:tc>
      </w:tr>
      <w:tr>
        <w:trPr>
          <w:trHeight w:val="209"/>
        </w:trPr>
        <w:tc>
          <w:tcPr>
            <w:tcW w:w="2040" w:type="dxa"/>
            <w:vAlign w:val="bottom"/>
            <w:tcBorders>
              <w:bottom w:val="single" w:sz="8" w:color="auto"/>
            </w:tcBorders>
          </w:tcPr>
          <w:p>
            <w:pPr>
              <w:ind w:left="860"/>
              <w:spacing w:after="0"/>
              <w:rPr>
                <w:sz w:val="20"/>
                <w:szCs w:val="20"/>
                <w:color w:val="auto"/>
              </w:rPr>
            </w:pPr>
            <w:r>
              <w:rPr>
                <w:rFonts w:ascii="Arial" w:cs="Arial" w:eastAsia="Arial" w:hAnsi="Arial"/>
                <w:sz w:val="12"/>
                <w:szCs w:val="12"/>
                <w:b w:val="1"/>
                <w:bCs w:val="1"/>
                <w:color w:val="auto"/>
              </w:rPr>
              <w:t>Name</w:t>
            </w:r>
          </w:p>
        </w:tc>
        <w:tc>
          <w:tcPr>
            <w:tcW w:w="220" w:type="dxa"/>
            <w:vAlign w:val="bottom"/>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Exercisable</w:t>
            </w:r>
          </w:p>
        </w:tc>
        <w:tc>
          <w:tcPr>
            <w:tcW w:w="220" w:type="dxa"/>
            <w:vAlign w:val="bottom"/>
          </w:tcPr>
          <w:p>
            <w:pPr>
              <w:spacing w:after="0"/>
              <w:rPr>
                <w:sz w:val="18"/>
                <w:szCs w:val="18"/>
                <w:color w:val="auto"/>
              </w:rPr>
            </w:pPr>
          </w:p>
        </w:tc>
        <w:tc>
          <w:tcPr>
            <w:tcW w:w="9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2"/>
                <w:szCs w:val="12"/>
                <w:b w:val="1"/>
                <w:bCs w:val="1"/>
                <w:color w:val="auto"/>
              </w:rPr>
              <w:t>Unexercisable</w:t>
            </w:r>
          </w:p>
        </w:tc>
        <w:tc>
          <w:tcPr>
            <w:tcW w:w="200" w:type="dxa"/>
            <w:vAlign w:val="bottom"/>
          </w:tcPr>
          <w:p>
            <w:pPr>
              <w:spacing w:after="0"/>
              <w:rPr>
                <w:sz w:val="18"/>
                <w:szCs w:val="18"/>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2"/>
                <w:szCs w:val="12"/>
                <w:b w:val="1"/>
                <w:bCs w:val="1"/>
                <w:color w:val="auto"/>
              </w:rPr>
              <w:t>Options (#)</w:t>
            </w:r>
          </w:p>
        </w:tc>
        <w:tc>
          <w:tcPr>
            <w:tcW w:w="220" w:type="dxa"/>
            <w:vAlign w:val="bottom"/>
          </w:tcPr>
          <w:p>
            <w:pPr>
              <w:spacing w:after="0"/>
              <w:rPr>
                <w:sz w:val="18"/>
                <w:szCs w:val="18"/>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Price ($)</w:t>
            </w:r>
          </w:p>
        </w:tc>
        <w:tc>
          <w:tcPr>
            <w:tcW w:w="220" w:type="dxa"/>
            <w:vAlign w:val="bottom"/>
          </w:tcPr>
          <w:p>
            <w:pPr>
              <w:spacing w:after="0"/>
              <w:rPr>
                <w:sz w:val="18"/>
                <w:szCs w:val="18"/>
                <w:color w:val="auto"/>
              </w:rPr>
            </w:pP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8"/>
                <w:szCs w:val="18"/>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Vested (#)</w:t>
            </w:r>
          </w:p>
        </w:tc>
        <w:tc>
          <w:tcPr>
            <w:tcW w:w="200" w:type="dxa"/>
            <w:vAlign w:val="bottom"/>
          </w:tcPr>
          <w:p>
            <w:pPr>
              <w:spacing w:after="0"/>
              <w:rPr>
                <w:sz w:val="18"/>
                <w:szCs w:val="18"/>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($)(1)</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Vested (#)</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Vested ($)</w:t>
            </w:r>
          </w:p>
        </w:tc>
      </w:tr>
      <w:tr>
        <w:trPr>
          <w:trHeight w:val="213"/>
        </w:trPr>
        <w:tc>
          <w:tcPr>
            <w:tcW w:w="2040" w:type="dxa"/>
            <w:vAlign w:val="bottom"/>
            <w:shd w:val="clear" w:color="auto" w:fill="C0C0C0"/>
          </w:tcPr>
          <w:p>
            <w:pPr>
              <w:spacing w:after="0"/>
              <w:rPr>
                <w:sz w:val="20"/>
                <w:szCs w:val="20"/>
                <w:color w:val="auto"/>
              </w:rPr>
            </w:pPr>
            <w:r>
              <w:rPr>
                <w:rFonts w:ascii="Arial" w:cs="Arial" w:eastAsia="Arial" w:hAnsi="Arial"/>
                <w:sz w:val="12"/>
                <w:szCs w:val="12"/>
                <w:color w:val="auto"/>
              </w:rPr>
              <w:t>R. K. Templeton</w:t>
            </w:r>
          </w:p>
        </w:tc>
        <w:tc>
          <w:tcPr>
            <w:tcW w:w="220" w:type="dxa"/>
            <w:vAlign w:val="bottom"/>
            <w:shd w:val="clear" w:color="auto" w:fill="C0C0C0"/>
          </w:tcPr>
          <w:p>
            <w:pPr>
              <w:spacing w:after="0"/>
              <w:rPr>
                <w:sz w:val="18"/>
                <w:szCs w:val="18"/>
                <w:color w:val="auto"/>
              </w:rPr>
            </w:pPr>
          </w:p>
        </w:tc>
        <w:tc>
          <w:tcPr>
            <w:tcW w:w="940" w:type="dxa"/>
            <w:vAlign w:val="bottom"/>
            <w:gridSpan w:val="2"/>
            <w:shd w:val="clear" w:color="auto" w:fill="C0C0C0"/>
          </w:tcPr>
          <w:p>
            <w:pPr>
              <w:jc w:val="right"/>
              <w:ind w:right="220"/>
              <w:spacing w:after="0"/>
              <w:rPr>
                <w:sz w:val="20"/>
                <w:szCs w:val="20"/>
                <w:color w:val="auto"/>
              </w:rPr>
            </w:pPr>
            <w:r>
              <w:rPr>
                <w:rFonts w:ascii="Arial" w:cs="Arial" w:eastAsia="Arial" w:hAnsi="Arial"/>
                <w:sz w:val="12"/>
                <w:szCs w:val="12"/>
                <w:color w:val="auto"/>
              </w:rPr>
              <w:t>0</w:t>
            </w:r>
          </w:p>
        </w:tc>
        <w:tc>
          <w:tcPr>
            <w:tcW w:w="6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270,000</w:t>
            </w:r>
          </w:p>
        </w:tc>
        <w:tc>
          <w:tcPr>
            <w:tcW w:w="320" w:type="dxa"/>
            <w:vAlign w:val="bottom"/>
            <w:shd w:val="clear" w:color="auto" w:fill="C0C0C0"/>
          </w:tcPr>
          <w:p>
            <w:pPr>
              <w:jc w:val="right"/>
              <w:ind w:right="79"/>
              <w:spacing w:after="0"/>
              <w:rPr>
                <w:sz w:val="20"/>
                <w:szCs w:val="20"/>
                <w:color w:val="auto"/>
              </w:rPr>
            </w:pPr>
            <w:r>
              <w:rPr>
                <w:rFonts w:ascii="Arial" w:cs="Arial" w:eastAsia="Arial" w:hAnsi="Arial"/>
                <w:sz w:val="12"/>
                <w:szCs w:val="12"/>
                <w:color w:val="auto"/>
              </w:rPr>
              <w:t>(2)</w:t>
            </w:r>
          </w:p>
        </w:tc>
        <w:tc>
          <w:tcPr>
            <w:tcW w:w="1080" w:type="dxa"/>
            <w:vAlign w:val="bottom"/>
            <w:gridSpan w:val="2"/>
            <w:shd w:val="clear" w:color="auto" w:fill="C0C0C0"/>
          </w:tcPr>
          <w:p>
            <w:pPr>
              <w:jc w:val="center"/>
              <w:ind w:left="159"/>
              <w:spacing w:after="0"/>
              <w:rPr>
                <w:sz w:val="20"/>
                <w:szCs w:val="20"/>
                <w:color w:val="auto"/>
              </w:rPr>
            </w:pPr>
            <w:r>
              <w:rPr>
                <w:rFonts w:ascii="Arial" w:cs="Arial" w:eastAsia="Arial" w:hAnsi="Arial"/>
                <w:sz w:val="12"/>
                <w:szCs w:val="12"/>
                <w:color w:val="auto"/>
                <w:w w:val="89"/>
              </w:rPr>
              <w:t>0</w:t>
            </w:r>
          </w:p>
        </w:tc>
        <w:tc>
          <w:tcPr>
            <w:tcW w:w="860" w:type="dxa"/>
            <w:vAlign w:val="bottom"/>
            <w:gridSpan w:val="2"/>
            <w:shd w:val="clear" w:color="auto" w:fill="C0C0C0"/>
          </w:tcPr>
          <w:p>
            <w:pPr>
              <w:jc w:val="right"/>
              <w:ind w:right="39"/>
              <w:spacing w:after="0"/>
              <w:rPr>
                <w:sz w:val="20"/>
                <w:szCs w:val="20"/>
                <w:color w:val="auto"/>
              </w:rPr>
            </w:pPr>
            <w:r>
              <w:rPr>
                <w:rFonts w:ascii="Arial" w:cs="Arial" w:eastAsia="Arial" w:hAnsi="Arial"/>
                <w:sz w:val="12"/>
                <w:szCs w:val="12"/>
                <w:color w:val="auto"/>
              </w:rPr>
              <w:t>$28.32</w:t>
            </w:r>
          </w:p>
        </w:tc>
        <w:tc>
          <w:tcPr>
            <w:tcW w:w="880" w:type="dxa"/>
            <w:vAlign w:val="bottom"/>
            <w:gridSpan w:val="2"/>
            <w:shd w:val="clear" w:color="auto" w:fill="C0C0C0"/>
          </w:tcPr>
          <w:p>
            <w:pPr>
              <w:ind w:left="340"/>
              <w:spacing w:after="0"/>
              <w:rPr>
                <w:sz w:val="20"/>
                <w:szCs w:val="20"/>
                <w:color w:val="auto"/>
              </w:rPr>
            </w:pPr>
            <w:r>
              <w:rPr>
                <w:rFonts w:ascii="Arial" w:cs="Arial" w:eastAsia="Arial" w:hAnsi="Arial"/>
                <w:sz w:val="12"/>
                <w:szCs w:val="12"/>
                <w:color w:val="auto"/>
                <w:w w:val="97"/>
              </w:rPr>
              <w:t>1/18/2017</w:t>
            </w:r>
          </w:p>
        </w:tc>
        <w:tc>
          <w:tcPr>
            <w:tcW w:w="800" w:type="dxa"/>
            <w:vAlign w:val="bottom"/>
            <w:gridSpan w:val="2"/>
            <w:shd w:val="clear" w:color="auto" w:fill="C0C0C0"/>
          </w:tcPr>
          <w:p>
            <w:pPr>
              <w:ind w:left="320"/>
              <w:spacing w:after="0"/>
              <w:rPr>
                <w:sz w:val="20"/>
                <w:szCs w:val="20"/>
                <w:color w:val="auto"/>
              </w:rPr>
            </w:pPr>
            <w:r>
              <w:rPr>
                <w:rFonts w:ascii="Arial" w:cs="Arial" w:eastAsia="Arial" w:hAnsi="Arial"/>
                <w:sz w:val="12"/>
                <w:szCs w:val="12"/>
                <w:color w:val="auto"/>
              </w:rPr>
              <w:t>150,000</w:t>
            </w:r>
          </w:p>
        </w:tc>
        <w:tc>
          <w:tcPr>
            <w:tcW w:w="240" w:type="dxa"/>
            <w:vAlign w:val="bottom"/>
            <w:shd w:val="clear" w:color="auto" w:fill="C0C0C0"/>
          </w:tcPr>
          <w:p>
            <w:pPr>
              <w:jc w:val="right"/>
              <w:ind w:right="19"/>
              <w:spacing w:after="0"/>
              <w:rPr>
                <w:sz w:val="20"/>
                <w:szCs w:val="20"/>
                <w:color w:val="auto"/>
              </w:rPr>
            </w:pPr>
            <w:r>
              <w:rPr>
                <w:rFonts w:ascii="Arial" w:cs="Arial" w:eastAsia="Arial" w:hAnsi="Arial"/>
                <w:sz w:val="12"/>
                <w:szCs w:val="12"/>
                <w:color w:val="auto"/>
                <w:w w:val="95"/>
              </w:rPr>
              <w:t>(6)</w:t>
            </w:r>
          </w:p>
        </w:tc>
        <w:tc>
          <w:tcPr>
            <w:tcW w:w="92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$5,010,000</w:t>
            </w:r>
          </w:p>
        </w:tc>
        <w:tc>
          <w:tcPr>
            <w:tcW w:w="1300" w:type="dxa"/>
            <w:vAlign w:val="bottom"/>
            <w:gridSpan w:val="2"/>
            <w:shd w:val="clear" w:color="auto" w:fill="C0C0C0"/>
          </w:tcPr>
          <w:p>
            <w:pPr>
              <w:jc w:val="center"/>
              <w:ind w:left="159"/>
              <w:spacing w:after="0"/>
              <w:rPr>
                <w:sz w:val="20"/>
                <w:szCs w:val="20"/>
                <w:color w:val="auto"/>
              </w:rPr>
            </w:pPr>
            <w:r>
              <w:rPr>
                <w:rFonts w:ascii="Arial" w:cs="Arial" w:eastAsia="Arial" w:hAnsi="Arial"/>
                <w:sz w:val="12"/>
                <w:szCs w:val="12"/>
                <w:color w:val="auto"/>
              </w:rPr>
              <w:t>0</w:t>
            </w:r>
          </w:p>
        </w:tc>
        <w:tc>
          <w:tcPr>
            <w:tcW w:w="1160" w:type="dxa"/>
            <w:vAlign w:val="bottom"/>
            <w:gridSpan w:val="2"/>
            <w:shd w:val="clear" w:color="auto" w:fill="C0C0C0"/>
          </w:tcPr>
          <w:p>
            <w:pPr>
              <w:jc w:val="center"/>
              <w:ind w:left="159"/>
              <w:spacing w:after="0"/>
              <w:rPr>
                <w:sz w:val="20"/>
                <w:szCs w:val="20"/>
                <w:color w:val="auto"/>
              </w:rPr>
            </w:pPr>
            <w:r>
              <w:rPr>
                <w:rFonts w:ascii="Arial" w:cs="Arial" w:eastAsia="Arial" w:hAnsi="Arial"/>
                <w:sz w:val="12"/>
                <w:szCs w:val="12"/>
                <w:color w:val="auto"/>
                <w:w w:val="89"/>
              </w:rPr>
              <w:t>0</w:t>
            </w:r>
          </w:p>
        </w:tc>
      </w:tr>
      <w:tr>
        <w:trPr>
          <w:trHeight w:val="221"/>
        </w:trPr>
        <w:tc>
          <w:tcPr>
            <w:tcW w:w="204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940" w:type="dxa"/>
            <w:vAlign w:val="bottom"/>
            <w:gridSpan w:val="2"/>
            <w:shd w:val="clear" w:color="auto" w:fill="C0C0C0"/>
          </w:tcPr>
          <w:p>
            <w:pPr>
              <w:jc w:val="right"/>
              <w:ind w:right="220"/>
              <w:spacing w:after="0"/>
              <w:rPr>
                <w:sz w:val="20"/>
                <w:szCs w:val="20"/>
                <w:color w:val="auto"/>
              </w:rPr>
            </w:pPr>
            <w:r>
              <w:rPr>
                <w:rFonts w:ascii="Arial" w:cs="Arial" w:eastAsia="Arial" w:hAnsi="Arial"/>
                <w:sz w:val="12"/>
                <w:szCs w:val="12"/>
                <w:color w:val="auto"/>
              </w:rPr>
              <w:t>87,500</w:t>
            </w:r>
          </w:p>
        </w:tc>
        <w:tc>
          <w:tcPr>
            <w:tcW w:w="6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262,500</w:t>
            </w:r>
          </w:p>
        </w:tc>
        <w:tc>
          <w:tcPr>
            <w:tcW w:w="320" w:type="dxa"/>
            <w:vAlign w:val="bottom"/>
            <w:shd w:val="clear" w:color="auto" w:fill="C0C0C0"/>
          </w:tcPr>
          <w:p>
            <w:pPr>
              <w:jc w:val="right"/>
              <w:ind w:right="79"/>
              <w:spacing w:after="0"/>
              <w:rPr>
                <w:sz w:val="20"/>
                <w:szCs w:val="20"/>
                <w:color w:val="auto"/>
              </w:rPr>
            </w:pPr>
            <w:r>
              <w:rPr>
                <w:rFonts w:ascii="Arial" w:cs="Arial" w:eastAsia="Arial" w:hAnsi="Arial"/>
                <w:sz w:val="12"/>
                <w:szCs w:val="12"/>
                <w:color w:val="auto"/>
              </w:rPr>
              <w:t>(3)</w:t>
            </w:r>
          </w:p>
        </w:tc>
        <w:tc>
          <w:tcPr>
            <w:tcW w:w="1080" w:type="dxa"/>
            <w:vAlign w:val="bottom"/>
            <w:gridSpan w:val="2"/>
            <w:shd w:val="clear" w:color="auto" w:fill="C0C0C0"/>
          </w:tcPr>
          <w:p>
            <w:pPr>
              <w:jc w:val="center"/>
              <w:ind w:left="159"/>
              <w:spacing w:after="0"/>
              <w:rPr>
                <w:sz w:val="20"/>
                <w:szCs w:val="20"/>
                <w:color w:val="auto"/>
              </w:rPr>
            </w:pPr>
            <w:r>
              <w:rPr>
                <w:rFonts w:ascii="Arial" w:cs="Arial" w:eastAsia="Arial" w:hAnsi="Arial"/>
                <w:sz w:val="12"/>
                <w:szCs w:val="12"/>
                <w:color w:val="auto"/>
                <w:w w:val="89"/>
              </w:rPr>
              <w:t>0</w:t>
            </w:r>
          </w:p>
        </w:tc>
        <w:tc>
          <w:tcPr>
            <w:tcW w:w="860" w:type="dxa"/>
            <w:vAlign w:val="bottom"/>
            <w:gridSpan w:val="2"/>
            <w:shd w:val="clear" w:color="auto" w:fill="C0C0C0"/>
          </w:tcPr>
          <w:p>
            <w:pPr>
              <w:jc w:val="right"/>
              <w:ind w:right="39"/>
              <w:spacing w:after="0"/>
              <w:rPr>
                <w:sz w:val="20"/>
                <w:szCs w:val="20"/>
                <w:color w:val="auto"/>
              </w:rPr>
            </w:pPr>
            <w:r>
              <w:rPr>
                <w:rFonts w:ascii="Arial" w:cs="Arial" w:eastAsia="Arial" w:hAnsi="Arial"/>
                <w:sz w:val="12"/>
                <w:szCs w:val="12"/>
                <w:color w:val="auto"/>
              </w:rPr>
              <w:t>$32.55</w:t>
            </w:r>
          </w:p>
        </w:tc>
        <w:tc>
          <w:tcPr>
            <w:tcW w:w="880" w:type="dxa"/>
            <w:vAlign w:val="bottom"/>
            <w:gridSpan w:val="2"/>
            <w:shd w:val="clear" w:color="auto" w:fill="C0C0C0"/>
          </w:tcPr>
          <w:p>
            <w:pPr>
              <w:ind w:left="340"/>
              <w:spacing w:after="0"/>
              <w:rPr>
                <w:sz w:val="20"/>
                <w:szCs w:val="20"/>
                <w:color w:val="auto"/>
              </w:rPr>
            </w:pPr>
            <w:r>
              <w:rPr>
                <w:rFonts w:ascii="Arial" w:cs="Arial" w:eastAsia="Arial" w:hAnsi="Arial"/>
                <w:sz w:val="12"/>
                <w:szCs w:val="12"/>
                <w:color w:val="auto"/>
                <w:w w:val="97"/>
              </w:rPr>
              <w:t>1/19/2016</w:t>
            </w:r>
          </w:p>
        </w:tc>
        <w:tc>
          <w:tcPr>
            <w:tcW w:w="800" w:type="dxa"/>
            <w:vAlign w:val="bottom"/>
            <w:gridSpan w:val="2"/>
            <w:shd w:val="clear" w:color="auto" w:fill="C0C0C0"/>
          </w:tcPr>
          <w:p>
            <w:pPr>
              <w:ind w:left="320"/>
              <w:spacing w:after="0"/>
              <w:rPr>
                <w:sz w:val="20"/>
                <w:szCs w:val="20"/>
                <w:color w:val="auto"/>
              </w:rPr>
            </w:pPr>
            <w:r>
              <w:rPr>
                <w:rFonts w:ascii="Arial" w:cs="Arial" w:eastAsia="Arial" w:hAnsi="Arial"/>
                <w:sz w:val="12"/>
                <w:szCs w:val="12"/>
                <w:color w:val="auto"/>
              </w:rPr>
              <w:t>150,000</w:t>
            </w:r>
          </w:p>
        </w:tc>
        <w:tc>
          <w:tcPr>
            <w:tcW w:w="240" w:type="dxa"/>
            <w:vAlign w:val="bottom"/>
            <w:shd w:val="clear" w:color="auto" w:fill="C0C0C0"/>
          </w:tcPr>
          <w:p>
            <w:pPr>
              <w:jc w:val="right"/>
              <w:ind w:right="19"/>
              <w:spacing w:after="0"/>
              <w:rPr>
                <w:sz w:val="20"/>
                <w:szCs w:val="20"/>
                <w:color w:val="auto"/>
              </w:rPr>
            </w:pPr>
            <w:r>
              <w:rPr>
                <w:rFonts w:ascii="Arial" w:cs="Arial" w:eastAsia="Arial" w:hAnsi="Arial"/>
                <w:sz w:val="12"/>
                <w:szCs w:val="12"/>
                <w:color w:val="auto"/>
                <w:w w:val="95"/>
              </w:rPr>
              <w:t>(7)</w:t>
            </w:r>
          </w:p>
        </w:tc>
        <w:tc>
          <w:tcPr>
            <w:tcW w:w="92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$5,010,000</w:t>
            </w:r>
          </w:p>
        </w:tc>
        <w:tc>
          <w:tcPr>
            <w:tcW w:w="1300" w:type="dxa"/>
            <w:vAlign w:val="bottom"/>
            <w:gridSpan w:val="2"/>
            <w:shd w:val="clear" w:color="auto" w:fill="C0C0C0"/>
          </w:tcPr>
          <w:p>
            <w:pPr>
              <w:jc w:val="center"/>
              <w:ind w:left="159"/>
              <w:spacing w:after="0"/>
              <w:rPr>
                <w:sz w:val="20"/>
                <w:szCs w:val="20"/>
                <w:color w:val="auto"/>
              </w:rPr>
            </w:pPr>
            <w:r>
              <w:rPr>
                <w:rFonts w:ascii="Arial" w:cs="Arial" w:eastAsia="Arial" w:hAnsi="Arial"/>
                <w:sz w:val="12"/>
                <w:szCs w:val="12"/>
                <w:color w:val="auto"/>
              </w:rPr>
              <w:t>0</w:t>
            </w:r>
          </w:p>
        </w:tc>
        <w:tc>
          <w:tcPr>
            <w:tcW w:w="1160" w:type="dxa"/>
            <w:vAlign w:val="bottom"/>
            <w:gridSpan w:val="2"/>
            <w:shd w:val="clear" w:color="auto" w:fill="C0C0C0"/>
          </w:tcPr>
          <w:p>
            <w:pPr>
              <w:jc w:val="center"/>
              <w:ind w:left="159"/>
              <w:spacing w:after="0"/>
              <w:rPr>
                <w:sz w:val="20"/>
                <w:szCs w:val="20"/>
                <w:color w:val="auto"/>
              </w:rPr>
            </w:pPr>
            <w:r>
              <w:rPr>
                <w:rFonts w:ascii="Arial" w:cs="Arial" w:eastAsia="Arial" w:hAnsi="Arial"/>
                <w:sz w:val="12"/>
                <w:szCs w:val="12"/>
                <w:color w:val="auto"/>
                <w:w w:val="89"/>
              </w:rPr>
              <w:t>0</w:t>
            </w:r>
          </w:p>
        </w:tc>
      </w:tr>
      <w:tr>
        <w:trPr>
          <w:trHeight w:val="239"/>
        </w:trPr>
        <w:tc>
          <w:tcPr>
            <w:tcW w:w="204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720" w:type="dxa"/>
            <w:vAlign w:val="bottom"/>
            <w:shd w:val="clear" w:color="auto" w:fill="C0C0C0"/>
          </w:tcPr>
          <w:p>
            <w:pPr>
              <w:ind w:left="280"/>
              <w:spacing w:after="0"/>
              <w:rPr>
                <w:sz w:val="20"/>
                <w:szCs w:val="20"/>
                <w:color w:val="auto"/>
              </w:rPr>
            </w:pPr>
            <w:r>
              <w:rPr>
                <w:rFonts w:ascii="Arial" w:cs="Arial" w:eastAsia="Arial" w:hAnsi="Arial"/>
                <w:sz w:val="12"/>
                <w:szCs w:val="12"/>
                <w:color w:val="auto"/>
                <w:w w:val="96"/>
              </w:rPr>
              <w:t>250,000</w:t>
            </w:r>
          </w:p>
        </w:tc>
        <w:tc>
          <w:tcPr>
            <w:tcW w:w="220" w:type="dxa"/>
            <w:vAlign w:val="bottom"/>
            <w:shd w:val="clear" w:color="auto" w:fill="C0C0C0"/>
          </w:tcPr>
          <w:p>
            <w:pPr>
              <w:spacing w:after="0"/>
              <w:rPr>
                <w:sz w:val="20"/>
                <w:szCs w:val="20"/>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250,000</w:t>
            </w:r>
          </w:p>
        </w:tc>
        <w:tc>
          <w:tcPr>
            <w:tcW w:w="320" w:type="dxa"/>
            <w:vAlign w:val="bottom"/>
            <w:shd w:val="clear" w:color="auto" w:fill="C0C0C0"/>
          </w:tcPr>
          <w:p>
            <w:pPr>
              <w:jc w:val="right"/>
              <w:ind w:right="79"/>
              <w:spacing w:after="0"/>
              <w:rPr>
                <w:sz w:val="20"/>
                <w:szCs w:val="20"/>
                <w:color w:val="auto"/>
              </w:rPr>
            </w:pPr>
            <w:r>
              <w:rPr>
                <w:rFonts w:ascii="Arial" w:cs="Arial" w:eastAsia="Arial" w:hAnsi="Arial"/>
                <w:sz w:val="12"/>
                <w:szCs w:val="12"/>
                <w:color w:val="auto"/>
              </w:rPr>
              <w:t>(4)</w:t>
            </w:r>
          </w:p>
        </w:tc>
        <w:tc>
          <w:tcPr>
            <w:tcW w:w="1080" w:type="dxa"/>
            <w:vAlign w:val="bottom"/>
            <w:gridSpan w:val="2"/>
            <w:shd w:val="clear" w:color="auto" w:fill="C0C0C0"/>
          </w:tcPr>
          <w:p>
            <w:pPr>
              <w:jc w:val="center"/>
              <w:ind w:left="159"/>
              <w:spacing w:after="0"/>
              <w:rPr>
                <w:sz w:val="20"/>
                <w:szCs w:val="20"/>
                <w:color w:val="auto"/>
              </w:rPr>
            </w:pPr>
            <w:r>
              <w:rPr>
                <w:rFonts w:ascii="Arial" w:cs="Arial" w:eastAsia="Arial" w:hAnsi="Arial"/>
                <w:sz w:val="12"/>
                <w:szCs w:val="12"/>
                <w:color w:val="auto"/>
                <w:w w:val="89"/>
              </w:rPr>
              <w:t>0</w:t>
            </w:r>
          </w:p>
        </w:tc>
        <w:tc>
          <w:tcPr>
            <w:tcW w:w="860" w:type="dxa"/>
            <w:vAlign w:val="bottom"/>
            <w:gridSpan w:val="2"/>
            <w:shd w:val="clear" w:color="auto" w:fill="C0C0C0"/>
          </w:tcPr>
          <w:p>
            <w:pPr>
              <w:jc w:val="right"/>
              <w:ind w:right="39"/>
              <w:spacing w:after="0"/>
              <w:rPr>
                <w:sz w:val="20"/>
                <w:szCs w:val="20"/>
                <w:color w:val="auto"/>
              </w:rPr>
            </w:pPr>
            <w:r>
              <w:rPr>
                <w:rFonts w:ascii="Arial" w:cs="Arial" w:eastAsia="Arial" w:hAnsi="Arial"/>
                <w:sz w:val="12"/>
                <w:szCs w:val="12"/>
                <w:color w:val="auto"/>
              </w:rPr>
              <w:t>$21.55</w:t>
            </w:r>
          </w:p>
        </w:tc>
        <w:tc>
          <w:tcPr>
            <w:tcW w:w="880" w:type="dxa"/>
            <w:vAlign w:val="bottom"/>
            <w:gridSpan w:val="2"/>
            <w:shd w:val="clear" w:color="auto" w:fill="C0C0C0"/>
          </w:tcPr>
          <w:p>
            <w:pPr>
              <w:ind w:left="340"/>
              <w:spacing w:after="0"/>
              <w:rPr>
                <w:sz w:val="20"/>
                <w:szCs w:val="20"/>
                <w:color w:val="auto"/>
              </w:rPr>
            </w:pPr>
            <w:r>
              <w:rPr>
                <w:rFonts w:ascii="Arial" w:cs="Arial" w:eastAsia="Arial" w:hAnsi="Arial"/>
                <w:sz w:val="12"/>
                <w:szCs w:val="12"/>
                <w:color w:val="auto"/>
                <w:w w:val="97"/>
              </w:rPr>
              <w:t>1/20/2015</w:t>
            </w:r>
          </w:p>
        </w:tc>
        <w:tc>
          <w:tcPr>
            <w:tcW w:w="800" w:type="dxa"/>
            <w:vAlign w:val="bottom"/>
            <w:gridSpan w:val="2"/>
            <w:shd w:val="clear" w:color="auto" w:fill="C0C0C0"/>
          </w:tcPr>
          <w:p>
            <w:pPr>
              <w:ind w:left="320"/>
              <w:spacing w:after="0"/>
              <w:rPr>
                <w:sz w:val="20"/>
                <w:szCs w:val="20"/>
                <w:color w:val="auto"/>
              </w:rPr>
            </w:pPr>
            <w:r>
              <w:rPr>
                <w:rFonts w:ascii="Arial" w:cs="Arial" w:eastAsia="Arial" w:hAnsi="Arial"/>
                <w:sz w:val="12"/>
                <w:szCs w:val="12"/>
                <w:color w:val="auto"/>
              </w:rPr>
              <w:t>100,000</w:t>
            </w:r>
          </w:p>
        </w:tc>
        <w:tc>
          <w:tcPr>
            <w:tcW w:w="240" w:type="dxa"/>
            <w:vAlign w:val="bottom"/>
            <w:shd w:val="clear" w:color="auto" w:fill="C0C0C0"/>
          </w:tcPr>
          <w:p>
            <w:pPr>
              <w:jc w:val="right"/>
              <w:ind w:right="19"/>
              <w:spacing w:after="0"/>
              <w:rPr>
                <w:sz w:val="20"/>
                <w:szCs w:val="20"/>
                <w:color w:val="auto"/>
              </w:rPr>
            </w:pPr>
            <w:r>
              <w:rPr>
                <w:rFonts w:ascii="Arial" w:cs="Arial" w:eastAsia="Arial" w:hAnsi="Arial"/>
                <w:sz w:val="12"/>
                <w:szCs w:val="12"/>
                <w:color w:val="auto"/>
                <w:w w:val="95"/>
              </w:rPr>
              <w:t>(8)</w:t>
            </w:r>
          </w:p>
        </w:tc>
        <w:tc>
          <w:tcPr>
            <w:tcW w:w="92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$3,340,000</w:t>
            </w:r>
          </w:p>
        </w:tc>
        <w:tc>
          <w:tcPr>
            <w:tcW w:w="1300" w:type="dxa"/>
            <w:vAlign w:val="bottom"/>
            <w:gridSpan w:val="2"/>
            <w:shd w:val="clear" w:color="auto" w:fill="C0C0C0"/>
          </w:tcPr>
          <w:p>
            <w:pPr>
              <w:jc w:val="center"/>
              <w:ind w:left="159"/>
              <w:spacing w:after="0"/>
              <w:rPr>
                <w:sz w:val="20"/>
                <w:szCs w:val="20"/>
                <w:color w:val="auto"/>
              </w:rPr>
            </w:pPr>
            <w:r>
              <w:rPr>
                <w:rFonts w:ascii="Arial" w:cs="Arial" w:eastAsia="Arial" w:hAnsi="Arial"/>
                <w:sz w:val="12"/>
                <w:szCs w:val="12"/>
                <w:color w:val="auto"/>
              </w:rPr>
              <w:t>0</w:t>
            </w:r>
          </w:p>
        </w:tc>
        <w:tc>
          <w:tcPr>
            <w:tcW w:w="1160" w:type="dxa"/>
            <w:vAlign w:val="bottom"/>
            <w:gridSpan w:val="2"/>
            <w:shd w:val="clear" w:color="auto" w:fill="C0C0C0"/>
          </w:tcPr>
          <w:p>
            <w:pPr>
              <w:jc w:val="center"/>
              <w:ind w:left="159"/>
              <w:spacing w:after="0"/>
              <w:rPr>
                <w:sz w:val="20"/>
                <w:szCs w:val="20"/>
                <w:color w:val="auto"/>
              </w:rPr>
            </w:pPr>
            <w:r>
              <w:rPr>
                <w:rFonts w:ascii="Arial" w:cs="Arial" w:eastAsia="Arial" w:hAnsi="Arial"/>
                <w:sz w:val="12"/>
                <w:szCs w:val="12"/>
                <w:color w:val="auto"/>
                <w:w w:val="89"/>
              </w:rPr>
              <w:t>0</w:t>
            </w:r>
          </w:p>
        </w:tc>
      </w:tr>
    </w:tbl>
    <w:p>
      <w:pPr>
        <w:sectPr>
          <w:pgSz w:w="11900" w:h="16900" w:orient="portrait"/>
          <w:cols w:equalWidth="0" w:num="1">
            <w:col w:w="11422"/>
          </w:cols>
          <w:pgMar w:left="238" w:top="363" w:right="239" w:bottom="0" w:gutter="0" w:footer="0" w:header="0"/>
        </w:sectPr>
      </w:pPr>
    </w:p>
    <w:bookmarkStart w:id="22" w:name="page23"/>
    <w:bookmarkEnd w:id="22"/>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4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525,000</w:t>
            </w:r>
          </w:p>
        </w:tc>
        <w:tc>
          <w:tcPr>
            <w:tcW w:w="20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175,000</w:t>
            </w:r>
          </w:p>
        </w:tc>
        <w:tc>
          <w:tcPr>
            <w:tcW w:w="18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1"/>
              </w:rPr>
              <w:t>(5)</w:t>
            </w:r>
          </w:p>
        </w:tc>
        <w:tc>
          <w:tcPr>
            <w:tcW w:w="1060" w:type="dxa"/>
            <w:vAlign w:val="bottom"/>
            <w:gridSpan w:val="3"/>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8"/>
                <w:szCs w:val="18"/>
                <w:color w:val="auto"/>
              </w:rPr>
            </w:pPr>
          </w:p>
        </w:tc>
        <w:tc>
          <w:tcPr>
            <w:tcW w:w="440" w:type="dxa"/>
            <w:vAlign w:val="bottom"/>
            <w:gridSpan w:val="2"/>
            <w:shd w:val="clear" w:color="auto" w:fill="C0C0C0"/>
          </w:tcPr>
          <w:p>
            <w:pPr>
              <w:ind w:left="360"/>
              <w:spacing w:after="0"/>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0C0C0"/>
          </w:tcPr>
          <w:p>
            <w:pPr>
              <w:jc w:val="right"/>
              <w:ind w:right="100"/>
              <w:spacing w:after="0"/>
              <w:rPr>
                <w:sz w:val="20"/>
                <w:szCs w:val="20"/>
                <w:color w:val="auto"/>
              </w:rPr>
            </w:pPr>
            <w:r>
              <w:rPr>
                <w:rFonts w:ascii="Arial" w:cs="Arial" w:eastAsia="Arial" w:hAnsi="Arial"/>
                <w:sz w:val="12"/>
                <w:szCs w:val="12"/>
                <w:color w:val="auto"/>
                <w:w w:val="99"/>
              </w:rPr>
              <w:t>32.39</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1/14/2014</w:t>
            </w:r>
          </w:p>
        </w:tc>
        <w:tc>
          <w:tcPr>
            <w:tcW w:w="80" w:type="dxa"/>
            <w:vAlign w:val="bottom"/>
            <w:shd w:val="clear" w:color="auto" w:fill="C0C0C0"/>
          </w:tcPr>
          <w:p>
            <w:pPr>
              <w:spacing w:after="0"/>
              <w:rPr>
                <w:sz w:val="18"/>
                <w:szCs w:val="18"/>
                <w:color w:val="auto"/>
              </w:rPr>
            </w:pPr>
          </w:p>
        </w:tc>
        <w:tc>
          <w:tcPr>
            <w:tcW w:w="7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100,000</w:t>
            </w:r>
          </w:p>
        </w:tc>
        <w:tc>
          <w:tcPr>
            <w:tcW w:w="220" w:type="dxa"/>
            <w:vAlign w:val="bottom"/>
            <w:gridSpan w:val="2"/>
            <w:shd w:val="clear" w:color="auto" w:fill="C0C0C0"/>
          </w:tcPr>
          <w:p>
            <w:pPr>
              <w:spacing w:after="0"/>
              <w:rPr>
                <w:sz w:val="20"/>
                <w:szCs w:val="20"/>
                <w:color w:val="auto"/>
              </w:rPr>
            </w:pPr>
            <w:r>
              <w:rPr>
                <w:rFonts w:ascii="Arial" w:cs="Arial" w:eastAsia="Arial" w:hAnsi="Arial"/>
                <w:sz w:val="12"/>
                <w:szCs w:val="12"/>
                <w:color w:val="auto"/>
              </w:rPr>
              <w:t>(9)</w:t>
            </w:r>
          </w:p>
        </w:tc>
        <w:tc>
          <w:tcPr>
            <w:tcW w:w="40" w:type="dxa"/>
            <w:vAlign w:val="bottom"/>
            <w:shd w:val="clear" w:color="auto" w:fill="C0C0C0"/>
          </w:tcPr>
          <w:p>
            <w:pPr>
              <w:spacing w:after="0"/>
              <w:rPr>
                <w:sz w:val="18"/>
                <w:szCs w:val="18"/>
                <w:color w:val="auto"/>
              </w:rPr>
            </w:pPr>
          </w:p>
        </w:tc>
        <w:tc>
          <w:tcPr>
            <w:tcW w:w="340" w:type="dxa"/>
            <w:vAlign w:val="bottom"/>
            <w:shd w:val="clear" w:color="auto" w:fill="C0C0C0"/>
          </w:tcPr>
          <w:p>
            <w:pPr>
              <w:ind w:left="260"/>
              <w:spacing w:after="0"/>
              <w:rPr>
                <w:sz w:val="20"/>
                <w:szCs w:val="20"/>
                <w:color w:val="auto"/>
              </w:rPr>
            </w:pPr>
            <w:r>
              <w:rPr>
                <w:rFonts w:ascii="Arial" w:cs="Arial" w:eastAsia="Arial" w:hAnsi="Arial"/>
                <w:sz w:val="12"/>
                <w:szCs w:val="12"/>
                <w:color w:val="auto"/>
                <w:w w:val="89"/>
              </w:rPr>
              <w:t>$</w:t>
            </w:r>
          </w:p>
        </w:tc>
        <w:tc>
          <w:tcPr>
            <w:tcW w:w="5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w w:val="97"/>
              </w:rPr>
              <w:t>3,340,000</w:t>
            </w:r>
          </w:p>
        </w:tc>
        <w:tc>
          <w:tcPr>
            <w:tcW w:w="220" w:type="dxa"/>
            <w:vAlign w:val="bottom"/>
            <w:shd w:val="clear" w:color="auto" w:fill="C0C0C0"/>
          </w:tcPr>
          <w:p>
            <w:pPr>
              <w:spacing w:after="0"/>
              <w:rPr>
                <w:sz w:val="18"/>
                <w:szCs w:val="18"/>
                <w:color w:val="auto"/>
              </w:rPr>
            </w:pP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8"/>
                <w:szCs w:val="18"/>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8"/>
                <w:szCs w:val="18"/>
                <w:color w:val="auto"/>
              </w:rPr>
            </w:pPr>
          </w:p>
        </w:tc>
      </w:tr>
      <w:tr>
        <w:trPr>
          <w:trHeight w:val="234"/>
        </w:trPr>
        <w:tc>
          <w:tcPr>
            <w:tcW w:w="204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375,000</w:t>
            </w:r>
          </w:p>
        </w:tc>
        <w:tc>
          <w:tcPr>
            <w:tcW w:w="200" w:type="dxa"/>
            <w:vAlign w:val="bottom"/>
            <w:shd w:val="clear" w:color="auto" w:fill="C0C0C0"/>
          </w:tcPr>
          <w:p>
            <w:pPr>
              <w:spacing w:after="0"/>
              <w:rPr>
                <w:sz w:val="20"/>
                <w:szCs w:val="20"/>
                <w:color w:val="auto"/>
              </w:rPr>
            </w:pPr>
          </w:p>
        </w:tc>
        <w:tc>
          <w:tcPr>
            <w:tcW w:w="20" w:type="dxa"/>
            <w:vAlign w:val="bottom"/>
            <w:shd w:val="clear" w:color="auto" w:fill="C0C0C0"/>
          </w:tcPr>
          <w:p>
            <w:pPr>
              <w:spacing w:after="0"/>
              <w:rPr>
                <w:sz w:val="20"/>
                <w:szCs w:val="20"/>
                <w:color w:val="auto"/>
              </w:rPr>
            </w:pPr>
          </w:p>
        </w:tc>
        <w:tc>
          <w:tcPr>
            <w:tcW w:w="540" w:type="dxa"/>
            <w:vAlign w:val="bottom"/>
            <w:shd w:val="clear" w:color="auto" w:fill="C0C0C0"/>
          </w:tcPr>
          <w:p>
            <w:pPr>
              <w:spacing w:after="0"/>
              <w:rPr>
                <w:sz w:val="20"/>
                <w:szCs w:val="20"/>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20"/>
                <w:szCs w:val="20"/>
                <w:color w:val="auto"/>
              </w:rPr>
            </w:pPr>
          </w:p>
        </w:tc>
        <w:tc>
          <w:tcPr>
            <w:tcW w:w="1060" w:type="dxa"/>
            <w:vAlign w:val="bottom"/>
            <w:gridSpan w:val="3"/>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20"/>
                <w:szCs w:val="20"/>
                <w:color w:val="auto"/>
              </w:rPr>
            </w:pPr>
          </w:p>
        </w:tc>
        <w:tc>
          <w:tcPr>
            <w:tcW w:w="440" w:type="dxa"/>
            <w:vAlign w:val="bottom"/>
            <w:gridSpan w:val="2"/>
            <w:shd w:val="clear" w:color="auto" w:fill="C0C0C0"/>
          </w:tcPr>
          <w:p>
            <w:pPr>
              <w:ind w:left="360"/>
              <w:spacing w:after="0"/>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0C0C0"/>
          </w:tcPr>
          <w:p>
            <w:pPr>
              <w:jc w:val="right"/>
              <w:ind w:right="100"/>
              <w:spacing w:after="0"/>
              <w:rPr>
                <w:sz w:val="20"/>
                <w:szCs w:val="20"/>
                <w:color w:val="auto"/>
              </w:rPr>
            </w:pPr>
            <w:r>
              <w:rPr>
                <w:rFonts w:ascii="Arial" w:cs="Arial" w:eastAsia="Arial" w:hAnsi="Arial"/>
                <w:sz w:val="12"/>
                <w:szCs w:val="12"/>
                <w:color w:val="auto"/>
                <w:w w:val="99"/>
              </w:rPr>
              <w:t>16.25</w:t>
            </w:r>
          </w:p>
        </w:tc>
        <w:tc>
          <w:tcPr>
            <w:tcW w:w="80" w:type="dxa"/>
            <w:vAlign w:val="bottom"/>
            <w:shd w:val="clear" w:color="auto" w:fill="C0C0C0"/>
          </w:tcPr>
          <w:p>
            <w:pPr>
              <w:spacing w:after="0"/>
              <w:rPr>
                <w:sz w:val="20"/>
                <w:szCs w:val="20"/>
                <w:color w:val="auto"/>
              </w:rPr>
            </w:pPr>
          </w:p>
        </w:tc>
        <w:tc>
          <w:tcPr>
            <w:tcW w:w="8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2/20/2013</w:t>
            </w:r>
          </w:p>
        </w:tc>
        <w:tc>
          <w:tcPr>
            <w:tcW w:w="8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480" w:type="dxa"/>
            <w:vAlign w:val="bottom"/>
            <w:shd w:val="clear" w:color="auto" w:fill="C0C0C0"/>
          </w:tcPr>
          <w:p>
            <w:pPr>
              <w:ind w:left="420"/>
              <w:spacing w:after="0"/>
              <w:rPr>
                <w:sz w:val="20"/>
                <w:szCs w:val="20"/>
                <w:color w:val="auto"/>
              </w:rPr>
            </w:pPr>
            <w:r>
              <w:rPr>
                <w:rFonts w:ascii="Arial" w:cs="Arial" w:eastAsia="Arial" w:hAnsi="Arial"/>
                <w:sz w:val="10"/>
                <w:szCs w:val="10"/>
                <w:color w:val="auto"/>
                <w:w w:val="71"/>
              </w:rPr>
              <w:t>0</w:t>
            </w:r>
          </w:p>
        </w:tc>
        <w:tc>
          <w:tcPr>
            <w:tcW w:w="220" w:type="dxa"/>
            <w:vAlign w:val="bottom"/>
            <w:shd w:val="clear" w:color="auto" w:fill="C0C0C0"/>
          </w:tcPr>
          <w:p>
            <w:pPr>
              <w:spacing w:after="0"/>
              <w:rPr>
                <w:sz w:val="20"/>
                <w:szCs w:val="20"/>
                <w:color w:val="auto"/>
              </w:rPr>
            </w:pP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20"/>
                <w:szCs w:val="20"/>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20"/>
                <w:szCs w:val="20"/>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625,000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980" w:type="dxa"/>
            <w:vAlign w:val="bottom"/>
            <w:gridSpan w:val="2"/>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440" w:type="dxa"/>
            <w:vAlign w:val="bottom"/>
            <w:gridSpan w:val="2"/>
            <w:shd w:val="clear" w:color="auto" w:fill="C0C0C0"/>
          </w:tcPr>
          <w:p>
            <w:pPr>
              <w:ind w:left="360"/>
              <w:spacing w:after="0"/>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0C0C0"/>
          </w:tcPr>
          <w:p>
            <w:pPr>
              <w:jc w:val="right"/>
              <w:ind w:right="100"/>
              <w:spacing w:after="0"/>
              <w:rPr>
                <w:sz w:val="20"/>
                <w:szCs w:val="20"/>
                <w:color w:val="auto"/>
              </w:rPr>
            </w:pPr>
            <w:r>
              <w:rPr>
                <w:rFonts w:ascii="Arial" w:cs="Arial" w:eastAsia="Arial" w:hAnsi="Arial"/>
                <w:sz w:val="12"/>
                <w:szCs w:val="12"/>
                <w:color w:val="auto"/>
                <w:w w:val="99"/>
              </w:rPr>
              <w:t>16.11</w:t>
            </w:r>
          </w:p>
        </w:tc>
        <w:tc>
          <w:tcPr>
            <w:tcW w:w="80" w:type="dxa"/>
            <w:vAlign w:val="bottom"/>
            <w:shd w:val="clear" w:color="auto" w:fill="C0C0C0"/>
          </w:tcPr>
          <w:p>
            <w:pPr>
              <w:spacing w:after="0"/>
              <w:rPr>
                <w:sz w:val="19"/>
                <w:szCs w:val="19"/>
                <w:color w:val="auto"/>
              </w:rPr>
            </w:pPr>
          </w:p>
        </w:tc>
        <w:tc>
          <w:tcPr>
            <w:tcW w:w="8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1/15/2013</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480" w:type="dxa"/>
            <w:vAlign w:val="bottom"/>
            <w:shd w:val="clear" w:color="auto" w:fill="C0C0C0"/>
          </w:tcPr>
          <w:p>
            <w:pPr>
              <w:ind w:left="420"/>
              <w:spacing w:after="0"/>
              <w:rPr>
                <w:sz w:val="20"/>
                <w:szCs w:val="20"/>
                <w:color w:val="auto"/>
              </w:rPr>
            </w:pPr>
            <w:r>
              <w:rPr>
                <w:rFonts w:ascii="Arial" w:cs="Arial" w:eastAsia="Arial" w:hAnsi="Arial"/>
                <w:sz w:val="10"/>
                <w:szCs w:val="10"/>
                <w:color w:val="auto"/>
                <w:w w:val="71"/>
              </w:rPr>
              <w:t>0</w:t>
            </w:r>
          </w:p>
        </w:tc>
        <w:tc>
          <w:tcPr>
            <w:tcW w:w="220" w:type="dxa"/>
            <w:vAlign w:val="bottom"/>
            <w:shd w:val="clear" w:color="auto" w:fill="C0C0C0"/>
          </w:tcPr>
          <w:p>
            <w:pPr>
              <w:spacing w:after="0"/>
              <w:rPr>
                <w:sz w:val="19"/>
                <w:szCs w:val="19"/>
                <w:color w:val="auto"/>
              </w:rPr>
            </w:pP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625,000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440" w:type="dxa"/>
            <w:vAlign w:val="bottom"/>
            <w:gridSpan w:val="2"/>
            <w:shd w:val="clear" w:color="auto" w:fill="C0C0C0"/>
          </w:tcPr>
          <w:p>
            <w:pPr>
              <w:ind w:left="360"/>
              <w:spacing w:after="0"/>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0C0C0"/>
          </w:tcPr>
          <w:p>
            <w:pPr>
              <w:jc w:val="right"/>
              <w:ind w:right="100"/>
              <w:spacing w:after="0"/>
              <w:rPr>
                <w:sz w:val="20"/>
                <w:szCs w:val="20"/>
                <w:color w:val="auto"/>
              </w:rPr>
            </w:pPr>
            <w:r>
              <w:rPr>
                <w:rFonts w:ascii="Arial" w:cs="Arial" w:eastAsia="Arial" w:hAnsi="Arial"/>
                <w:sz w:val="12"/>
                <w:szCs w:val="12"/>
                <w:color w:val="auto"/>
                <w:w w:val="99"/>
              </w:rPr>
              <w:t>26.50</w:t>
            </w:r>
          </w:p>
        </w:tc>
        <w:tc>
          <w:tcPr>
            <w:tcW w:w="80" w:type="dxa"/>
            <w:vAlign w:val="bottom"/>
            <w:shd w:val="clear" w:color="auto" w:fill="C0C0C0"/>
          </w:tcPr>
          <w:p>
            <w:pPr>
              <w:spacing w:after="0"/>
              <w:rPr>
                <w:sz w:val="19"/>
                <w:szCs w:val="19"/>
                <w:color w:val="auto"/>
              </w:rPr>
            </w:pPr>
          </w:p>
        </w:tc>
        <w:tc>
          <w:tcPr>
            <w:tcW w:w="8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1/16/2012</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480" w:type="dxa"/>
            <w:vAlign w:val="bottom"/>
            <w:shd w:val="clear" w:color="auto" w:fill="C0C0C0"/>
          </w:tcPr>
          <w:p>
            <w:pPr>
              <w:ind w:left="420"/>
              <w:spacing w:after="0"/>
              <w:rPr>
                <w:sz w:val="20"/>
                <w:szCs w:val="20"/>
                <w:color w:val="auto"/>
              </w:rPr>
            </w:pPr>
            <w:r>
              <w:rPr>
                <w:rFonts w:ascii="Arial" w:cs="Arial" w:eastAsia="Arial" w:hAnsi="Arial"/>
                <w:sz w:val="10"/>
                <w:szCs w:val="10"/>
                <w:color w:val="auto"/>
                <w:w w:val="71"/>
              </w:rPr>
              <w:t>0</w:t>
            </w:r>
          </w:p>
        </w:tc>
        <w:tc>
          <w:tcPr>
            <w:tcW w:w="220" w:type="dxa"/>
            <w:vAlign w:val="bottom"/>
            <w:shd w:val="clear" w:color="auto" w:fill="C0C0C0"/>
          </w:tcPr>
          <w:p>
            <w:pPr>
              <w:spacing w:after="0"/>
              <w:rPr>
                <w:sz w:val="19"/>
                <w:szCs w:val="19"/>
                <w:color w:val="auto"/>
              </w:rPr>
            </w:pP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210,000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440" w:type="dxa"/>
            <w:vAlign w:val="bottom"/>
            <w:gridSpan w:val="2"/>
            <w:shd w:val="clear" w:color="auto" w:fill="C0C0C0"/>
          </w:tcPr>
          <w:p>
            <w:pPr>
              <w:ind w:left="360"/>
              <w:spacing w:after="0"/>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0C0C0"/>
          </w:tcPr>
          <w:p>
            <w:pPr>
              <w:jc w:val="right"/>
              <w:ind w:right="100"/>
              <w:spacing w:after="0"/>
              <w:rPr>
                <w:sz w:val="20"/>
                <w:szCs w:val="20"/>
                <w:color w:val="auto"/>
              </w:rPr>
            </w:pPr>
            <w:r>
              <w:rPr>
                <w:rFonts w:ascii="Arial" w:cs="Arial" w:eastAsia="Arial" w:hAnsi="Arial"/>
                <w:sz w:val="12"/>
                <w:szCs w:val="12"/>
                <w:color w:val="auto"/>
                <w:w w:val="99"/>
              </w:rPr>
              <w:t>31.30</w:t>
            </w:r>
          </w:p>
        </w:tc>
        <w:tc>
          <w:tcPr>
            <w:tcW w:w="80" w:type="dxa"/>
            <w:vAlign w:val="bottom"/>
            <w:shd w:val="clear" w:color="auto" w:fill="C0C0C0"/>
          </w:tcPr>
          <w:p>
            <w:pPr>
              <w:spacing w:after="0"/>
              <w:rPr>
                <w:sz w:val="19"/>
                <w:szCs w:val="19"/>
                <w:color w:val="auto"/>
              </w:rPr>
            </w:pPr>
          </w:p>
        </w:tc>
        <w:tc>
          <w:tcPr>
            <w:tcW w:w="8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11/29/2011</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480" w:type="dxa"/>
            <w:vAlign w:val="bottom"/>
            <w:shd w:val="clear" w:color="auto" w:fill="C0C0C0"/>
          </w:tcPr>
          <w:p>
            <w:pPr>
              <w:ind w:left="420"/>
              <w:spacing w:after="0"/>
              <w:rPr>
                <w:sz w:val="20"/>
                <w:szCs w:val="20"/>
                <w:color w:val="auto"/>
              </w:rPr>
            </w:pPr>
            <w:r>
              <w:rPr>
                <w:rFonts w:ascii="Arial" w:cs="Arial" w:eastAsia="Arial" w:hAnsi="Arial"/>
                <w:sz w:val="10"/>
                <w:szCs w:val="10"/>
                <w:color w:val="auto"/>
                <w:w w:val="71"/>
              </w:rPr>
              <w:t>0</w:t>
            </w:r>
          </w:p>
        </w:tc>
        <w:tc>
          <w:tcPr>
            <w:tcW w:w="220" w:type="dxa"/>
            <w:vAlign w:val="bottom"/>
            <w:shd w:val="clear" w:color="auto" w:fill="C0C0C0"/>
          </w:tcPr>
          <w:p>
            <w:pPr>
              <w:spacing w:after="0"/>
              <w:rPr>
                <w:sz w:val="19"/>
                <w:szCs w:val="19"/>
                <w:color w:val="auto"/>
              </w:rPr>
            </w:pP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325,000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360" w:type="dxa"/>
            <w:vAlign w:val="bottom"/>
            <w:shd w:val="clear" w:color="auto" w:fill="C0C0C0"/>
          </w:tcPr>
          <w:p>
            <w:pPr>
              <w:ind w:left="280"/>
              <w:spacing w:after="0"/>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0C0C0"/>
          </w:tcPr>
          <w:p>
            <w:pPr>
              <w:jc w:val="right"/>
              <w:ind w:right="100"/>
              <w:spacing w:after="0"/>
              <w:rPr>
                <w:sz w:val="20"/>
                <w:szCs w:val="20"/>
                <w:color w:val="auto"/>
              </w:rPr>
            </w:pPr>
            <w:r>
              <w:rPr>
                <w:rFonts w:ascii="Arial" w:cs="Arial" w:eastAsia="Arial" w:hAnsi="Arial"/>
                <w:sz w:val="12"/>
                <w:szCs w:val="12"/>
                <w:color w:val="auto"/>
                <w:w w:val="99"/>
              </w:rPr>
              <w:t>50.38</w:t>
            </w:r>
          </w:p>
        </w:tc>
        <w:tc>
          <w:tcPr>
            <w:tcW w:w="80" w:type="dxa"/>
            <w:vAlign w:val="bottom"/>
            <w:shd w:val="clear" w:color="auto" w:fill="C0C0C0"/>
          </w:tcPr>
          <w:p>
            <w:pPr>
              <w:spacing w:after="0"/>
              <w:rPr>
                <w:sz w:val="19"/>
                <w:szCs w:val="19"/>
                <w:color w:val="auto"/>
              </w:rPr>
            </w:pPr>
          </w:p>
        </w:tc>
        <w:tc>
          <w:tcPr>
            <w:tcW w:w="8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1/17/2011</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480" w:type="dxa"/>
            <w:vAlign w:val="bottom"/>
            <w:shd w:val="clear" w:color="auto" w:fill="C0C0C0"/>
          </w:tcPr>
          <w:p>
            <w:pPr>
              <w:ind w:left="420"/>
              <w:spacing w:after="0"/>
              <w:rPr>
                <w:sz w:val="20"/>
                <w:szCs w:val="20"/>
                <w:color w:val="auto"/>
              </w:rPr>
            </w:pPr>
            <w:r>
              <w:rPr>
                <w:rFonts w:ascii="Arial" w:cs="Arial" w:eastAsia="Arial" w:hAnsi="Arial"/>
                <w:sz w:val="10"/>
                <w:szCs w:val="10"/>
                <w:color w:val="auto"/>
                <w:w w:val="71"/>
              </w:rPr>
              <w:t>0</w:t>
            </w:r>
          </w:p>
        </w:tc>
        <w:tc>
          <w:tcPr>
            <w:tcW w:w="220" w:type="dxa"/>
            <w:vAlign w:val="bottom"/>
            <w:shd w:val="clear" w:color="auto" w:fill="C0C0C0"/>
          </w:tcPr>
          <w:p>
            <w:pPr>
              <w:spacing w:after="0"/>
              <w:rPr>
                <w:sz w:val="19"/>
                <w:szCs w:val="19"/>
                <w:color w:val="auto"/>
              </w:rPr>
            </w:pP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32"/>
        </w:trPr>
        <w:tc>
          <w:tcPr>
            <w:tcW w:w="204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400,000</w:t>
            </w:r>
          </w:p>
        </w:tc>
        <w:tc>
          <w:tcPr>
            <w:tcW w:w="200" w:type="dxa"/>
            <w:vAlign w:val="bottom"/>
            <w:shd w:val="clear" w:color="auto" w:fill="C0C0C0"/>
          </w:tcPr>
          <w:p>
            <w:pPr>
              <w:spacing w:after="0"/>
              <w:rPr>
                <w:sz w:val="20"/>
                <w:szCs w:val="20"/>
                <w:color w:val="auto"/>
              </w:rPr>
            </w:pPr>
          </w:p>
        </w:tc>
        <w:tc>
          <w:tcPr>
            <w:tcW w:w="20" w:type="dxa"/>
            <w:vAlign w:val="bottom"/>
            <w:shd w:val="clear" w:color="auto" w:fill="C0C0C0"/>
          </w:tcPr>
          <w:p>
            <w:pPr>
              <w:spacing w:after="0"/>
              <w:rPr>
                <w:sz w:val="20"/>
                <w:szCs w:val="20"/>
                <w:color w:val="auto"/>
              </w:rPr>
            </w:pPr>
          </w:p>
        </w:tc>
        <w:tc>
          <w:tcPr>
            <w:tcW w:w="540" w:type="dxa"/>
            <w:vAlign w:val="bottom"/>
            <w:shd w:val="clear" w:color="auto" w:fill="C0C0C0"/>
          </w:tcPr>
          <w:p>
            <w:pPr>
              <w:spacing w:after="0"/>
              <w:rPr>
                <w:sz w:val="20"/>
                <w:szCs w:val="20"/>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800" w:type="dxa"/>
            <w:vAlign w:val="bottom"/>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360" w:type="dxa"/>
            <w:vAlign w:val="bottom"/>
            <w:shd w:val="clear" w:color="auto" w:fill="C0C0C0"/>
          </w:tcPr>
          <w:p>
            <w:pPr>
              <w:ind w:left="280"/>
              <w:spacing w:after="0"/>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0C0C0"/>
          </w:tcPr>
          <w:p>
            <w:pPr>
              <w:jc w:val="right"/>
              <w:ind w:right="100"/>
              <w:spacing w:after="0"/>
              <w:rPr>
                <w:sz w:val="20"/>
                <w:szCs w:val="20"/>
                <w:color w:val="auto"/>
              </w:rPr>
            </w:pPr>
            <w:r>
              <w:rPr>
                <w:rFonts w:ascii="Arial" w:cs="Arial" w:eastAsia="Arial" w:hAnsi="Arial"/>
                <w:sz w:val="12"/>
                <w:szCs w:val="12"/>
                <w:color w:val="auto"/>
                <w:w w:val="99"/>
              </w:rPr>
              <w:t>55.22</w:t>
            </w:r>
          </w:p>
        </w:tc>
        <w:tc>
          <w:tcPr>
            <w:tcW w:w="80" w:type="dxa"/>
            <w:vAlign w:val="bottom"/>
            <w:shd w:val="clear" w:color="auto" w:fill="C0C0C0"/>
          </w:tcPr>
          <w:p>
            <w:pPr>
              <w:spacing w:after="0"/>
              <w:rPr>
                <w:sz w:val="20"/>
                <w:szCs w:val="20"/>
                <w:color w:val="auto"/>
              </w:rPr>
            </w:pPr>
          </w:p>
        </w:tc>
        <w:tc>
          <w:tcPr>
            <w:tcW w:w="8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1/19/2010</w:t>
            </w:r>
          </w:p>
        </w:tc>
        <w:tc>
          <w:tcPr>
            <w:tcW w:w="8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4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480" w:type="dxa"/>
            <w:vAlign w:val="bottom"/>
            <w:shd w:val="clear" w:color="auto" w:fill="C0C0C0"/>
          </w:tcPr>
          <w:p>
            <w:pPr>
              <w:ind w:left="420"/>
              <w:spacing w:after="0"/>
              <w:rPr>
                <w:sz w:val="20"/>
                <w:szCs w:val="20"/>
                <w:color w:val="auto"/>
              </w:rPr>
            </w:pPr>
            <w:r>
              <w:rPr>
                <w:rFonts w:ascii="Arial" w:cs="Arial" w:eastAsia="Arial" w:hAnsi="Arial"/>
                <w:sz w:val="10"/>
                <w:szCs w:val="10"/>
                <w:color w:val="auto"/>
                <w:w w:val="71"/>
              </w:rPr>
              <w:t>0</w:t>
            </w:r>
          </w:p>
        </w:tc>
        <w:tc>
          <w:tcPr>
            <w:tcW w:w="220" w:type="dxa"/>
            <w:vAlign w:val="bottom"/>
            <w:shd w:val="clear" w:color="auto" w:fill="C0C0C0"/>
          </w:tcPr>
          <w:p>
            <w:pPr>
              <w:spacing w:after="0"/>
              <w:rPr>
                <w:sz w:val="20"/>
                <w:szCs w:val="20"/>
                <w:color w:val="auto"/>
              </w:rPr>
            </w:pP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20"/>
                <w:szCs w:val="20"/>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20"/>
                <w:szCs w:val="20"/>
                <w:color w:val="auto"/>
              </w:rPr>
            </w:pPr>
          </w:p>
        </w:tc>
      </w:tr>
      <w:tr>
        <w:trPr>
          <w:trHeight w:val="209"/>
        </w:trPr>
        <w:tc>
          <w:tcPr>
            <w:tcW w:w="204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600,000</w:t>
            </w:r>
          </w:p>
        </w:tc>
        <w:tc>
          <w:tcPr>
            <w:tcW w:w="20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800" w:type="dxa"/>
            <w:vAlign w:val="bottom"/>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360" w:type="dxa"/>
            <w:vAlign w:val="bottom"/>
            <w:shd w:val="clear" w:color="auto" w:fill="C0C0C0"/>
          </w:tcPr>
          <w:p>
            <w:pPr>
              <w:ind w:left="280"/>
              <w:spacing w:after="0"/>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0C0C0"/>
          </w:tcPr>
          <w:p>
            <w:pPr>
              <w:jc w:val="right"/>
              <w:ind w:right="100"/>
              <w:spacing w:after="0"/>
              <w:rPr>
                <w:sz w:val="20"/>
                <w:szCs w:val="20"/>
                <w:color w:val="auto"/>
              </w:rPr>
            </w:pPr>
            <w:r>
              <w:rPr>
                <w:rFonts w:ascii="Arial" w:cs="Arial" w:eastAsia="Arial" w:hAnsi="Arial"/>
                <w:sz w:val="12"/>
                <w:szCs w:val="12"/>
                <w:color w:val="auto"/>
                <w:w w:val="99"/>
              </w:rPr>
              <w:t>24.90</w:t>
            </w:r>
          </w:p>
        </w:tc>
        <w:tc>
          <w:tcPr>
            <w:tcW w:w="80" w:type="dxa"/>
            <w:vAlign w:val="bottom"/>
            <w:shd w:val="clear" w:color="auto" w:fill="C0C0C0"/>
          </w:tcPr>
          <w:p>
            <w:pPr>
              <w:spacing w:after="0"/>
              <w:rPr>
                <w:sz w:val="18"/>
                <w:szCs w:val="18"/>
                <w:color w:val="auto"/>
              </w:rPr>
            </w:pPr>
          </w:p>
        </w:tc>
        <w:tc>
          <w:tcPr>
            <w:tcW w:w="8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1/20/2009</w:t>
            </w:r>
          </w:p>
        </w:tc>
        <w:tc>
          <w:tcPr>
            <w:tcW w:w="80" w:type="dxa"/>
            <w:vAlign w:val="bottom"/>
            <w:shd w:val="clear" w:color="auto" w:fill="C0C0C0"/>
          </w:tcPr>
          <w:p>
            <w:pPr>
              <w:spacing w:after="0"/>
              <w:rPr>
                <w:sz w:val="18"/>
                <w:szCs w:val="18"/>
                <w:color w:val="auto"/>
              </w:rPr>
            </w:pPr>
          </w:p>
        </w:tc>
        <w:tc>
          <w:tcPr>
            <w:tcW w:w="600" w:type="dxa"/>
            <w:vAlign w:val="bottom"/>
            <w:shd w:val="clear" w:color="auto" w:fill="C0C0C0"/>
          </w:tcPr>
          <w:p>
            <w:pPr>
              <w:spacing w:after="0"/>
              <w:rPr>
                <w:sz w:val="18"/>
                <w:szCs w:val="18"/>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40" w:type="dxa"/>
            <w:vAlign w:val="bottom"/>
            <w:shd w:val="clear" w:color="auto" w:fill="C0C0C0"/>
          </w:tcPr>
          <w:p>
            <w:pPr>
              <w:spacing w:after="0"/>
              <w:rPr>
                <w:sz w:val="18"/>
                <w:szCs w:val="18"/>
                <w:color w:val="auto"/>
              </w:rPr>
            </w:pPr>
          </w:p>
        </w:tc>
        <w:tc>
          <w:tcPr>
            <w:tcW w:w="340" w:type="dxa"/>
            <w:vAlign w:val="bottom"/>
            <w:shd w:val="clear" w:color="auto" w:fill="C0C0C0"/>
          </w:tcPr>
          <w:p>
            <w:pPr>
              <w:spacing w:after="0"/>
              <w:rPr>
                <w:sz w:val="18"/>
                <w:szCs w:val="18"/>
                <w:color w:val="auto"/>
              </w:rPr>
            </w:pPr>
          </w:p>
        </w:tc>
        <w:tc>
          <w:tcPr>
            <w:tcW w:w="60" w:type="dxa"/>
            <w:vAlign w:val="bottom"/>
            <w:shd w:val="clear" w:color="auto" w:fill="C0C0C0"/>
          </w:tcPr>
          <w:p>
            <w:pPr>
              <w:spacing w:after="0"/>
              <w:rPr>
                <w:sz w:val="18"/>
                <w:szCs w:val="18"/>
                <w:color w:val="auto"/>
              </w:rPr>
            </w:pPr>
          </w:p>
        </w:tc>
        <w:tc>
          <w:tcPr>
            <w:tcW w:w="480" w:type="dxa"/>
            <w:vAlign w:val="bottom"/>
            <w:shd w:val="clear" w:color="auto" w:fill="C0C0C0"/>
          </w:tcPr>
          <w:p>
            <w:pPr>
              <w:ind w:left="420"/>
              <w:spacing w:after="0"/>
              <w:rPr>
                <w:sz w:val="20"/>
                <w:szCs w:val="20"/>
                <w:color w:val="auto"/>
              </w:rPr>
            </w:pPr>
            <w:r>
              <w:rPr>
                <w:rFonts w:ascii="Arial" w:cs="Arial" w:eastAsia="Arial" w:hAnsi="Arial"/>
                <w:sz w:val="10"/>
                <w:szCs w:val="10"/>
                <w:color w:val="auto"/>
                <w:w w:val="71"/>
              </w:rPr>
              <w:t>0</w:t>
            </w:r>
          </w:p>
        </w:tc>
        <w:tc>
          <w:tcPr>
            <w:tcW w:w="220" w:type="dxa"/>
            <w:vAlign w:val="bottom"/>
            <w:shd w:val="clear" w:color="auto" w:fill="C0C0C0"/>
          </w:tcPr>
          <w:p>
            <w:pPr>
              <w:spacing w:after="0"/>
              <w:rPr>
                <w:sz w:val="18"/>
                <w:szCs w:val="18"/>
                <w:color w:val="auto"/>
              </w:rPr>
            </w:pP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8"/>
                <w:szCs w:val="18"/>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8"/>
                <w:szCs w:val="18"/>
                <w:color w:val="auto"/>
              </w:rPr>
            </w:pPr>
          </w:p>
        </w:tc>
      </w:tr>
      <w:tr>
        <w:trPr>
          <w:trHeight w:val="221"/>
        </w:trPr>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3"/>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20"/>
                <w:szCs w:val="20"/>
                <w:color w:val="auto"/>
              </w:rPr>
            </w:pPr>
            <w:r>
              <w:rPr>
                <w:rFonts w:ascii="Arial" w:cs="Arial" w:eastAsia="Arial" w:hAnsi="Arial"/>
                <w:sz w:val="12"/>
                <w:szCs w:val="12"/>
                <w:color w:val="auto"/>
              </w:rPr>
              <w:t>K. P. March</w:t>
            </w:r>
          </w:p>
        </w:tc>
        <w:tc>
          <w:tcPr>
            <w:tcW w:w="1140" w:type="dxa"/>
            <w:vAlign w:val="bottom"/>
            <w:gridSpan w:val="3"/>
            <w:shd w:val="clear" w:color="auto" w:fill="C0C0C0"/>
          </w:tcPr>
          <w:p>
            <w:pPr>
              <w:jc w:val="right"/>
              <w:ind w:right="200"/>
              <w:spacing w:after="0"/>
              <w:rPr>
                <w:sz w:val="20"/>
                <w:szCs w:val="20"/>
                <w:color w:val="auto"/>
              </w:rPr>
            </w:pPr>
            <w:r>
              <w:rPr>
                <w:rFonts w:ascii="Arial" w:cs="Arial" w:eastAsia="Arial" w:hAnsi="Arial"/>
                <w:sz w:val="12"/>
                <w:szCs w:val="12"/>
                <w:color w:val="auto"/>
              </w:rPr>
              <w:t>0</w:t>
            </w:r>
          </w:p>
        </w:tc>
        <w:tc>
          <w:tcPr>
            <w:tcW w:w="20" w:type="dxa"/>
            <w:vAlign w:val="bottom"/>
            <w:shd w:val="clear" w:color="auto" w:fill="C0C0C0"/>
          </w:tcPr>
          <w:p>
            <w:pPr>
              <w:spacing w:after="0"/>
              <w:rPr>
                <w:sz w:val="19"/>
                <w:szCs w:val="19"/>
                <w:color w:val="auto"/>
              </w:rPr>
            </w:pP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85,000</w:t>
            </w:r>
          </w:p>
        </w:tc>
        <w:tc>
          <w:tcPr>
            <w:tcW w:w="18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1"/>
              </w:rPr>
              <w:t>(2)</w:t>
            </w:r>
          </w:p>
        </w:tc>
        <w:tc>
          <w:tcPr>
            <w:tcW w:w="1060" w:type="dxa"/>
            <w:vAlign w:val="bottom"/>
            <w:gridSpan w:val="3"/>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$28.32</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1/18/2017</w:t>
            </w: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35,000</w:t>
            </w:r>
          </w:p>
        </w:tc>
        <w:tc>
          <w:tcPr>
            <w:tcW w:w="220" w:type="dxa"/>
            <w:vAlign w:val="bottom"/>
            <w:gridSpan w:val="2"/>
            <w:shd w:val="clear" w:color="auto" w:fill="C0C0C0"/>
          </w:tcPr>
          <w:p>
            <w:pPr>
              <w:spacing w:after="0"/>
              <w:rPr>
                <w:sz w:val="20"/>
                <w:szCs w:val="20"/>
                <w:color w:val="auto"/>
              </w:rPr>
            </w:pPr>
            <w:r>
              <w:rPr>
                <w:rFonts w:ascii="Arial" w:cs="Arial" w:eastAsia="Arial" w:hAnsi="Arial"/>
                <w:sz w:val="12"/>
                <w:szCs w:val="12"/>
                <w:color w:val="auto"/>
              </w:rPr>
              <w:t>(6)</w:t>
            </w:r>
          </w:p>
        </w:tc>
        <w:tc>
          <w:tcPr>
            <w:tcW w:w="920" w:type="dxa"/>
            <w:vAlign w:val="bottom"/>
            <w:gridSpan w:val="4"/>
            <w:shd w:val="clear" w:color="auto" w:fill="C0C0C0"/>
          </w:tcPr>
          <w:p>
            <w:pPr>
              <w:ind w:left="300"/>
              <w:spacing w:after="0"/>
              <w:rPr>
                <w:sz w:val="20"/>
                <w:szCs w:val="20"/>
                <w:color w:val="auto"/>
              </w:rPr>
            </w:pPr>
            <w:r>
              <w:rPr>
                <w:rFonts w:ascii="Arial" w:cs="Arial" w:eastAsia="Arial" w:hAnsi="Arial"/>
                <w:sz w:val="12"/>
                <w:szCs w:val="12"/>
                <w:color w:val="auto"/>
                <w:w w:val="99"/>
              </w:rPr>
              <w:t>$1,169,000</w:t>
            </w:r>
          </w:p>
        </w:tc>
        <w:tc>
          <w:tcPr>
            <w:tcW w:w="220" w:type="dxa"/>
            <w:vAlign w:val="bottom"/>
            <w:shd w:val="clear" w:color="auto" w:fill="C0C0C0"/>
          </w:tcPr>
          <w:p>
            <w:pPr>
              <w:spacing w:after="0"/>
              <w:rPr>
                <w:sz w:val="19"/>
                <w:szCs w:val="19"/>
                <w:color w:val="auto"/>
              </w:rPr>
            </w:pP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940" w:type="dxa"/>
            <w:vAlign w:val="bottom"/>
            <w:gridSpan w:val="2"/>
            <w:shd w:val="clear" w:color="auto" w:fill="C0C0C0"/>
          </w:tcPr>
          <w:p>
            <w:pPr>
              <w:jc w:val="right"/>
              <w:ind w:right="200"/>
              <w:spacing w:after="0"/>
              <w:rPr>
                <w:sz w:val="20"/>
                <w:szCs w:val="20"/>
                <w:color w:val="auto"/>
              </w:rPr>
            </w:pPr>
            <w:r>
              <w:rPr>
                <w:rFonts w:ascii="Arial" w:cs="Arial" w:eastAsia="Arial" w:hAnsi="Arial"/>
                <w:sz w:val="12"/>
                <w:szCs w:val="12"/>
                <w:color w:val="auto"/>
              </w:rPr>
              <w:t>21,250</w:t>
            </w:r>
          </w:p>
        </w:tc>
        <w:tc>
          <w:tcPr>
            <w:tcW w:w="20" w:type="dxa"/>
            <w:vAlign w:val="bottom"/>
            <w:shd w:val="clear" w:color="auto" w:fill="C0C0C0"/>
          </w:tcPr>
          <w:p>
            <w:pPr>
              <w:spacing w:after="0"/>
              <w:rPr>
                <w:sz w:val="19"/>
                <w:szCs w:val="19"/>
                <w:color w:val="auto"/>
              </w:rPr>
            </w:pP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63,750</w:t>
            </w:r>
          </w:p>
        </w:tc>
        <w:tc>
          <w:tcPr>
            <w:tcW w:w="18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1"/>
              </w:rPr>
              <w:t>(3)</w:t>
            </w:r>
          </w:p>
        </w:tc>
        <w:tc>
          <w:tcPr>
            <w:tcW w:w="1060" w:type="dxa"/>
            <w:vAlign w:val="bottom"/>
            <w:gridSpan w:val="3"/>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$32.55</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1/19/2016</w:t>
            </w: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30,000</w:t>
            </w:r>
          </w:p>
        </w:tc>
        <w:tc>
          <w:tcPr>
            <w:tcW w:w="220" w:type="dxa"/>
            <w:vAlign w:val="bottom"/>
            <w:gridSpan w:val="2"/>
            <w:shd w:val="clear" w:color="auto" w:fill="C0C0C0"/>
          </w:tcPr>
          <w:p>
            <w:pPr>
              <w:spacing w:after="0"/>
              <w:rPr>
                <w:sz w:val="20"/>
                <w:szCs w:val="20"/>
                <w:color w:val="auto"/>
              </w:rPr>
            </w:pPr>
            <w:r>
              <w:rPr>
                <w:rFonts w:ascii="Arial" w:cs="Arial" w:eastAsia="Arial" w:hAnsi="Arial"/>
                <w:sz w:val="12"/>
                <w:szCs w:val="12"/>
                <w:color w:val="auto"/>
              </w:rPr>
              <w:t>(7)</w:t>
            </w:r>
          </w:p>
        </w:tc>
        <w:tc>
          <w:tcPr>
            <w:tcW w:w="920" w:type="dxa"/>
            <w:vAlign w:val="bottom"/>
            <w:gridSpan w:val="4"/>
            <w:shd w:val="clear" w:color="auto" w:fill="C0C0C0"/>
          </w:tcPr>
          <w:p>
            <w:pPr>
              <w:ind w:left="300"/>
              <w:spacing w:after="0"/>
              <w:rPr>
                <w:sz w:val="20"/>
                <w:szCs w:val="20"/>
                <w:color w:val="auto"/>
              </w:rPr>
            </w:pPr>
            <w:r>
              <w:rPr>
                <w:rFonts w:ascii="Arial" w:cs="Arial" w:eastAsia="Arial" w:hAnsi="Arial"/>
                <w:sz w:val="12"/>
                <w:szCs w:val="12"/>
                <w:color w:val="auto"/>
                <w:w w:val="99"/>
              </w:rPr>
              <w:t>$1,002,000</w:t>
            </w:r>
          </w:p>
        </w:tc>
        <w:tc>
          <w:tcPr>
            <w:tcW w:w="220" w:type="dxa"/>
            <w:vAlign w:val="bottom"/>
            <w:shd w:val="clear" w:color="auto" w:fill="C0C0C0"/>
          </w:tcPr>
          <w:p>
            <w:pPr>
              <w:spacing w:after="0"/>
              <w:rPr>
                <w:sz w:val="19"/>
                <w:szCs w:val="19"/>
                <w:color w:val="auto"/>
              </w:rPr>
            </w:pP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40,000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40,000</w:t>
            </w:r>
          </w:p>
        </w:tc>
        <w:tc>
          <w:tcPr>
            <w:tcW w:w="18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1"/>
              </w:rPr>
              <w:t>(4)</w:t>
            </w:r>
          </w:p>
        </w:tc>
        <w:tc>
          <w:tcPr>
            <w:tcW w:w="1060" w:type="dxa"/>
            <w:vAlign w:val="bottom"/>
            <w:gridSpan w:val="3"/>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$21.55</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1/20/2015</w:t>
            </w: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25,000</w:t>
            </w:r>
          </w:p>
        </w:tc>
        <w:tc>
          <w:tcPr>
            <w:tcW w:w="220" w:type="dxa"/>
            <w:vAlign w:val="bottom"/>
            <w:gridSpan w:val="2"/>
            <w:shd w:val="clear" w:color="auto" w:fill="C0C0C0"/>
          </w:tcPr>
          <w:p>
            <w:pPr>
              <w:spacing w:after="0"/>
              <w:rPr>
                <w:sz w:val="20"/>
                <w:szCs w:val="20"/>
                <w:color w:val="auto"/>
              </w:rPr>
            </w:pPr>
            <w:r>
              <w:rPr>
                <w:rFonts w:ascii="Arial" w:cs="Arial" w:eastAsia="Arial" w:hAnsi="Arial"/>
                <w:sz w:val="12"/>
                <w:szCs w:val="12"/>
                <w:color w:val="auto"/>
              </w:rPr>
              <w:t>(8)</w:t>
            </w:r>
          </w:p>
        </w:tc>
        <w:tc>
          <w:tcPr>
            <w:tcW w:w="440" w:type="dxa"/>
            <w:vAlign w:val="bottom"/>
            <w:gridSpan w:val="3"/>
            <w:shd w:val="clear" w:color="auto" w:fill="C0C0C0"/>
          </w:tcPr>
          <w:p>
            <w:pPr>
              <w:ind w:left="3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0C0C0"/>
          </w:tcPr>
          <w:p>
            <w:pPr>
              <w:ind w:left="40"/>
              <w:spacing w:after="0"/>
              <w:rPr>
                <w:sz w:val="20"/>
                <w:szCs w:val="20"/>
                <w:color w:val="auto"/>
              </w:rPr>
            </w:pPr>
            <w:r>
              <w:rPr>
                <w:rFonts w:ascii="Arial" w:cs="Arial" w:eastAsia="Arial" w:hAnsi="Arial"/>
                <w:sz w:val="12"/>
                <w:szCs w:val="12"/>
                <w:color w:val="auto"/>
              </w:rPr>
              <w:t>835,000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90,000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30,000</w:t>
            </w:r>
          </w:p>
        </w:tc>
        <w:tc>
          <w:tcPr>
            <w:tcW w:w="18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1"/>
              </w:rPr>
              <w:t>(5)</w:t>
            </w:r>
          </w:p>
        </w:tc>
        <w:tc>
          <w:tcPr>
            <w:tcW w:w="1060" w:type="dxa"/>
            <w:vAlign w:val="bottom"/>
            <w:gridSpan w:val="3"/>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$32.39</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1/14/2014</w:t>
            </w: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20,000</w:t>
            </w:r>
          </w:p>
        </w:tc>
        <w:tc>
          <w:tcPr>
            <w:tcW w:w="220" w:type="dxa"/>
            <w:vAlign w:val="bottom"/>
            <w:gridSpan w:val="2"/>
            <w:shd w:val="clear" w:color="auto" w:fill="C0C0C0"/>
          </w:tcPr>
          <w:p>
            <w:pPr>
              <w:spacing w:after="0"/>
              <w:rPr>
                <w:sz w:val="20"/>
                <w:szCs w:val="20"/>
                <w:color w:val="auto"/>
              </w:rPr>
            </w:pPr>
            <w:r>
              <w:rPr>
                <w:rFonts w:ascii="Arial" w:cs="Arial" w:eastAsia="Arial" w:hAnsi="Arial"/>
                <w:sz w:val="12"/>
                <w:szCs w:val="12"/>
                <w:color w:val="auto"/>
              </w:rPr>
              <w:t>(9)</w:t>
            </w:r>
          </w:p>
        </w:tc>
        <w:tc>
          <w:tcPr>
            <w:tcW w:w="440" w:type="dxa"/>
            <w:vAlign w:val="bottom"/>
            <w:gridSpan w:val="3"/>
            <w:shd w:val="clear" w:color="auto" w:fill="C0C0C0"/>
          </w:tcPr>
          <w:p>
            <w:pPr>
              <w:ind w:left="30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0C0C0"/>
          </w:tcPr>
          <w:p>
            <w:pPr>
              <w:ind w:left="40"/>
              <w:spacing w:after="0"/>
              <w:rPr>
                <w:sz w:val="20"/>
                <w:szCs w:val="20"/>
                <w:color w:val="auto"/>
              </w:rPr>
            </w:pPr>
            <w:r>
              <w:rPr>
                <w:rFonts w:ascii="Arial" w:cs="Arial" w:eastAsia="Arial" w:hAnsi="Arial"/>
                <w:sz w:val="12"/>
                <w:szCs w:val="12"/>
                <w:color w:val="auto"/>
              </w:rPr>
              <w:t>668,000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60,000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1060" w:type="dxa"/>
            <w:vAlign w:val="bottom"/>
            <w:gridSpan w:val="3"/>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$16.25</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2/20/2013</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60,000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980" w:type="dxa"/>
            <w:vAlign w:val="bottom"/>
            <w:gridSpan w:val="2"/>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$16.11</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1/15/2013</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$29.19</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2/21/2012</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30,000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$26.50</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1/16/2012</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12,700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780" w:type="dxa"/>
            <w:vAlign w:val="bottom"/>
            <w:gridSpan w:val="3"/>
            <w:shd w:val="clear" w:color="auto" w:fill="C0C0C0"/>
          </w:tcPr>
          <w:p>
            <w:pPr>
              <w:jc w:val="right"/>
              <w:ind w:right="100"/>
              <w:spacing w:after="0"/>
              <w:rPr>
                <w:sz w:val="20"/>
                <w:szCs w:val="20"/>
                <w:color w:val="auto"/>
              </w:rPr>
            </w:pPr>
            <w:r>
              <w:rPr>
                <w:rFonts w:ascii="Arial" w:cs="Arial" w:eastAsia="Arial" w:hAnsi="Arial"/>
                <w:sz w:val="12"/>
                <w:szCs w:val="12"/>
                <w:color w:val="auto"/>
              </w:rPr>
              <w:t>$35.13</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7/31/2011</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20,000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360" w:type="dxa"/>
            <w:vAlign w:val="bottom"/>
            <w:shd w:val="clear" w:color="auto" w:fill="C0C0C0"/>
          </w:tcPr>
          <w:p>
            <w:pPr>
              <w:ind w:left="280"/>
              <w:spacing w:after="0"/>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0C0C0"/>
          </w:tcPr>
          <w:p>
            <w:pPr>
              <w:jc w:val="right"/>
              <w:ind w:right="100"/>
              <w:spacing w:after="0"/>
              <w:rPr>
                <w:sz w:val="20"/>
                <w:szCs w:val="20"/>
                <w:color w:val="auto"/>
              </w:rPr>
            </w:pPr>
            <w:r>
              <w:rPr>
                <w:rFonts w:ascii="Arial" w:cs="Arial" w:eastAsia="Arial" w:hAnsi="Arial"/>
                <w:sz w:val="12"/>
                <w:szCs w:val="12"/>
                <w:color w:val="auto"/>
                <w:w w:val="99"/>
              </w:rPr>
              <w:t>50.38</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1/17/2011</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24,000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360" w:type="dxa"/>
            <w:vAlign w:val="bottom"/>
            <w:shd w:val="clear" w:color="auto" w:fill="C0C0C0"/>
          </w:tcPr>
          <w:p>
            <w:pPr>
              <w:ind w:left="280"/>
              <w:spacing w:after="0"/>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0C0C0"/>
          </w:tcPr>
          <w:p>
            <w:pPr>
              <w:jc w:val="right"/>
              <w:ind w:right="100"/>
              <w:spacing w:after="0"/>
              <w:rPr>
                <w:sz w:val="20"/>
                <w:szCs w:val="20"/>
                <w:color w:val="auto"/>
              </w:rPr>
            </w:pPr>
            <w:r>
              <w:rPr>
                <w:rFonts w:ascii="Arial" w:cs="Arial" w:eastAsia="Arial" w:hAnsi="Arial"/>
                <w:sz w:val="12"/>
                <w:szCs w:val="12"/>
                <w:color w:val="auto"/>
                <w:w w:val="99"/>
              </w:rPr>
              <w:t>55.22</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1/19/2010</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15,000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360" w:type="dxa"/>
            <w:vAlign w:val="bottom"/>
            <w:shd w:val="clear" w:color="auto" w:fill="C0C0C0"/>
          </w:tcPr>
          <w:p>
            <w:pPr>
              <w:ind w:left="280"/>
              <w:spacing w:after="0"/>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0C0C0"/>
          </w:tcPr>
          <w:p>
            <w:pPr>
              <w:jc w:val="right"/>
              <w:ind w:right="100"/>
              <w:spacing w:after="0"/>
              <w:rPr>
                <w:sz w:val="20"/>
                <w:szCs w:val="20"/>
                <w:color w:val="auto"/>
              </w:rPr>
            </w:pPr>
            <w:r>
              <w:rPr>
                <w:rFonts w:ascii="Arial" w:cs="Arial" w:eastAsia="Arial" w:hAnsi="Arial"/>
                <w:sz w:val="12"/>
                <w:szCs w:val="12"/>
                <w:color w:val="auto"/>
                <w:w w:val="99"/>
              </w:rPr>
              <w:t>24.90</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1/20/2009</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360" w:type="dxa"/>
            <w:vAlign w:val="bottom"/>
            <w:shd w:val="clear" w:color="auto" w:fill="C0C0C0"/>
          </w:tcPr>
          <w:p>
            <w:pPr>
              <w:ind w:left="280"/>
              <w:spacing w:after="0"/>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0C0C0"/>
          </w:tcPr>
          <w:p>
            <w:pPr>
              <w:jc w:val="right"/>
              <w:ind w:right="100"/>
              <w:spacing w:after="0"/>
              <w:rPr>
                <w:sz w:val="20"/>
                <w:szCs w:val="20"/>
                <w:color w:val="auto"/>
              </w:rPr>
            </w:pPr>
            <w:r>
              <w:rPr>
                <w:rFonts w:ascii="Arial" w:cs="Arial" w:eastAsia="Arial" w:hAnsi="Arial"/>
                <w:sz w:val="12"/>
                <w:szCs w:val="12"/>
                <w:color w:val="auto"/>
                <w:w w:val="99"/>
              </w:rPr>
              <w:t>13.25</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9/17/2008</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48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108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2"/>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20"/>
                <w:szCs w:val="20"/>
                <w:color w:val="auto"/>
              </w:rPr>
            </w:pPr>
            <w:r>
              <w:rPr>
                <w:rFonts w:ascii="Arial" w:cs="Arial" w:eastAsia="Arial" w:hAnsi="Arial"/>
                <w:sz w:val="12"/>
                <w:szCs w:val="12"/>
                <w:color w:val="auto"/>
              </w:rPr>
              <w:t>T. J. Engibous</w:t>
            </w:r>
          </w:p>
        </w:tc>
        <w:tc>
          <w:tcPr>
            <w:tcW w:w="1140" w:type="dxa"/>
            <w:vAlign w:val="bottom"/>
            <w:gridSpan w:val="3"/>
            <w:shd w:val="clear" w:color="auto" w:fill="C0C0C0"/>
          </w:tcPr>
          <w:p>
            <w:pPr>
              <w:jc w:val="right"/>
              <w:ind w:right="200"/>
              <w:spacing w:after="0"/>
              <w:rPr>
                <w:sz w:val="20"/>
                <w:szCs w:val="20"/>
                <w:color w:val="auto"/>
              </w:rPr>
            </w:pPr>
            <w:r>
              <w:rPr>
                <w:rFonts w:ascii="Arial" w:cs="Arial" w:eastAsia="Arial" w:hAnsi="Arial"/>
                <w:sz w:val="12"/>
                <w:szCs w:val="12"/>
                <w:color w:val="auto"/>
              </w:rPr>
              <w:t>0</w:t>
            </w:r>
          </w:p>
        </w:tc>
        <w:tc>
          <w:tcPr>
            <w:tcW w:w="20" w:type="dxa"/>
            <w:vAlign w:val="bottom"/>
            <w:shd w:val="clear" w:color="auto" w:fill="C0C0C0"/>
          </w:tcPr>
          <w:p>
            <w:pPr>
              <w:spacing w:after="0"/>
              <w:rPr>
                <w:sz w:val="19"/>
                <w:szCs w:val="19"/>
                <w:color w:val="auto"/>
              </w:rPr>
            </w:pP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120,000</w:t>
            </w:r>
          </w:p>
        </w:tc>
        <w:tc>
          <w:tcPr>
            <w:tcW w:w="18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1"/>
              </w:rPr>
              <w:t>(2)</w:t>
            </w:r>
          </w:p>
        </w:tc>
        <w:tc>
          <w:tcPr>
            <w:tcW w:w="1060" w:type="dxa"/>
            <w:vAlign w:val="bottom"/>
            <w:gridSpan w:val="3"/>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$28.32</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1/18/2017</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940" w:type="dxa"/>
            <w:vAlign w:val="bottom"/>
            <w:gridSpan w:val="2"/>
            <w:shd w:val="clear" w:color="auto" w:fill="C0C0C0"/>
          </w:tcPr>
          <w:p>
            <w:pPr>
              <w:jc w:val="right"/>
              <w:ind w:right="200"/>
              <w:spacing w:after="0"/>
              <w:rPr>
                <w:sz w:val="20"/>
                <w:szCs w:val="20"/>
                <w:color w:val="auto"/>
              </w:rPr>
            </w:pPr>
            <w:r>
              <w:rPr>
                <w:rFonts w:ascii="Arial" w:cs="Arial" w:eastAsia="Arial" w:hAnsi="Arial"/>
                <w:sz w:val="12"/>
                <w:szCs w:val="12"/>
                <w:color w:val="auto"/>
              </w:rPr>
              <w:t>67,500</w:t>
            </w:r>
          </w:p>
        </w:tc>
        <w:tc>
          <w:tcPr>
            <w:tcW w:w="20" w:type="dxa"/>
            <w:vAlign w:val="bottom"/>
            <w:shd w:val="clear" w:color="auto" w:fill="C0C0C0"/>
          </w:tcPr>
          <w:p>
            <w:pPr>
              <w:spacing w:after="0"/>
              <w:rPr>
                <w:sz w:val="19"/>
                <w:szCs w:val="19"/>
                <w:color w:val="auto"/>
              </w:rPr>
            </w:pP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202,500</w:t>
            </w:r>
          </w:p>
        </w:tc>
        <w:tc>
          <w:tcPr>
            <w:tcW w:w="18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1"/>
              </w:rPr>
              <w:t>(3)</w:t>
            </w:r>
          </w:p>
        </w:tc>
        <w:tc>
          <w:tcPr>
            <w:tcW w:w="1060" w:type="dxa"/>
            <w:vAlign w:val="bottom"/>
            <w:gridSpan w:val="3"/>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$32.55</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1/19/2016</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135,000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135,000</w:t>
            </w:r>
          </w:p>
        </w:tc>
        <w:tc>
          <w:tcPr>
            <w:tcW w:w="18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1"/>
              </w:rPr>
              <w:t>(4)</w:t>
            </w:r>
          </w:p>
        </w:tc>
        <w:tc>
          <w:tcPr>
            <w:tcW w:w="1060" w:type="dxa"/>
            <w:vAlign w:val="bottom"/>
            <w:gridSpan w:val="3"/>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$21.55</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1/20/2015</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225,000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75,000</w:t>
            </w:r>
          </w:p>
        </w:tc>
        <w:tc>
          <w:tcPr>
            <w:tcW w:w="18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1"/>
              </w:rPr>
              <w:t>(5)</w:t>
            </w:r>
          </w:p>
        </w:tc>
        <w:tc>
          <w:tcPr>
            <w:tcW w:w="1060" w:type="dxa"/>
            <w:vAlign w:val="bottom"/>
            <w:gridSpan w:val="3"/>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$32.39</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1/14/2014</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250,000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1060" w:type="dxa"/>
            <w:vAlign w:val="bottom"/>
            <w:gridSpan w:val="3"/>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$16.25</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2/20/2013</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1,050,000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980" w:type="dxa"/>
            <w:vAlign w:val="bottom"/>
            <w:gridSpan w:val="2"/>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$16.11</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1/15/2013</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1,050,000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$26.50</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1/16/2012</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342,000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$31.30</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11/29/2011</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500,000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780" w:type="dxa"/>
            <w:vAlign w:val="bottom"/>
            <w:gridSpan w:val="3"/>
            <w:shd w:val="clear" w:color="auto" w:fill="C0C0C0"/>
          </w:tcPr>
          <w:p>
            <w:pPr>
              <w:jc w:val="right"/>
              <w:ind w:right="100"/>
              <w:spacing w:after="0"/>
              <w:rPr>
                <w:sz w:val="20"/>
                <w:szCs w:val="20"/>
                <w:color w:val="auto"/>
              </w:rPr>
            </w:pPr>
            <w:r>
              <w:rPr>
                <w:rFonts w:ascii="Arial" w:cs="Arial" w:eastAsia="Arial" w:hAnsi="Arial"/>
                <w:sz w:val="12"/>
                <w:szCs w:val="12"/>
                <w:color w:val="auto"/>
              </w:rPr>
              <w:t>$50.38</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1/17/2011</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700,000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360" w:type="dxa"/>
            <w:vAlign w:val="bottom"/>
            <w:shd w:val="clear" w:color="auto" w:fill="C0C0C0"/>
          </w:tcPr>
          <w:p>
            <w:pPr>
              <w:ind w:left="280"/>
              <w:spacing w:after="0"/>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0C0C0"/>
          </w:tcPr>
          <w:p>
            <w:pPr>
              <w:jc w:val="right"/>
              <w:ind w:right="100"/>
              <w:spacing w:after="0"/>
              <w:rPr>
                <w:sz w:val="20"/>
                <w:szCs w:val="20"/>
                <w:color w:val="auto"/>
              </w:rPr>
            </w:pPr>
            <w:r>
              <w:rPr>
                <w:rFonts w:ascii="Arial" w:cs="Arial" w:eastAsia="Arial" w:hAnsi="Arial"/>
                <w:sz w:val="12"/>
                <w:szCs w:val="12"/>
                <w:color w:val="auto"/>
                <w:w w:val="99"/>
              </w:rPr>
              <w:t>55.22</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1/19/2010</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1,000,000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360" w:type="dxa"/>
            <w:vAlign w:val="bottom"/>
            <w:shd w:val="clear" w:color="auto" w:fill="C0C0C0"/>
          </w:tcPr>
          <w:p>
            <w:pPr>
              <w:ind w:left="280"/>
              <w:spacing w:after="0"/>
              <w:rPr>
                <w:sz w:val="20"/>
                <w:szCs w:val="20"/>
                <w:color w:val="auto"/>
              </w:rPr>
            </w:pPr>
            <w:r>
              <w:rPr>
                <w:rFonts w:ascii="Arial" w:cs="Arial" w:eastAsia="Arial" w:hAnsi="Arial"/>
                <w:sz w:val="12"/>
                <w:szCs w:val="12"/>
                <w:color w:val="auto"/>
                <w:w w:val="89"/>
              </w:rPr>
              <w:t>$</w:t>
            </w:r>
          </w:p>
        </w:tc>
        <w:tc>
          <w:tcPr>
            <w:tcW w:w="420" w:type="dxa"/>
            <w:vAlign w:val="bottom"/>
            <w:gridSpan w:val="2"/>
            <w:shd w:val="clear" w:color="auto" w:fill="C0C0C0"/>
          </w:tcPr>
          <w:p>
            <w:pPr>
              <w:jc w:val="right"/>
              <w:ind w:right="100"/>
              <w:spacing w:after="0"/>
              <w:rPr>
                <w:sz w:val="20"/>
                <w:szCs w:val="20"/>
                <w:color w:val="auto"/>
              </w:rPr>
            </w:pPr>
            <w:r>
              <w:rPr>
                <w:rFonts w:ascii="Arial" w:cs="Arial" w:eastAsia="Arial" w:hAnsi="Arial"/>
                <w:sz w:val="12"/>
                <w:szCs w:val="12"/>
                <w:color w:val="auto"/>
                <w:w w:val="99"/>
              </w:rPr>
              <w:t>24.90</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1/20/2009</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3"/>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20"/>
                <w:szCs w:val="20"/>
                <w:color w:val="auto"/>
              </w:rPr>
            </w:pPr>
            <w:r>
              <w:rPr>
                <w:rFonts w:ascii="Arial" w:cs="Arial" w:eastAsia="Arial" w:hAnsi="Arial"/>
                <w:sz w:val="12"/>
                <w:szCs w:val="12"/>
                <w:color w:val="auto"/>
              </w:rPr>
              <w:t>G. A. Lowe</w:t>
            </w:r>
          </w:p>
        </w:tc>
        <w:tc>
          <w:tcPr>
            <w:tcW w:w="1140" w:type="dxa"/>
            <w:vAlign w:val="bottom"/>
            <w:gridSpan w:val="3"/>
            <w:shd w:val="clear" w:color="auto" w:fill="C0C0C0"/>
          </w:tcPr>
          <w:p>
            <w:pPr>
              <w:jc w:val="right"/>
              <w:ind w:right="200"/>
              <w:spacing w:after="0"/>
              <w:rPr>
                <w:sz w:val="20"/>
                <w:szCs w:val="20"/>
                <w:color w:val="auto"/>
              </w:rPr>
            </w:pPr>
            <w:r>
              <w:rPr>
                <w:rFonts w:ascii="Arial" w:cs="Arial" w:eastAsia="Arial" w:hAnsi="Arial"/>
                <w:sz w:val="12"/>
                <w:szCs w:val="12"/>
                <w:color w:val="auto"/>
              </w:rPr>
              <w:t>0</w:t>
            </w:r>
          </w:p>
        </w:tc>
        <w:tc>
          <w:tcPr>
            <w:tcW w:w="20" w:type="dxa"/>
            <w:vAlign w:val="bottom"/>
            <w:shd w:val="clear" w:color="auto" w:fill="C0C0C0"/>
          </w:tcPr>
          <w:p>
            <w:pPr>
              <w:spacing w:after="0"/>
              <w:rPr>
                <w:sz w:val="19"/>
                <w:szCs w:val="19"/>
                <w:color w:val="auto"/>
              </w:rPr>
            </w:pP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100,000</w:t>
            </w:r>
          </w:p>
        </w:tc>
        <w:tc>
          <w:tcPr>
            <w:tcW w:w="18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1"/>
              </w:rPr>
              <w:t>(2)</w:t>
            </w:r>
          </w:p>
        </w:tc>
        <w:tc>
          <w:tcPr>
            <w:tcW w:w="1060" w:type="dxa"/>
            <w:vAlign w:val="bottom"/>
            <w:gridSpan w:val="3"/>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$28.32</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1/18/2017</w:t>
            </w: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60,000</w:t>
            </w:r>
          </w:p>
        </w:tc>
        <w:tc>
          <w:tcPr>
            <w:tcW w:w="220" w:type="dxa"/>
            <w:vAlign w:val="bottom"/>
            <w:gridSpan w:val="2"/>
            <w:shd w:val="clear" w:color="auto" w:fill="C0C0C0"/>
          </w:tcPr>
          <w:p>
            <w:pPr>
              <w:spacing w:after="0"/>
              <w:rPr>
                <w:sz w:val="20"/>
                <w:szCs w:val="20"/>
                <w:color w:val="auto"/>
              </w:rPr>
            </w:pPr>
            <w:r>
              <w:rPr>
                <w:rFonts w:ascii="Arial" w:cs="Arial" w:eastAsia="Arial" w:hAnsi="Arial"/>
                <w:sz w:val="12"/>
                <w:szCs w:val="12"/>
                <w:color w:val="auto"/>
              </w:rPr>
              <w:t>(6)</w:t>
            </w:r>
          </w:p>
        </w:tc>
        <w:tc>
          <w:tcPr>
            <w:tcW w:w="920" w:type="dxa"/>
            <w:vAlign w:val="bottom"/>
            <w:gridSpan w:val="4"/>
            <w:shd w:val="clear" w:color="auto" w:fill="C0C0C0"/>
          </w:tcPr>
          <w:p>
            <w:pPr>
              <w:ind w:left="300"/>
              <w:spacing w:after="0"/>
              <w:rPr>
                <w:sz w:val="20"/>
                <w:szCs w:val="20"/>
                <w:color w:val="auto"/>
              </w:rPr>
            </w:pPr>
            <w:r>
              <w:rPr>
                <w:rFonts w:ascii="Arial" w:cs="Arial" w:eastAsia="Arial" w:hAnsi="Arial"/>
                <w:sz w:val="12"/>
                <w:szCs w:val="12"/>
                <w:color w:val="auto"/>
                <w:w w:val="99"/>
              </w:rPr>
              <w:t>$2,004,000</w:t>
            </w:r>
          </w:p>
        </w:tc>
        <w:tc>
          <w:tcPr>
            <w:tcW w:w="220" w:type="dxa"/>
            <w:vAlign w:val="bottom"/>
            <w:shd w:val="clear" w:color="auto" w:fill="C0C0C0"/>
          </w:tcPr>
          <w:p>
            <w:pPr>
              <w:spacing w:after="0"/>
              <w:rPr>
                <w:sz w:val="19"/>
                <w:szCs w:val="19"/>
                <w:color w:val="auto"/>
              </w:rPr>
            </w:pP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940" w:type="dxa"/>
            <w:vAlign w:val="bottom"/>
            <w:gridSpan w:val="2"/>
            <w:shd w:val="clear" w:color="auto" w:fill="C0C0C0"/>
          </w:tcPr>
          <w:p>
            <w:pPr>
              <w:jc w:val="right"/>
              <w:ind w:right="200"/>
              <w:spacing w:after="0"/>
              <w:rPr>
                <w:sz w:val="20"/>
                <w:szCs w:val="20"/>
                <w:color w:val="auto"/>
              </w:rPr>
            </w:pPr>
            <w:r>
              <w:rPr>
                <w:rFonts w:ascii="Arial" w:cs="Arial" w:eastAsia="Arial" w:hAnsi="Arial"/>
                <w:sz w:val="12"/>
                <w:szCs w:val="12"/>
                <w:color w:val="auto"/>
              </w:rPr>
              <w:t>25,000</w:t>
            </w:r>
          </w:p>
        </w:tc>
        <w:tc>
          <w:tcPr>
            <w:tcW w:w="20" w:type="dxa"/>
            <w:vAlign w:val="bottom"/>
            <w:shd w:val="clear" w:color="auto" w:fill="C0C0C0"/>
          </w:tcPr>
          <w:p>
            <w:pPr>
              <w:spacing w:after="0"/>
              <w:rPr>
                <w:sz w:val="19"/>
                <w:szCs w:val="19"/>
                <w:color w:val="auto"/>
              </w:rPr>
            </w:pP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75,000</w:t>
            </w:r>
          </w:p>
        </w:tc>
        <w:tc>
          <w:tcPr>
            <w:tcW w:w="18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1"/>
              </w:rPr>
              <w:t>(3)</w:t>
            </w:r>
          </w:p>
        </w:tc>
        <w:tc>
          <w:tcPr>
            <w:tcW w:w="1060" w:type="dxa"/>
            <w:vAlign w:val="bottom"/>
            <w:gridSpan w:val="3"/>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$32.55</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1/19/2016</w:t>
            </w: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50,000</w:t>
            </w:r>
          </w:p>
        </w:tc>
        <w:tc>
          <w:tcPr>
            <w:tcW w:w="220" w:type="dxa"/>
            <w:vAlign w:val="bottom"/>
            <w:gridSpan w:val="2"/>
            <w:shd w:val="clear" w:color="auto" w:fill="C0C0C0"/>
          </w:tcPr>
          <w:p>
            <w:pPr>
              <w:spacing w:after="0"/>
              <w:rPr>
                <w:sz w:val="20"/>
                <w:szCs w:val="20"/>
                <w:color w:val="auto"/>
              </w:rPr>
            </w:pPr>
            <w:r>
              <w:rPr>
                <w:rFonts w:ascii="Arial" w:cs="Arial" w:eastAsia="Arial" w:hAnsi="Arial"/>
                <w:sz w:val="12"/>
                <w:szCs w:val="12"/>
                <w:color w:val="auto"/>
              </w:rPr>
              <w:t>(7)</w:t>
            </w:r>
          </w:p>
        </w:tc>
        <w:tc>
          <w:tcPr>
            <w:tcW w:w="920" w:type="dxa"/>
            <w:vAlign w:val="bottom"/>
            <w:gridSpan w:val="4"/>
            <w:shd w:val="clear" w:color="auto" w:fill="C0C0C0"/>
          </w:tcPr>
          <w:p>
            <w:pPr>
              <w:ind w:left="300"/>
              <w:spacing w:after="0"/>
              <w:rPr>
                <w:sz w:val="20"/>
                <w:szCs w:val="20"/>
                <w:color w:val="auto"/>
              </w:rPr>
            </w:pPr>
            <w:r>
              <w:rPr>
                <w:rFonts w:ascii="Arial" w:cs="Arial" w:eastAsia="Arial" w:hAnsi="Arial"/>
                <w:sz w:val="12"/>
                <w:szCs w:val="12"/>
                <w:color w:val="auto"/>
                <w:w w:val="99"/>
              </w:rPr>
              <w:t>$1,670,000</w:t>
            </w:r>
          </w:p>
        </w:tc>
        <w:tc>
          <w:tcPr>
            <w:tcW w:w="220" w:type="dxa"/>
            <w:vAlign w:val="bottom"/>
            <w:shd w:val="clear" w:color="auto" w:fill="C0C0C0"/>
          </w:tcPr>
          <w:p>
            <w:pPr>
              <w:spacing w:after="0"/>
              <w:rPr>
                <w:sz w:val="19"/>
                <w:szCs w:val="19"/>
                <w:color w:val="auto"/>
              </w:rPr>
            </w:pP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50,000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50,000</w:t>
            </w:r>
          </w:p>
        </w:tc>
        <w:tc>
          <w:tcPr>
            <w:tcW w:w="18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1"/>
              </w:rPr>
              <w:t>(4)</w:t>
            </w:r>
          </w:p>
        </w:tc>
        <w:tc>
          <w:tcPr>
            <w:tcW w:w="1060" w:type="dxa"/>
            <w:vAlign w:val="bottom"/>
            <w:gridSpan w:val="3"/>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$21.55</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1/20/2015</w:t>
            </w: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50,000</w:t>
            </w:r>
          </w:p>
        </w:tc>
        <w:tc>
          <w:tcPr>
            <w:tcW w:w="220" w:type="dxa"/>
            <w:vAlign w:val="bottom"/>
            <w:gridSpan w:val="2"/>
            <w:shd w:val="clear" w:color="auto" w:fill="C0C0C0"/>
          </w:tcPr>
          <w:p>
            <w:pPr>
              <w:spacing w:after="0"/>
              <w:rPr>
                <w:sz w:val="20"/>
                <w:szCs w:val="20"/>
                <w:color w:val="auto"/>
              </w:rPr>
            </w:pPr>
            <w:r>
              <w:rPr>
                <w:rFonts w:ascii="Arial" w:cs="Arial" w:eastAsia="Arial" w:hAnsi="Arial"/>
                <w:sz w:val="12"/>
                <w:szCs w:val="12"/>
                <w:color w:val="auto"/>
              </w:rPr>
              <w:t>(8)</w:t>
            </w:r>
          </w:p>
        </w:tc>
        <w:tc>
          <w:tcPr>
            <w:tcW w:w="920" w:type="dxa"/>
            <w:vAlign w:val="bottom"/>
            <w:gridSpan w:val="4"/>
            <w:shd w:val="clear" w:color="auto" w:fill="C0C0C0"/>
          </w:tcPr>
          <w:p>
            <w:pPr>
              <w:ind w:left="300"/>
              <w:spacing w:after="0"/>
              <w:rPr>
                <w:sz w:val="20"/>
                <w:szCs w:val="20"/>
                <w:color w:val="auto"/>
              </w:rPr>
            </w:pPr>
            <w:r>
              <w:rPr>
                <w:rFonts w:ascii="Arial" w:cs="Arial" w:eastAsia="Arial" w:hAnsi="Arial"/>
                <w:sz w:val="12"/>
                <w:szCs w:val="12"/>
                <w:color w:val="auto"/>
                <w:w w:val="99"/>
              </w:rPr>
              <w:t>$1,670,000</w:t>
            </w:r>
          </w:p>
        </w:tc>
        <w:tc>
          <w:tcPr>
            <w:tcW w:w="220" w:type="dxa"/>
            <w:vAlign w:val="bottom"/>
            <w:shd w:val="clear" w:color="auto" w:fill="C0C0C0"/>
          </w:tcPr>
          <w:p>
            <w:pPr>
              <w:spacing w:after="0"/>
              <w:rPr>
                <w:sz w:val="19"/>
                <w:szCs w:val="19"/>
                <w:color w:val="auto"/>
              </w:rPr>
            </w:pP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112,500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7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37,500</w:t>
            </w:r>
          </w:p>
        </w:tc>
        <w:tc>
          <w:tcPr>
            <w:tcW w:w="18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1"/>
              </w:rPr>
              <w:t>(5)</w:t>
            </w:r>
          </w:p>
        </w:tc>
        <w:tc>
          <w:tcPr>
            <w:tcW w:w="1060" w:type="dxa"/>
            <w:vAlign w:val="bottom"/>
            <w:gridSpan w:val="3"/>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$32.39</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1/14/2014</w:t>
            </w: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30,000</w:t>
            </w:r>
          </w:p>
        </w:tc>
        <w:tc>
          <w:tcPr>
            <w:tcW w:w="220" w:type="dxa"/>
            <w:vAlign w:val="bottom"/>
            <w:gridSpan w:val="2"/>
            <w:shd w:val="clear" w:color="auto" w:fill="C0C0C0"/>
          </w:tcPr>
          <w:p>
            <w:pPr>
              <w:spacing w:after="0"/>
              <w:rPr>
                <w:sz w:val="20"/>
                <w:szCs w:val="20"/>
                <w:color w:val="auto"/>
              </w:rPr>
            </w:pPr>
            <w:r>
              <w:rPr>
                <w:rFonts w:ascii="Arial" w:cs="Arial" w:eastAsia="Arial" w:hAnsi="Arial"/>
                <w:sz w:val="12"/>
                <w:szCs w:val="12"/>
                <w:color w:val="auto"/>
              </w:rPr>
              <w:t>(9)</w:t>
            </w:r>
          </w:p>
        </w:tc>
        <w:tc>
          <w:tcPr>
            <w:tcW w:w="920" w:type="dxa"/>
            <w:vAlign w:val="bottom"/>
            <w:gridSpan w:val="4"/>
            <w:shd w:val="clear" w:color="auto" w:fill="C0C0C0"/>
          </w:tcPr>
          <w:p>
            <w:pPr>
              <w:ind w:left="300"/>
              <w:spacing w:after="0"/>
              <w:rPr>
                <w:sz w:val="20"/>
                <w:szCs w:val="20"/>
                <w:color w:val="auto"/>
              </w:rPr>
            </w:pPr>
            <w:r>
              <w:rPr>
                <w:rFonts w:ascii="Arial" w:cs="Arial" w:eastAsia="Arial" w:hAnsi="Arial"/>
                <w:sz w:val="12"/>
                <w:szCs w:val="12"/>
                <w:color w:val="auto"/>
                <w:w w:val="99"/>
              </w:rPr>
              <w:t>$1,002,000</w:t>
            </w:r>
          </w:p>
        </w:tc>
        <w:tc>
          <w:tcPr>
            <w:tcW w:w="220" w:type="dxa"/>
            <w:vAlign w:val="bottom"/>
            <w:shd w:val="clear" w:color="auto" w:fill="C0C0C0"/>
          </w:tcPr>
          <w:p>
            <w:pPr>
              <w:spacing w:after="0"/>
              <w:rPr>
                <w:sz w:val="19"/>
                <w:szCs w:val="19"/>
                <w:color w:val="auto"/>
              </w:rPr>
            </w:pP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1060" w:type="dxa"/>
            <w:vAlign w:val="bottom"/>
            <w:gridSpan w:val="3"/>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0</w:t>
            </w:r>
          </w:p>
        </w:tc>
        <w:tc>
          <w:tcPr>
            <w:tcW w:w="80" w:type="dxa"/>
            <w:vAlign w:val="bottom"/>
            <w:shd w:val="clear" w:color="auto" w:fill="C0C0C0"/>
          </w:tcPr>
          <w:p>
            <w:pPr>
              <w:spacing w:after="0"/>
              <w:rPr>
                <w:sz w:val="19"/>
                <w:szCs w:val="19"/>
                <w:color w:val="auto"/>
              </w:rPr>
            </w:pPr>
          </w:p>
        </w:tc>
        <w:tc>
          <w:tcPr>
            <w:tcW w:w="6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82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100,000</w:t>
            </w:r>
          </w:p>
        </w:tc>
        <w:tc>
          <w:tcPr>
            <w:tcW w:w="220" w:type="dxa"/>
            <w:vAlign w:val="bottom"/>
            <w:gridSpan w:val="2"/>
            <w:shd w:val="clear" w:color="auto" w:fill="C0C0C0"/>
          </w:tcPr>
          <w:p>
            <w:pPr>
              <w:spacing w:after="0"/>
              <w:rPr>
                <w:sz w:val="20"/>
                <w:szCs w:val="20"/>
                <w:color w:val="auto"/>
              </w:rPr>
            </w:pPr>
            <w:r>
              <w:rPr>
                <w:rFonts w:ascii="Arial" w:cs="Arial" w:eastAsia="Arial" w:hAnsi="Arial"/>
                <w:sz w:val="12"/>
                <w:szCs w:val="12"/>
                <w:color w:val="auto"/>
                <w:w w:val="93"/>
              </w:rPr>
              <w:t>(10)</w:t>
            </w:r>
          </w:p>
        </w:tc>
        <w:tc>
          <w:tcPr>
            <w:tcW w:w="920" w:type="dxa"/>
            <w:vAlign w:val="bottom"/>
            <w:gridSpan w:val="4"/>
            <w:shd w:val="clear" w:color="auto" w:fill="C0C0C0"/>
          </w:tcPr>
          <w:p>
            <w:pPr>
              <w:ind w:left="300"/>
              <w:spacing w:after="0"/>
              <w:rPr>
                <w:sz w:val="20"/>
                <w:szCs w:val="20"/>
                <w:color w:val="auto"/>
              </w:rPr>
            </w:pPr>
            <w:r>
              <w:rPr>
                <w:rFonts w:ascii="Arial" w:cs="Arial" w:eastAsia="Arial" w:hAnsi="Arial"/>
                <w:sz w:val="12"/>
                <w:szCs w:val="12"/>
                <w:color w:val="auto"/>
                <w:w w:val="99"/>
              </w:rPr>
              <w:t>$3,340,000</w:t>
            </w:r>
          </w:p>
        </w:tc>
        <w:tc>
          <w:tcPr>
            <w:tcW w:w="220" w:type="dxa"/>
            <w:vAlign w:val="bottom"/>
            <w:shd w:val="clear" w:color="auto" w:fill="C0C0C0"/>
          </w:tcPr>
          <w:p>
            <w:pPr>
              <w:spacing w:after="0"/>
              <w:rPr>
                <w:sz w:val="19"/>
                <w:szCs w:val="19"/>
                <w:color w:val="auto"/>
              </w:rPr>
            </w:pP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125,000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980" w:type="dxa"/>
            <w:vAlign w:val="bottom"/>
            <w:gridSpan w:val="2"/>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$26.50</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1/16/2012</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70,000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$31.30</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11/29/2011</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60,000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$50.38</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1/17/2011</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80,000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spacing w:after="0"/>
              <w:rPr>
                <w:sz w:val="19"/>
                <w:szCs w:val="19"/>
                <w:color w:val="auto"/>
              </w:rPr>
            </w:pPr>
          </w:p>
        </w:tc>
        <w:tc>
          <w:tcPr>
            <w:tcW w:w="860" w:type="dxa"/>
            <w:vAlign w:val="bottom"/>
            <w:gridSpan w:val="4"/>
            <w:shd w:val="clear" w:color="auto" w:fill="C0C0C0"/>
          </w:tcPr>
          <w:p>
            <w:pPr>
              <w:jc w:val="right"/>
              <w:ind w:right="100"/>
              <w:spacing w:after="0"/>
              <w:rPr>
                <w:sz w:val="20"/>
                <w:szCs w:val="20"/>
                <w:color w:val="auto"/>
              </w:rPr>
            </w:pPr>
            <w:r>
              <w:rPr>
                <w:rFonts w:ascii="Arial" w:cs="Arial" w:eastAsia="Arial" w:hAnsi="Arial"/>
                <w:sz w:val="12"/>
                <w:szCs w:val="12"/>
                <w:color w:val="auto"/>
              </w:rPr>
              <w:t>$55.22</w:t>
            </w:r>
          </w:p>
        </w:tc>
        <w:tc>
          <w:tcPr>
            <w:tcW w:w="880" w:type="dxa"/>
            <w:vAlign w:val="bottom"/>
            <w:gridSpan w:val="3"/>
            <w:shd w:val="clear" w:color="auto" w:fill="C0C0C0"/>
          </w:tcPr>
          <w:p>
            <w:pPr>
              <w:jc w:val="right"/>
              <w:spacing w:after="0"/>
              <w:rPr>
                <w:sz w:val="20"/>
                <w:szCs w:val="20"/>
                <w:color w:val="auto"/>
              </w:rPr>
            </w:pPr>
            <w:r>
              <w:rPr>
                <w:rFonts w:ascii="Arial" w:cs="Arial" w:eastAsia="Arial" w:hAnsi="Arial"/>
                <w:sz w:val="12"/>
                <w:szCs w:val="12"/>
                <w:color w:val="auto"/>
              </w:rPr>
              <w:t>1/19/2010</w:t>
            </w:r>
          </w:p>
        </w:tc>
        <w:tc>
          <w:tcPr>
            <w:tcW w:w="8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0</w:t>
            </w: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612"/>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3"/>
          </w:tcPr>
          <w:p>
            <w:pPr>
              <w:ind w:left="360"/>
              <w:spacing w:after="0"/>
              <w:rPr>
                <w:sz w:val="20"/>
                <w:szCs w:val="20"/>
                <w:color w:val="auto"/>
              </w:rPr>
            </w:pPr>
            <w:r>
              <w:rPr>
                <w:rFonts w:ascii="Arial" w:cs="Arial" w:eastAsia="Arial" w:hAnsi="Arial"/>
                <w:sz w:val="16"/>
                <w:szCs w:val="16"/>
                <w:color w:val="auto"/>
              </w:rPr>
              <w:t>34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204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420" w:type="dxa"/>
            <w:vAlign w:val="bottom"/>
            <w:tcBorders>
              <w:bottom w:val="single" w:sz="8" w:color="808080"/>
            </w:tcBorders>
            <w:gridSpan w:val="3"/>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gridSpan w:val="2"/>
          </w:tcPr>
          <w:p>
            <w:pPr>
              <w:spacing w:after="0"/>
              <w:rPr>
                <w:sz w:val="16"/>
                <w:szCs w:val="16"/>
                <w:color w:val="auto"/>
              </w:rPr>
            </w:pPr>
          </w:p>
        </w:tc>
        <w:tc>
          <w:tcPr>
            <w:tcW w:w="640" w:type="dxa"/>
            <w:vAlign w:val="bottom"/>
            <w:tcBorders>
              <w:bottom w:val="single" w:sz="8" w:color="808080"/>
            </w:tcBorders>
            <w:gridSpan w:val="2"/>
          </w:tcPr>
          <w:p>
            <w:pPr>
              <w:spacing w:after="0"/>
              <w:rPr>
                <w:sz w:val="16"/>
                <w:szCs w:val="16"/>
                <w:color w:val="auto"/>
              </w:rPr>
            </w:pPr>
          </w:p>
        </w:tc>
        <w:tc>
          <w:tcPr>
            <w:tcW w:w="220" w:type="dxa"/>
            <w:vAlign w:val="bottom"/>
            <w:tcBorders>
              <w:bottom w:val="single" w:sz="8" w:color="808080"/>
            </w:tcBorders>
            <w:gridSpan w:val="2"/>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200" w:type="dxa"/>
            <w:vAlign w:val="bottom"/>
            <w:tcBorders>
              <w:bottom w:val="single" w:sz="8" w:color="808080"/>
            </w:tcBorders>
            <w:gridSpan w:val="2"/>
          </w:tcPr>
          <w:p>
            <w:pPr>
              <w:spacing w:after="0"/>
              <w:rPr>
                <w:sz w:val="16"/>
                <w:szCs w:val="16"/>
                <w:color w:val="auto"/>
              </w:rPr>
            </w:pPr>
          </w:p>
        </w:tc>
        <w:tc>
          <w:tcPr>
            <w:tcW w:w="840" w:type="dxa"/>
            <w:vAlign w:val="bottom"/>
            <w:tcBorders>
              <w:bottom w:val="single" w:sz="8" w:color="808080"/>
            </w:tcBorders>
            <w:gridSpan w:val="3"/>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108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94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r>
      <w:tr>
        <w:trPr>
          <w:trHeight w:val="387"/>
        </w:trPr>
        <w:tc>
          <w:tcPr>
            <w:tcW w:w="2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gridSpan w:val="19"/>
          </w:tcPr>
          <w:p>
            <w:pPr>
              <w:ind w:left="200"/>
              <w:spacing w:after="0"/>
              <w:rPr>
                <w:sz w:val="20"/>
                <w:szCs w:val="20"/>
                <w:color w:val="auto"/>
              </w:rPr>
            </w:pPr>
            <w:r>
              <w:rPr>
                <w:rFonts w:ascii="Arial" w:cs="Arial" w:eastAsia="Arial" w:hAnsi="Arial"/>
                <w:sz w:val="16"/>
                <w:szCs w:val="16"/>
                <w:b w:val="1"/>
                <w:bCs w:val="1"/>
                <w:color w:val="auto"/>
                <w:w w:val="99"/>
              </w:rPr>
              <w:t>Outstanding Equity Awards at Fiscal Year-End 2007 (Cont’d.)</w:t>
            </w: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7"/>
        </w:trPr>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4"/>
          </w:tcPr>
          <w:p>
            <w:pPr>
              <w:ind w:left="40"/>
              <w:spacing w:after="0"/>
              <w:rPr>
                <w:sz w:val="20"/>
                <w:szCs w:val="20"/>
                <w:color w:val="auto"/>
              </w:rPr>
            </w:pPr>
            <w:r>
              <w:rPr>
                <w:rFonts w:ascii="Arial" w:cs="Arial" w:eastAsia="Arial" w:hAnsi="Arial"/>
                <w:sz w:val="12"/>
                <w:szCs w:val="12"/>
                <w:b w:val="1"/>
                <w:bCs w:val="1"/>
                <w:color w:val="auto"/>
              </w:rPr>
              <w:t>Option Awards</w:t>
            </w:r>
          </w:p>
        </w:tc>
        <w:tc>
          <w:tcPr>
            <w:tcW w:w="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ind w:left="380"/>
              <w:spacing w:after="0"/>
              <w:rPr>
                <w:sz w:val="20"/>
                <w:szCs w:val="20"/>
                <w:color w:val="auto"/>
              </w:rPr>
            </w:pPr>
            <w:r>
              <w:rPr>
                <w:rFonts w:ascii="Arial" w:cs="Arial" w:eastAsia="Arial" w:hAnsi="Arial"/>
                <w:sz w:val="12"/>
                <w:szCs w:val="12"/>
                <w:b w:val="1"/>
                <w:bCs w:val="1"/>
                <w:color w:val="auto"/>
              </w:rPr>
              <w:t>Stock Awards</w:t>
            </w:r>
          </w:p>
        </w:tc>
        <w:tc>
          <w:tcPr>
            <w:tcW w:w="9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24"/>
        </w:trPr>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Equity</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8"/>
              </w:rPr>
              <w:t>Equity</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Equity</w:t>
            </w:r>
          </w:p>
        </w:tc>
        <w:tc>
          <w:tcPr>
            <w:tcW w:w="40" w:type="dxa"/>
            <w:vAlign w:val="bottom"/>
          </w:tcPr>
          <w:p>
            <w:pPr>
              <w:spacing w:after="0"/>
              <w:rPr>
                <w:sz w:val="19"/>
                <w:szCs w:val="19"/>
                <w:color w:val="auto"/>
              </w:rPr>
            </w:pPr>
          </w:p>
        </w:tc>
      </w:tr>
      <w:tr>
        <w:trPr>
          <w:trHeight w:val="221"/>
        </w:trPr>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Incentive</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rPr>
              <w:t>Market</w:t>
            </w:r>
          </w:p>
        </w:tc>
        <w:tc>
          <w:tcPr>
            <w:tcW w:w="13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Incentive</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Incentive Plan</w:t>
            </w:r>
          </w:p>
        </w:tc>
        <w:tc>
          <w:tcPr>
            <w:tcW w:w="40" w:type="dxa"/>
            <w:vAlign w:val="bottom"/>
          </w:tcPr>
          <w:p>
            <w:pPr>
              <w:spacing w:after="0"/>
              <w:rPr>
                <w:sz w:val="19"/>
                <w:szCs w:val="19"/>
                <w:color w:val="auto"/>
              </w:rPr>
            </w:pPr>
          </w:p>
        </w:tc>
      </w:tr>
      <w:tr>
        <w:trPr>
          <w:trHeight w:val="221"/>
        </w:trPr>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rPr>
              <w:t>Number of</w:t>
            </w:r>
          </w:p>
        </w:tc>
        <w:tc>
          <w:tcPr>
            <w:tcW w:w="880" w:type="dxa"/>
            <w:vAlign w:val="bottom"/>
            <w:gridSpan w:val="3"/>
          </w:tcPr>
          <w:p>
            <w:pPr>
              <w:jc w:val="center"/>
              <w:spacing w:after="0"/>
              <w:rPr>
                <w:sz w:val="20"/>
                <w:szCs w:val="20"/>
                <w:color w:val="auto"/>
              </w:rPr>
            </w:pPr>
            <w:r>
              <w:rPr>
                <w:rFonts w:ascii="Arial" w:cs="Arial" w:eastAsia="Arial" w:hAnsi="Arial"/>
                <w:sz w:val="12"/>
                <w:szCs w:val="12"/>
                <w:b w:val="1"/>
                <w:bCs w:val="1"/>
                <w:color w:val="auto"/>
                <w:w w:val="99"/>
              </w:rPr>
              <w:t>Number of</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Plan Awards: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rPr>
              <w:t>Value of</w:t>
            </w:r>
          </w:p>
        </w:tc>
        <w:tc>
          <w:tcPr>
            <w:tcW w:w="13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Plan Awards:</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Awards: Market</w:t>
            </w:r>
          </w:p>
        </w:tc>
        <w:tc>
          <w:tcPr>
            <w:tcW w:w="40" w:type="dxa"/>
            <w:vAlign w:val="bottom"/>
          </w:tcPr>
          <w:p>
            <w:pPr>
              <w:spacing w:after="0"/>
              <w:rPr>
                <w:sz w:val="19"/>
                <w:szCs w:val="19"/>
                <w:color w:val="auto"/>
              </w:rPr>
            </w:pPr>
          </w:p>
        </w:tc>
      </w:tr>
      <w:tr>
        <w:trPr>
          <w:trHeight w:val="221"/>
        </w:trPr>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rPr>
              <w:t>Securities</w:t>
            </w:r>
          </w:p>
        </w:tc>
        <w:tc>
          <w:tcPr>
            <w:tcW w:w="880" w:type="dxa"/>
            <w:vAlign w:val="bottom"/>
            <w:gridSpan w:val="3"/>
          </w:tcPr>
          <w:p>
            <w:pPr>
              <w:jc w:val="center"/>
              <w:spacing w:after="0"/>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Number of</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center"/>
              <w:ind w:left="99"/>
              <w:spacing w:after="0"/>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rPr>
              <w:t>Shares or</w:t>
            </w:r>
          </w:p>
        </w:tc>
        <w:tc>
          <w:tcPr>
            <w:tcW w:w="13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Number of</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or Payout Value</w:t>
            </w:r>
          </w:p>
        </w:tc>
        <w:tc>
          <w:tcPr>
            <w:tcW w:w="40" w:type="dxa"/>
            <w:vAlign w:val="bottom"/>
          </w:tcPr>
          <w:p>
            <w:pPr>
              <w:spacing w:after="0"/>
              <w:rPr>
                <w:sz w:val="19"/>
                <w:szCs w:val="19"/>
                <w:color w:val="auto"/>
              </w:rPr>
            </w:pPr>
          </w:p>
        </w:tc>
      </w:tr>
      <w:tr>
        <w:trPr>
          <w:trHeight w:val="221"/>
        </w:trPr>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rPr>
              <w:t>Underlying</w:t>
            </w:r>
          </w:p>
        </w:tc>
        <w:tc>
          <w:tcPr>
            <w:tcW w:w="880" w:type="dxa"/>
            <w:vAlign w:val="bottom"/>
            <w:gridSpan w:val="3"/>
          </w:tcPr>
          <w:p>
            <w:pPr>
              <w:jc w:val="center"/>
              <w:spacing w:after="0"/>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center"/>
              <w:ind w:left="79"/>
              <w:spacing w:after="0"/>
              <w:rPr>
                <w:sz w:val="20"/>
                <w:szCs w:val="20"/>
                <w:color w:val="auto"/>
              </w:rPr>
            </w:pPr>
            <w:r>
              <w:rPr>
                <w:rFonts w:ascii="Arial" w:cs="Arial" w:eastAsia="Arial" w:hAnsi="Arial"/>
                <w:sz w:val="12"/>
                <w:szCs w:val="12"/>
                <w:b w:val="1"/>
                <w:bCs w:val="1"/>
                <w:color w:val="auto"/>
              </w:rPr>
              <w:t>of Shares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4"/>
          </w:tcPr>
          <w:p>
            <w:pPr>
              <w:jc w:val="center"/>
              <w:ind w:right="220"/>
              <w:spacing w:after="0"/>
              <w:rPr>
                <w:sz w:val="20"/>
                <w:szCs w:val="20"/>
                <w:color w:val="auto"/>
              </w:rPr>
            </w:pPr>
            <w:r>
              <w:rPr>
                <w:rFonts w:ascii="Arial" w:cs="Arial" w:eastAsia="Arial" w:hAnsi="Arial"/>
                <w:sz w:val="12"/>
                <w:szCs w:val="12"/>
                <w:b w:val="1"/>
                <w:bCs w:val="1"/>
                <w:color w:val="auto"/>
                <w:w w:val="98"/>
              </w:rPr>
              <w:t>Units of</w:t>
            </w:r>
          </w:p>
        </w:tc>
        <w:tc>
          <w:tcPr>
            <w:tcW w:w="130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Unearned</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9"/>
              </w:rPr>
              <w:t>of Unearned</w:t>
            </w:r>
          </w:p>
        </w:tc>
        <w:tc>
          <w:tcPr>
            <w:tcW w:w="40" w:type="dxa"/>
            <w:vAlign w:val="bottom"/>
          </w:tcPr>
          <w:p>
            <w:pPr>
              <w:spacing w:after="0"/>
              <w:rPr>
                <w:sz w:val="19"/>
                <w:szCs w:val="19"/>
                <w:color w:val="auto"/>
              </w:rPr>
            </w:pPr>
          </w:p>
        </w:tc>
      </w:tr>
      <w:tr>
        <w:trPr>
          <w:trHeight w:val="221"/>
        </w:trPr>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rPr>
              <w:t>Unexercised</w:t>
            </w:r>
          </w:p>
        </w:tc>
        <w:tc>
          <w:tcPr>
            <w:tcW w:w="880" w:type="dxa"/>
            <w:vAlign w:val="bottom"/>
            <w:gridSpan w:val="3"/>
          </w:tcPr>
          <w:p>
            <w:pPr>
              <w:jc w:val="center"/>
              <w:spacing w:after="0"/>
              <w:rPr>
                <w:sz w:val="20"/>
                <w:szCs w:val="20"/>
                <w:color w:val="auto"/>
              </w:rPr>
            </w:pPr>
            <w:r>
              <w:rPr>
                <w:rFonts w:ascii="Arial" w:cs="Arial" w:eastAsia="Arial" w:hAnsi="Arial"/>
                <w:sz w:val="12"/>
                <w:szCs w:val="12"/>
                <w:b w:val="1"/>
                <w:bCs w:val="1"/>
                <w:color w:val="auto"/>
              </w:rPr>
              <w:t>Unexercised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ind w:left="120"/>
              <w:spacing w:after="0"/>
              <w:rPr>
                <w:sz w:val="20"/>
                <w:szCs w:val="20"/>
                <w:color w:val="auto"/>
              </w:rPr>
            </w:pPr>
            <w:r>
              <w:rPr>
                <w:rFonts w:ascii="Arial" w:cs="Arial" w:eastAsia="Arial" w:hAnsi="Arial"/>
                <w:sz w:val="12"/>
                <w:szCs w:val="12"/>
                <w:b w:val="1"/>
                <w:bCs w:val="1"/>
                <w:color w:val="auto"/>
                <w:w w:val="99"/>
              </w:rPr>
              <w:t>or Units of</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4"/>
          </w:tcPr>
          <w:p>
            <w:pPr>
              <w:jc w:val="center"/>
              <w:ind w:right="280"/>
              <w:spacing w:after="0"/>
              <w:rPr>
                <w:sz w:val="20"/>
                <w:szCs w:val="20"/>
                <w:color w:val="auto"/>
              </w:rPr>
            </w:pPr>
            <w:r>
              <w:rPr>
                <w:rFonts w:ascii="Arial" w:cs="Arial" w:eastAsia="Arial" w:hAnsi="Arial"/>
                <w:sz w:val="12"/>
                <w:szCs w:val="12"/>
                <w:b w:val="1"/>
                <w:bCs w:val="1"/>
                <w:color w:val="auto"/>
              </w:rPr>
              <w:t>Stock That</w:t>
            </w:r>
          </w:p>
        </w:tc>
        <w:tc>
          <w:tcPr>
            <w:tcW w:w="13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Shares, Units</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Shares, Units</w:t>
            </w:r>
          </w:p>
        </w:tc>
        <w:tc>
          <w:tcPr>
            <w:tcW w:w="40" w:type="dxa"/>
            <w:vAlign w:val="bottom"/>
          </w:tcPr>
          <w:p>
            <w:pPr>
              <w:spacing w:after="0"/>
              <w:rPr>
                <w:sz w:val="19"/>
                <w:szCs w:val="19"/>
                <w:color w:val="auto"/>
              </w:rPr>
            </w:pPr>
          </w:p>
        </w:tc>
      </w:tr>
      <w:tr>
        <w:trPr>
          <w:trHeight w:val="221"/>
        </w:trPr>
        <w:tc>
          <w:tcPr>
            <w:tcW w:w="2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2"/>
                <w:szCs w:val="12"/>
                <w:b w:val="1"/>
                <w:bCs w:val="1"/>
                <w:color w:val="auto"/>
              </w:rPr>
              <w:t>Options</w:t>
            </w:r>
          </w:p>
        </w:tc>
        <w:tc>
          <w:tcPr>
            <w:tcW w:w="700" w:type="dxa"/>
            <w:vAlign w:val="bottom"/>
            <w:gridSpan w:val="2"/>
          </w:tcPr>
          <w:p>
            <w:pPr>
              <w:jc w:val="center"/>
              <w:ind w:left="178"/>
              <w:spacing w:after="0"/>
              <w:rPr>
                <w:sz w:val="20"/>
                <w:szCs w:val="20"/>
                <w:color w:val="auto"/>
              </w:rPr>
            </w:pPr>
            <w:r>
              <w:rPr>
                <w:rFonts w:ascii="Arial" w:cs="Arial" w:eastAsia="Arial" w:hAnsi="Arial"/>
                <w:sz w:val="12"/>
                <w:szCs w:val="12"/>
                <w:b w:val="1"/>
                <w:bCs w:val="1"/>
                <w:color w:val="auto"/>
              </w:rPr>
              <w:t>Options</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rPr>
              <w:t>Unexercised</w:t>
            </w:r>
          </w:p>
        </w:tc>
        <w:tc>
          <w:tcPr>
            <w:tcW w:w="80" w:type="dxa"/>
            <w:vAlign w:val="bottom"/>
          </w:tcPr>
          <w:p>
            <w:pPr>
              <w:spacing w:after="0"/>
              <w:rPr>
                <w:sz w:val="19"/>
                <w:szCs w:val="19"/>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rPr>
              <w:t>Option</w:t>
            </w:r>
          </w:p>
        </w:tc>
        <w:tc>
          <w:tcPr>
            <w:tcW w:w="8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rPr>
              <w:t>Option</w:t>
            </w:r>
          </w:p>
        </w:tc>
        <w:tc>
          <w:tcPr>
            <w:tcW w:w="80" w:type="dxa"/>
            <w:vAlign w:val="bottom"/>
          </w:tcPr>
          <w:p>
            <w:pPr>
              <w:spacing w:after="0"/>
              <w:rPr>
                <w:sz w:val="19"/>
                <w:szCs w:val="19"/>
                <w:color w:val="auto"/>
              </w:rPr>
            </w:pP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rPr>
              <w:t>Stock That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4"/>
          </w:tcPr>
          <w:p>
            <w:pPr>
              <w:jc w:val="center"/>
              <w:ind w:right="280"/>
              <w:spacing w:after="0"/>
              <w:rPr>
                <w:sz w:val="20"/>
                <w:szCs w:val="20"/>
                <w:color w:val="auto"/>
              </w:rPr>
            </w:pPr>
            <w:r>
              <w:rPr>
                <w:rFonts w:ascii="Arial" w:cs="Arial" w:eastAsia="Arial" w:hAnsi="Arial"/>
                <w:sz w:val="12"/>
                <w:szCs w:val="12"/>
                <w:b w:val="1"/>
                <w:bCs w:val="1"/>
                <w:color w:val="auto"/>
              </w:rPr>
              <w:t>Have Not</w:t>
            </w:r>
          </w:p>
        </w:tc>
        <w:tc>
          <w:tcPr>
            <w:tcW w:w="13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or Other Rights</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or Other Rights</w:t>
            </w:r>
          </w:p>
        </w:tc>
        <w:tc>
          <w:tcPr>
            <w:tcW w:w="40" w:type="dxa"/>
            <w:vAlign w:val="bottom"/>
          </w:tcPr>
          <w:p>
            <w:pPr>
              <w:spacing w:after="0"/>
              <w:rPr>
                <w:sz w:val="19"/>
                <w:szCs w:val="19"/>
                <w:color w:val="auto"/>
              </w:rPr>
            </w:pPr>
          </w:p>
        </w:tc>
      </w:tr>
      <w:tr>
        <w:trPr>
          <w:trHeight w:val="221"/>
        </w:trPr>
        <w:tc>
          <w:tcPr>
            <w:tcW w:w="2040" w:type="dxa"/>
            <w:vAlign w:val="bottom"/>
          </w:tcPr>
          <w:p>
            <w:pPr>
              <w:spacing w:after="0"/>
              <w:rPr>
                <w:sz w:val="19"/>
                <w:szCs w:val="19"/>
                <w:color w:val="auto"/>
              </w:rPr>
            </w:pPr>
          </w:p>
        </w:tc>
        <w:tc>
          <w:tcPr>
            <w:tcW w:w="940" w:type="dxa"/>
            <w:vAlign w:val="bottom"/>
            <w:gridSpan w:val="2"/>
          </w:tcPr>
          <w:p>
            <w:pPr>
              <w:jc w:val="center"/>
              <w:ind w:left="139"/>
              <w:spacing w:after="0"/>
              <w:rPr>
                <w:sz w:val="20"/>
                <w:szCs w:val="20"/>
                <w:color w:val="auto"/>
              </w:rPr>
            </w:pPr>
            <w:r>
              <w:rPr>
                <w:rFonts w:ascii="Arial" w:cs="Arial" w:eastAsia="Arial" w:hAnsi="Arial"/>
                <w:sz w:val="12"/>
                <w:szCs w:val="12"/>
                <w:b w:val="1"/>
                <w:bCs w:val="1"/>
                <w:color w:val="auto"/>
                <w:w w:val="95"/>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jc w:val="center"/>
              <w:ind w:left="318"/>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rPr>
              <w:t>Unearned</w:t>
            </w:r>
          </w:p>
        </w:tc>
        <w:tc>
          <w:tcPr>
            <w:tcW w:w="80" w:type="dxa"/>
            <w:vAlign w:val="bottom"/>
          </w:tcPr>
          <w:p>
            <w:pPr>
              <w:spacing w:after="0"/>
              <w:rPr>
                <w:sz w:val="19"/>
                <w:szCs w:val="19"/>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rPr>
              <w:t>Exercise</w:t>
            </w:r>
          </w:p>
        </w:tc>
        <w:tc>
          <w:tcPr>
            <w:tcW w:w="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9"/>
                <w:szCs w:val="19"/>
                <w:color w:val="auto"/>
              </w:rPr>
            </w:pPr>
          </w:p>
        </w:tc>
        <w:tc>
          <w:tcPr>
            <w:tcW w:w="740" w:type="dxa"/>
            <w:vAlign w:val="bottom"/>
            <w:gridSpan w:val="2"/>
          </w:tcPr>
          <w:p>
            <w:pPr>
              <w:jc w:val="center"/>
              <w:ind w:left="99"/>
              <w:spacing w:after="0"/>
              <w:rPr>
                <w:sz w:val="20"/>
                <w:szCs w:val="20"/>
                <w:color w:val="auto"/>
              </w:rPr>
            </w:pPr>
            <w:r>
              <w:rPr>
                <w:rFonts w:ascii="Arial" w:cs="Arial" w:eastAsia="Arial" w:hAnsi="Arial"/>
                <w:sz w:val="12"/>
                <w:szCs w:val="12"/>
                <w:b w:val="1"/>
                <w:bCs w:val="1"/>
                <w:color w:val="auto"/>
              </w:rPr>
              <w:t>Have Not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gridSpan w:val="4"/>
          </w:tcPr>
          <w:p>
            <w:pPr>
              <w:jc w:val="center"/>
              <w:ind w:right="260"/>
              <w:spacing w:after="0"/>
              <w:rPr>
                <w:sz w:val="20"/>
                <w:szCs w:val="20"/>
                <w:color w:val="auto"/>
              </w:rPr>
            </w:pPr>
            <w:r>
              <w:rPr>
                <w:rFonts w:ascii="Arial" w:cs="Arial" w:eastAsia="Arial" w:hAnsi="Arial"/>
                <w:sz w:val="12"/>
                <w:szCs w:val="12"/>
                <w:b w:val="1"/>
                <w:bCs w:val="1"/>
                <w:color w:val="auto"/>
              </w:rPr>
              <w:t>Vested</w:t>
            </w:r>
          </w:p>
        </w:tc>
        <w:tc>
          <w:tcPr>
            <w:tcW w:w="130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rPr>
              <w:t>That Have Not</w:t>
            </w: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That Have Not</w:t>
            </w:r>
          </w:p>
        </w:tc>
        <w:tc>
          <w:tcPr>
            <w:tcW w:w="40" w:type="dxa"/>
            <w:vAlign w:val="bottom"/>
          </w:tcPr>
          <w:p>
            <w:pPr>
              <w:spacing w:after="0"/>
              <w:rPr>
                <w:sz w:val="19"/>
                <w:szCs w:val="19"/>
                <w:color w:val="auto"/>
              </w:rPr>
            </w:pPr>
          </w:p>
        </w:tc>
      </w:tr>
      <w:tr>
        <w:trPr>
          <w:trHeight w:val="209"/>
        </w:trPr>
        <w:tc>
          <w:tcPr>
            <w:tcW w:w="2040" w:type="dxa"/>
            <w:vAlign w:val="bottom"/>
            <w:tcBorders>
              <w:bottom w:val="single" w:sz="8" w:color="auto"/>
            </w:tcBorders>
          </w:tcPr>
          <w:p>
            <w:pPr>
              <w:ind w:left="860"/>
              <w:spacing w:after="0"/>
              <w:rPr>
                <w:sz w:val="20"/>
                <w:szCs w:val="20"/>
                <w:color w:val="auto"/>
              </w:rPr>
            </w:pPr>
            <w:r>
              <w:rPr>
                <w:rFonts w:ascii="Arial" w:cs="Arial" w:eastAsia="Arial" w:hAnsi="Arial"/>
                <w:sz w:val="12"/>
                <w:szCs w:val="12"/>
                <w:b w:val="1"/>
                <w:bCs w:val="1"/>
                <w:color w:val="auto"/>
              </w:rPr>
              <w:t>Name</w:t>
            </w:r>
          </w:p>
        </w:tc>
        <w:tc>
          <w:tcPr>
            <w:tcW w:w="200" w:type="dxa"/>
            <w:vAlign w:val="bottom"/>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Exercisable</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Unexercisable</w:t>
            </w:r>
          </w:p>
        </w:tc>
        <w:tc>
          <w:tcPr>
            <w:tcW w:w="8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Options (#)</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2"/>
                <w:szCs w:val="12"/>
                <w:b w:val="1"/>
                <w:bCs w:val="1"/>
                <w:color w:val="auto"/>
              </w:rPr>
              <w:t>Price ($)</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bottom w:val="single" w:sz="8" w:color="auto"/>
            </w:tcBorders>
            <w:gridSpan w:val="2"/>
          </w:tcPr>
          <w:p>
            <w:pPr>
              <w:jc w:val="center"/>
              <w:ind w:left="99"/>
              <w:spacing w:after="0"/>
              <w:rPr>
                <w:sz w:val="20"/>
                <w:szCs w:val="20"/>
                <w:color w:val="auto"/>
              </w:rPr>
            </w:pPr>
            <w:r>
              <w:rPr>
                <w:rFonts w:ascii="Arial" w:cs="Arial" w:eastAsia="Arial" w:hAnsi="Arial"/>
                <w:sz w:val="12"/>
                <w:szCs w:val="12"/>
                <w:b w:val="1"/>
                <w:bCs w:val="1"/>
                <w:color w:val="auto"/>
              </w:rPr>
              <w:t>Vested (#)</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Borders>
              <w:bottom w:val="single" w:sz="8" w:color="auto"/>
            </w:tcBorders>
            <w:gridSpan w:val="3"/>
          </w:tcPr>
          <w:p>
            <w:pPr>
              <w:ind w:left="260"/>
              <w:spacing w:after="0"/>
              <w:rPr>
                <w:sz w:val="20"/>
                <w:szCs w:val="20"/>
                <w:color w:val="auto"/>
              </w:rPr>
            </w:pPr>
            <w:r>
              <w:rPr>
                <w:rFonts w:ascii="Arial" w:cs="Arial" w:eastAsia="Arial" w:hAnsi="Arial"/>
                <w:sz w:val="12"/>
                <w:szCs w:val="12"/>
                <w:b w:val="1"/>
                <w:bCs w:val="1"/>
                <w:color w:val="auto"/>
              </w:rPr>
              <w:t>($)(1)</w:t>
            </w: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Vested (#)</w:t>
            </w:r>
          </w:p>
        </w:tc>
        <w:tc>
          <w:tcPr>
            <w:tcW w:w="22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Vested ($)</w:t>
            </w:r>
          </w:p>
        </w:tc>
        <w:tc>
          <w:tcPr>
            <w:tcW w:w="40" w:type="dxa"/>
            <w:vAlign w:val="bottom"/>
          </w:tcPr>
          <w:p>
            <w:pPr>
              <w:spacing w:after="0"/>
              <w:rPr>
                <w:sz w:val="18"/>
                <w:szCs w:val="18"/>
                <w:color w:val="auto"/>
              </w:rPr>
            </w:pPr>
          </w:p>
        </w:tc>
      </w:tr>
      <w:tr>
        <w:trPr>
          <w:trHeight w:val="213"/>
        </w:trPr>
        <w:tc>
          <w:tcPr>
            <w:tcW w:w="2040" w:type="dxa"/>
            <w:vAlign w:val="bottom"/>
            <w:shd w:val="clear" w:color="auto" w:fill="C0C0C0"/>
          </w:tcPr>
          <w:p>
            <w:pPr>
              <w:spacing w:after="0"/>
              <w:rPr>
                <w:sz w:val="20"/>
                <w:szCs w:val="20"/>
                <w:color w:val="auto"/>
              </w:rPr>
            </w:pPr>
            <w:r>
              <w:rPr>
                <w:rFonts w:ascii="Arial" w:cs="Arial" w:eastAsia="Arial" w:hAnsi="Arial"/>
                <w:sz w:val="12"/>
                <w:szCs w:val="12"/>
                <w:color w:val="auto"/>
              </w:rPr>
              <w:t>M. J. Hames</w:t>
            </w:r>
          </w:p>
        </w:tc>
        <w:tc>
          <w:tcPr>
            <w:tcW w:w="9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200" w:type="dxa"/>
            <w:vAlign w:val="bottom"/>
            <w:shd w:val="clear" w:color="auto" w:fill="C0C0C0"/>
          </w:tcPr>
          <w:p>
            <w:pPr>
              <w:spacing w:after="0"/>
              <w:rPr>
                <w:sz w:val="18"/>
                <w:szCs w:val="18"/>
                <w:color w:val="auto"/>
              </w:rPr>
            </w:pPr>
          </w:p>
        </w:tc>
        <w:tc>
          <w:tcPr>
            <w:tcW w:w="20" w:type="dxa"/>
            <w:vAlign w:val="bottom"/>
            <w:shd w:val="clear" w:color="auto" w:fill="C0C0C0"/>
          </w:tcPr>
          <w:p>
            <w:pPr>
              <w:spacing w:after="0"/>
              <w:rPr>
                <w:sz w:val="18"/>
                <w:szCs w:val="18"/>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75,000</w:t>
            </w:r>
          </w:p>
        </w:tc>
        <w:tc>
          <w:tcPr>
            <w:tcW w:w="340" w:type="dxa"/>
            <w:vAlign w:val="bottom"/>
            <w:gridSpan w:val="2"/>
            <w:shd w:val="clear" w:color="auto" w:fill="C0C0C0"/>
          </w:tcPr>
          <w:p>
            <w:pPr>
              <w:jc w:val="right"/>
              <w:ind w:right="119"/>
              <w:spacing w:after="0"/>
              <w:rPr>
                <w:sz w:val="20"/>
                <w:szCs w:val="20"/>
                <w:color w:val="auto"/>
              </w:rPr>
            </w:pPr>
            <w:r>
              <w:rPr>
                <w:rFonts w:ascii="Arial" w:cs="Arial" w:eastAsia="Arial" w:hAnsi="Arial"/>
                <w:sz w:val="12"/>
                <w:szCs w:val="12"/>
                <w:color w:val="auto"/>
                <w:w w:val="95"/>
              </w:rPr>
              <w:t>(2)</w:t>
            </w:r>
          </w:p>
        </w:tc>
        <w:tc>
          <w:tcPr>
            <w:tcW w:w="1060" w:type="dxa"/>
            <w:vAlign w:val="bottom"/>
            <w:gridSpan w:val="3"/>
            <w:shd w:val="clear" w:color="auto" w:fill="C0C0C0"/>
          </w:tcPr>
          <w:p>
            <w:pPr>
              <w:jc w:val="center"/>
              <w:ind w:left="219"/>
              <w:spacing w:after="0"/>
              <w:rPr>
                <w:sz w:val="20"/>
                <w:szCs w:val="20"/>
                <w:color w:val="auto"/>
              </w:rPr>
            </w:pPr>
            <w:r>
              <w:rPr>
                <w:rFonts w:ascii="Arial" w:cs="Arial" w:eastAsia="Arial" w:hAnsi="Arial"/>
                <w:sz w:val="12"/>
                <w:szCs w:val="12"/>
                <w:color w:val="auto"/>
                <w:w w:val="89"/>
              </w:rPr>
              <w:t>0</w:t>
            </w:r>
          </w:p>
        </w:tc>
        <w:tc>
          <w:tcPr>
            <w:tcW w:w="120" w:type="dxa"/>
            <w:vAlign w:val="bottom"/>
            <w:shd w:val="clear" w:color="auto" w:fill="C0C0C0"/>
          </w:tcPr>
          <w:p>
            <w:pPr>
              <w:spacing w:after="0"/>
              <w:rPr>
                <w:sz w:val="18"/>
                <w:szCs w:val="18"/>
                <w:color w:val="auto"/>
              </w:rPr>
            </w:pPr>
          </w:p>
        </w:tc>
        <w:tc>
          <w:tcPr>
            <w:tcW w:w="720" w:type="dxa"/>
            <w:vAlign w:val="bottom"/>
            <w:gridSpan w:val="3"/>
            <w:shd w:val="clear" w:color="auto" w:fill="C0C0C0"/>
          </w:tcPr>
          <w:p>
            <w:pPr>
              <w:jc w:val="right"/>
              <w:ind w:right="39"/>
              <w:spacing w:after="0"/>
              <w:rPr>
                <w:sz w:val="20"/>
                <w:szCs w:val="20"/>
                <w:color w:val="auto"/>
              </w:rPr>
            </w:pPr>
            <w:r>
              <w:rPr>
                <w:rFonts w:ascii="Arial" w:cs="Arial" w:eastAsia="Arial" w:hAnsi="Arial"/>
                <w:sz w:val="12"/>
                <w:szCs w:val="12"/>
                <w:color w:val="auto"/>
              </w:rPr>
              <w:t>$28.32</w:t>
            </w:r>
          </w:p>
        </w:tc>
        <w:tc>
          <w:tcPr>
            <w:tcW w:w="140" w:type="dxa"/>
            <w:vAlign w:val="bottom"/>
            <w:shd w:val="clear" w:color="auto" w:fill="C0C0C0"/>
          </w:tcPr>
          <w:p>
            <w:pPr>
              <w:spacing w:after="0"/>
              <w:rPr>
                <w:sz w:val="18"/>
                <w:szCs w:val="18"/>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1/18/2017</w:t>
            </w:r>
          </w:p>
        </w:tc>
        <w:tc>
          <w:tcPr>
            <w:tcW w:w="120" w:type="dxa"/>
            <w:vAlign w:val="bottom"/>
            <w:shd w:val="clear" w:color="auto" w:fill="C0C0C0"/>
          </w:tcPr>
          <w:p>
            <w:pPr>
              <w:spacing w:after="0"/>
              <w:rPr>
                <w:sz w:val="18"/>
                <w:szCs w:val="18"/>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45,000</w:t>
            </w: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(6)</w:t>
            </w:r>
          </w:p>
        </w:tc>
        <w:tc>
          <w:tcPr>
            <w:tcW w:w="120" w:type="dxa"/>
            <w:vAlign w:val="bottom"/>
            <w:shd w:val="clear" w:color="auto" w:fill="C0C0C0"/>
          </w:tcPr>
          <w:p>
            <w:pPr>
              <w:spacing w:after="0"/>
              <w:rPr>
                <w:sz w:val="18"/>
                <w:szCs w:val="18"/>
                <w:color w:val="auto"/>
              </w:rPr>
            </w:pPr>
          </w:p>
        </w:tc>
        <w:tc>
          <w:tcPr>
            <w:tcW w:w="920" w:type="dxa"/>
            <w:vAlign w:val="bottom"/>
            <w:gridSpan w:val="4"/>
            <w:shd w:val="clear" w:color="auto" w:fill="C0C0C0"/>
          </w:tcPr>
          <w:p>
            <w:pPr>
              <w:ind w:left="300"/>
              <w:spacing w:after="0"/>
              <w:rPr>
                <w:sz w:val="20"/>
                <w:szCs w:val="20"/>
                <w:color w:val="auto"/>
              </w:rPr>
            </w:pPr>
            <w:r>
              <w:rPr>
                <w:rFonts w:ascii="Arial" w:cs="Arial" w:eastAsia="Arial" w:hAnsi="Arial"/>
                <w:sz w:val="12"/>
                <w:szCs w:val="12"/>
                <w:color w:val="auto"/>
                <w:w w:val="99"/>
              </w:rPr>
              <w:t>$1,503,000</w:t>
            </w:r>
          </w:p>
        </w:tc>
        <w:tc>
          <w:tcPr>
            <w:tcW w:w="220" w:type="dxa"/>
            <w:vAlign w:val="bottom"/>
            <w:shd w:val="clear" w:color="auto" w:fill="C0C0C0"/>
          </w:tcPr>
          <w:p>
            <w:pPr>
              <w:spacing w:after="0"/>
              <w:rPr>
                <w:sz w:val="18"/>
                <w:szCs w:val="18"/>
                <w:color w:val="auto"/>
              </w:rPr>
            </w:pP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8"/>
                <w:szCs w:val="18"/>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8"/>
                <w:szCs w:val="18"/>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20,000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60,000</w:t>
            </w:r>
          </w:p>
        </w:tc>
        <w:tc>
          <w:tcPr>
            <w:tcW w:w="340" w:type="dxa"/>
            <w:vAlign w:val="bottom"/>
            <w:gridSpan w:val="2"/>
            <w:shd w:val="clear" w:color="auto" w:fill="C0C0C0"/>
          </w:tcPr>
          <w:p>
            <w:pPr>
              <w:jc w:val="right"/>
              <w:ind w:right="119"/>
              <w:spacing w:after="0"/>
              <w:rPr>
                <w:sz w:val="20"/>
                <w:szCs w:val="20"/>
                <w:color w:val="auto"/>
              </w:rPr>
            </w:pPr>
            <w:r>
              <w:rPr>
                <w:rFonts w:ascii="Arial" w:cs="Arial" w:eastAsia="Arial" w:hAnsi="Arial"/>
                <w:sz w:val="12"/>
                <w:szCs w:val="12"/>
                <w:color w:val="auto"/>
                <w:w w:val="95"/>
              </w:rPr>
              <w:t>(3)</w:t>
            </w:r>
          </w:p>
        </w:tc>
        <w:tc>
          <w:tcPr>
            <w:tcW w:w="1060" w:type="dxa"/>
            <w:vAlign w:val="bottom"/>
            <w:gridSpan w:val="3"/>
            <w:shd w:val="clear" w:color="auto" w:fill="C0C0C0"/>
          </w:tcPr>
          <w:p>
            <w:pPr>
              <w:jc w:val="center"/>
              <w:ind w:left="219"/>
              <w:spacing w:after="0"/>
              <w:rPr>
                <w:sz w:val="20"/>
                <w:szCs w:val="20"/>
                <w:color w:val="auto"/>
              </w:rPr>
            </w:pPr>
            <w:r>
              <w:rPr>
                <w:rFonts w:ascii="Arial" w:cs="Arial" w:eastAsia="Arial" w:hAnsi="Arial"/>
                <w:sz w:val="12"/>
                <w:szCs w:val="12"/>
                <w:color w:val="auto"/>
                <w:w w:val="89"/>
              </w:rPr>
              <w:t>0</w:t>
            </w:r>
          </w:p>
        </w:tc>
        <w:tc>
          <w:tcPr>
            <w:tcW w:w="120" w:type="dxa"/>
            <w:vAlign w:val="bottom"/>
            <w:shd w:val="clear" w:color="auto" w:fill="C0C0C0"/>
          </w:tcPr>
          <w:p>
            <w:pPr>
              <w:spacing w:after="0"/>
              <w:rPr>
                <w:sz w:val="19"/>
                <w:szCs w:val="19"/>
                <w:color w:val="auto"/>
              </w:rPr>
            </w:pPr>
          </w:p>
        </w:tc>
        <w:tc>
          <w:tcPr>
            <w:tcW w:w="720" w:type="dxa"/>
            <w:vAlign w:val="bottom"/>
            <w:gridSpan w:val="3"/>
            <w:shd w:val="clear" w:color="auto" w:fill="C0C0C0"/>
          </w:tcPr>
          <w:p>
            <w:pPr>
              <w:jc w:val="right"/>
              <w:ind w:right="39"/>
              <w:spacing w:after="0"/>
              <w:rPr>
                <w:sz w:val="20"/>
                <w:szCs w:val="20"/>
                <w:color w:val="auto"/>
              </w:rPr>
            </w:pPr>
            <w:r>
              <w:rPr>
                <w:rFonts w:ascii="Arial" w:cs="Arial" w:eastAsia="Arial" w:hAnsi="Arial"/>
                <w:sz w:val="12"/>
                <w:szCs w:val="12"/>
                <w:color w:val="auto"/>
              </w:rPr>
              <w:t>$32.55</w:t>
            </w:r>
          </w:p>
        </w:tc>
        <w:tc>
          <w:tcPr>
            <w:tcW w:w="140" w:type="dxa"/>
            <w:vAlign w:val="bottom"/>
            <w:shd w:val="clear" w:color="auto" w:fill="C0C0C0"/>
          </w:tcPr>
          <w:p>
            <w:pPr>
              <w:spacing w:after="0"/>
              <w:rPr>
                <w:sz w:val="19"/>
                <w:szCs w:val="19"/>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1/19/2016</w:t>
            </w:r>
          </w:p>
        </w:tc>
        <w:tc>
          <w:tcPr>
            <w:tcW w:w="120" w:type="dxa"/>
            <w:vAlign w:val="bottom"/>
            <w:shd w:val="clear" w:color="auto" w:fill="C0C0C0"/>
          </w:tcPr>
          <w:p>
            <w:pPr>
              <w:spacing w:after="0"/>
              <w:rPr>
                <w:sz w:val="19"/>
                <w:szCs w:val="19"/>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50,000</w:t>
            </w: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(7)</w:t>
            </w:r>
          </w:p>
        </w:tc>
        <w:tc>
          <w:tcPr>
            <w:tcW w:w="120" w:type="dxa"/>
            <w:vAlign w:val="bottom"/>
            <w:shd w:val="clear" w:color="auto" w:fill="C0C0C0"/>
          </w:tcPr>
          <w:p>
            <w:pPr>
              <w:spacing w:after="0"/>
              <w:rPr>
                <w:sz w:val="19"/>
                <w:szCs w:val="19"/>
                <w:color w:val="auto"/>
              </w:rPr>
            </w:pPr>
          </w:p>
        </w:tc>
        <w:tc>
          <w:tcPr>
            <w:tcW w:w="920" w:type="dxa"/>
            <w:vAlign w:val="bottom"/>
            <w:gridSpan w:val="4"/>
            <w:shd w:val="clear" w:color="auto" w:fill="C0C0C0"/>
          </w:tcPr>
          <w:p>
            <w:pPr>
              <w:ind w:left="300"/>
              <w:spacing w:after="0"/>
              <w:rPr>
                <w:sz w:val="20"/>
                <w:szCs w:val="20"/>
                <w:color w:val="auto"/>
              </w:rPr>
            </w:pPr>
            <w:r>
              <w:rPr>
                <w:rFonts w:ascii="Arial" w:cs="Arial" w:eastAsia="Arial" w:hAnsi="Arial"/>
                <w:sz w:val="12"/>
                <w:szCs w:val="12"/>
                <w:color w:val="auto"/>
                <w:w w:val="99"/>
              </w:rPr>
              <w:t>$1,670,000</w:t>
            </w:r>
          </w:p>
        </w:tc>
        <w:tc>
          <w:tcPr>
            <w:tcW w:w="220" w:type="dxa"/>
            <w:vAlign w:val="bottom"/>
            <w:shd w:val="clear" w:color="auto" w:fill="C0C0C0"/>
          </w:tcPr>
          <w:p>
            <w:pPr>
              <w:spacing w:after="0"/>
              <w:rPr>
                <w:sz w:val="19"/>
                <w:szCs w:val="19"/>
                <w:color w:val="auto"/>
              </w:rPr>
            </w:pP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50,000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50,000</w:t>
            </w:r>
          </w:p>
        </w:tc>
        <w:tc>
          <w:tcPr>
            <w:tcW w:w="340" w:type="dxa"/>
            <w:vAlign w:val="bottom"/>
            <w:gridSpan w:val="2"/>
            <w:shd w:val="clear" w:color="auto" w:fill="C0C0C0"/>
          </w:tcPr>
          <w:p>
            <w:pPr>
              <w:jc w:val="right"/>
              <w:ind w:right="119"/>
              <w:spacing w:after="0"/>
              <w:rPr>
                <w:sz w:val="20"/>
                <w:szCs w:val="20"/>
                <w:color w:val="auto"/>
              </w:rPr>
            </w:pPr>
            <w:r>
              <w:rPr>
                <w:rFonts w:ascii="Arial" w:cs="Arial" w:eastAsia="Arial" w:hAnsi="Arial"/>
                <w:sz w:val="12"/>
                <w:szCs w:val="12"/>
                <w:color w:val="auto"/>
                <w:w w:val="95"/>
              </w:rPr>
              <w:t>(4)</w:t>
            </w:r>
          </w:p>
        </w:tc>
        <w:tc>
          <w:tcPr>
            <w:tcW w:w="1060" w:type="dxa"/>
            <w:vAlign w:val="bottom"/>
            <w:gridSpan w:val="3"/>
            <w:shd w:val="clear" w:color="auto" w:fill="C0C0C0"/>
          </w:tcPr>
          <w:p>
            <w:pPr>
              <w:jc w:val="center"/>
              <w:ind w:left="219"/>
              <w:spacing w:after="0"/>
              <w:rPr>
                <w:sz w:val="20"/>
                <w:szCs w:val="20"/>
                <w:color w:val="auto"/>
              </w:rPr>
            </w:pPr>
            <w:r>
              <w:rPr>
                <w:rFonts w:ascii="Arial" w:cs="Arial" w:eastAsia="Arial" w:hAnsi="Arial"/>
                <w:sz w:val="12"/>
                <w:szCs w:val="12"/>
                <w:color w:val="auto"/>
                <w:w w:val="89"/>
              </w:rPr>
              <w:t>0</w:t>
            </w:r>
          </w:p>
        </w:tc>
        <w:tc>
          <w:tcPr>
            <w:tcW w:w="120" w:type="dxa"/>
            <w:vAlign w:val="bottom"/>
            <w:shd w:val="clear" w:color="auto" w:fill="C0C0C0"/>
          </w:tcPr>
          <w:p>
            <w:pPr>
              <w:spacing w:after="0"/>
              <w:rPr>
                <w:sz w:val="19"/>
                <w:szCs w:val="19"/>
                <w:color w:val="auto"/>
              </w:rPr>
            </w:pPr>
          </w:p>
        </w:tc>
        <w:tc>
          <w:tcPr>
            <w:tcW w:w="720" w:type="dxa"/>
            <w:vAlign w:val="bottom"/>
            <w:gridSpan w:val="3"/>
            <w:shd w:val="clear" w:color="auto" w:fill="C0C0C0"/>
          </w:tcPr>
          <w:p>
            <w:pPr>
              <w:jc w:val="right"/>
              <w:ind w:right="39"/>
              <w:spacing w:after="0"/>
              <w:rPr>
                <w:sz w:val="20"/>
                <w:szCs w:val="20"/>
                <w:color w:val="auto"/>
              </w:rPr>
            </w:pPr>
            <w:r>
              <w:rPr>
                <w:rFonts w:ascii="Arial" w:cs="Arial" w:eastAsia="Arial" w:hAnsi="Arial"/>
                <w:sz w:val="12"/>
                <w:szCs w:val="12"/>
                <w:color w:val="auto"/>
              </w:rPr>
              <w:t>$21.55</w:t>
            </w:r>
          </w:p>
        </w:tc>
        <w:tc>
          <w:tcPr>
            <w:tcW w:w="140" w:type="dxa"/>
            <w:vAlign w:val="bottom"/>
            <w:shd w:val="clear" w:color="auto" w:fill="C0C0C0"/>
          </w:tcPr>
          <w:p>
            <w:pPr>
              <w:spacing w:after="0"/>
              <w:rPr>
                <w:sz w:val="19"/>
                <w:szCs w:val="19"/>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1/20/2015</w:t>
            </w:r>
          </w:p>
        </w:tc>
        <w:tc>
          <w:tcPr>
            <w:tcW w:w="120" w:type="dxa"/>
            <w:vAlign w:val="bottom"/>
            <w:shd w:val="clear" w:color="auto" w:fill="C0C0C0"/>
          </w:tcPr>
          <w:p>
            <w:pPr>
              <w:spacing w:after="0"/>
              <w:rPr>
                <w:sz w:val="19"/>
                <w:szCs w:val="19"/>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50,000</w:t>
            </w: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(8)</w:t>
            </w:r>
          </w:p>
        </w:tc>
        <w:tc>
          <w:tcPr>
            <w:tcW w:w="120" w:type="dxa"/>
            <w:vAlign w:val="bottom"/>
            <w:shd w:val="clear" w:color="auto" w:fill="C0C0C0"/>
          </w:tcPr>
          <w:p>
            <w:pPr>
              <w:spacing w:after="0"/>
              <w:rPr>
                <w:sz w:val="19"/>
                <w:szCs w:val="19"/>
                <w:color w:val="auto"/>
              </w:rPr>
            </w:pPr>
          </w:p>
        </w:tc>
        <w:tc>
          <w:tcPr>
            <w:tcW w:w="920" w:type="dxa"/>
            <w:vAlign w:val="bottom"/>
            <w:gridSpan w:val="4"/>
            <w:shd w:val="clear" w:color="auto" w:fill="C0C0C0"/>
          </w:tcPr>
          <w:p>
            <w:pPr>
              <w:ind w:left="300"/>
              <w:spacing w:after="0"/>
              <w:rPr>
                <w:sz w:val="20"/>
                <w:szCs w:val="20"/>
                <w:color w:val="auto"/>
              </w:rPr>
            </w:pPr>
            <w:r>
              <w:rPr>
                <w:rFonts w:ascii="Arial" w:cs="Arial" w:eastAsia="Arial" w:hAnsi="Arial"/>
                <w:sz w:val="12"/>
                <w:szCs w:val="12"/>
                <w:color w:val="auto"/>
                <w:w w:val="99"/>
              </w:rPr>
              <w:t>$1,670,000</w:t>
            </w:r>
          </w:p>
        </w:tc>
        <w:tc>
          <w:tcPr>
            <w:tcW w:w="220" w:type="dxa"/>
            <w:vAlign w:val="bottom"/>
            <w:shd w:val="clear" w:color="auto" w:fill="C0C0C0"/>
          </w:tcPr>
          <w:p>
            <w:pPr>
              <w:spacing w:after="0"/>
              <w:rPr>
                <w:sz w:val="19"/>
                <w:szCs w:val="19"/>
                <w:color w:val="auto"/>
              </w:rPr>
            </w:pP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112,500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37,500</w:t>
            </w:r>
          </w:p>
        </w:tc>
        <w:tc>
          <w:tcPr>
            <w:tcW w:w="340" w:type="dxa"/>
            <w:vAlign w:val="bottom"/>
            <w:gridSpan w:val="2"/>
            <w:shd w:val="clear" w:color="auto" w:fill="C0C0C0"/>
          </w:tcPr>
          <w:p>
            <w:pPr>
              <w:jc w:val="right"/>
              <w:ind w:right="119"/>
              <w:spacing w:after="0"/>
              <w:rPr>
                <w:sz w:val="20"/>
                <w:szCs w:val="20"/>
                <w:color w:val="auto"/>
              </w:rPr>
            </w:pPr>
            <w:r>
              <w:rPr>
                <w:rFonts w:ascii="Arial" w:cs="Arial" w:eastAsia="Arial" w:hAnsi="Arial"/>
                <w:sz w:val="12"/>
                <w:szCs w:val="12"/>
                <w:color w:val="auto"/>
                <w:w w:val="95"/>
              </w:rPr>
              <w:t>(5)</w:t>
            </w:r>
          </w:p>
        </w:tc>
        <w:tc>
          <w:tcPr>
            <w:tcW w:w="1060" w:type="dxa"/>
            <w:vAlign w:val="bottom"/>
            <w:gridSpan w:val="3"/>
            <w:shd w:val="clear" w:color="auto" w:fill="C0C0C0"/>
          </w:tcPr>
          <w:p>
            <w:pPr>
              <w:jc w:val="center"/>
              <w:ind w:left="219"/>
              <w:spacing w:after="0"/>
              <w:rPr>
                <w:sz w:val="20"/>
                <w:szCs w:val="20"/>
                <w:color w:val="auto"/>
              </w:rPr>
            </w:pPr>
            <w:r>
              <w:rPr>
                <w:rFonts w:ascii="Arial" w:cs="Arial" w:eastAsia="Arial" w:hAnsi="Arial"/>
                <w:sz w:val="12"/>
                <w:szCs w:val="12"/>
                <w:color w:val="auto"/>
                <w:w w:val="89"/>
              </w:rPr>
              <w:t>0</w:t>
            </w:r>
          </w:p>
        </w:tc>
        <w:tc>
          <w:tcPr>
            <w:tcW w:w="120" w:type="dxa"/>
            <w:vAlign w:val="bottom"/>
            <w:shd w:val="clear" w:color="auto" w:fill="C0C0C0"/>
          </w:tcPr>
          <w:p>
            <w:pPr>
              <w:spacing w:after="0"/>
              <w:rPr>
                <w:sz w:val="19"/>
                <w:szCs w:val="19"/>
                <w:color w:val="auto"/>
              </w:rPr>
            </w:pPr>
          </w:p>
        </w:tc>
        <w:tc>
          <w:tcPr>
            <w:tcW w:w="720" w:type="dxa"/>
            <w:vAlign w:val="bottom"/>
            <w:gridSpan w:val="3"/>
            <w:shd w:val="clear" w:color="auto" w:fill="C0C0C0"/>
          </w:tcPr>
          <w:p>
            <w:pPr>
              <w:jc w:val="right"/>
              <w:ind w:right="39"/>
              <w:spacing w:after="0"/>
              <w:rPr>
                <w:sz w:val="20"/>
                <w:szCs w:val="20"/>
                <w:color w:val="auto"/>
              </w:rPr>
            </w:pPr>
            <w:r>
              <w:rPr>
                <w:rFonts w:ascii="Arial" w:cs="Arial" w:eastAsia="Arial" w:hAnsi="Arial"/>
                <w:sz w:val="12"/>
                <w:szCs w:val="12"/>
                <w:color w:val="auto"/>
              </w:rPr>
              <w:t>$32.39</w:t>
            </w:r>
          </w:p>
        </w:tc>
        <w:tc>
          <w:tcPr>
            <w:tcW w:w="140" w:type="dxa"/>
            <w:vAlign w:val="bottom"/>
            <w:shd w:val="clear" w:color="auto" w:fill="C0C0C0"/>
          </w:tcPr>
          <w:p>
            <w:pPr>
              <w:spacing w:after="0"/>
              <w:rPr>
                <w:sz w:val="19"/>
                <w:szCs w:val="19"/>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1/14/2014</w:t>
            </w:r>
          </w:p>
        </w:tc>
        <w:tc>
          <w:tcPr>
            <w:tcW w:w="120" w:type="dxa"/>
            <w:vAlign w:val="bottom"/>
            <w:shd w:val="clear" w:color="auto" w:fill="C0C0C0"/>
          </w:tcPr>
          <w:p>
            <w:pPr>
              <w:spacing w:after="0"/>
              <w:rPr>
                <w:sz w:val="19"/>
                <w:szCs w:val="19"/>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50,000</w:t>
            </w: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(9)</w:t>
            </w:r>
          </w:p>
        </w:tc>
        <w:tc>
          <w:tcPr>
            <w:tcW w:w="120" w:type="dxa"/>
            <w:vAlign w:val="bottom"/>
            <w:shd w:val="clear" w:color="auto" w:fill="C0C0C0"/>
          </w:tcPr>
          <w:p>
            <w:pPr>
              <w:spacing w:after="0"/>
              <w:rPr>
                <w:sz w:val="19"/>
                <w:szCs w:val="19"/>
                <w:color w:val="auto"/>
              </w:rPr>
            </w:pPr>
          </w:p>
        </w:tc>
        <w:tc>
          <w:tcPr>
            <w:tcW w:w="920" w:type="dxa"/>
            <w:vAlign w:val="bottom"/>
            <w:gridSpan w:val="4"/>
            <w:shd w:val="clear" w:color="auto" w:fill="C0C0C0"/>
          </w:tcPr>
          <w:p>
            <w:pPr>
              <w:ind w:left="300"/>
              <w:spacing w:after="0"/>
              <w:rPr>
                <w:sz w:val="20"/>
                <w:szCs w:val="20"/>
                <w:color w:val="auto"/>
              </w:rPr>
            </w:pPr>
            <w:r>
              <w:rPr>
                <w:rFonts w:ascii="Arial" w:cs="Arial" w:eastAsia="Arial" w:hAnsi="Arial"/>
                <w:sz w:val="12"/>
                <w:szCs w:val="12"/>
                <w:color w:val="auto"/>
                <w:w w:val="99"/>
              </w:rPr>
              <w:t>$1,670,000</w:t>
            </w:r>
          </w:p>
        </w:tc>
        <w:tc>
          <w:tcPr>
            <w:tcW w:w="220" w:type="dxa"/>
            <w:vAlign w:val="bottom"/>
            <w:shd w:val="clear" w:color="auto" w:fill="C0C0C0"/>
          </w:tcPr>
          <w:p>
            <w:pPr>
              <w:spacing w:after="0"/>
              <w:rPr>
                <w:sz w:val="19"/>
                <w:szCs w:val="19"/>
                <w:color w:val="auto"/>
              </w:rPr>
            </w:pP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125,000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1060" w:type="dxa"/>
            <w:vAlign w:val="bottom"/>
            <w:gridSpan w:val="3"/>
            <w:shd w:val="clear" w:color="auto" w:fill="C0C0C0"/>
          </w:tcPr>
          <w:p>
            <w:pPr>
              <w:jc w:val="center"/>
              <w:ind w:left="219"/>
              <w:spacing w:after="0"/>
              <w:rPr>
                <w:sz w:val="20"/>
                <w:szCs w:val="20"/>
                <w:color w:val="auto"/>
              </w:rPr>
            </w:pPr>
            <w:r>
              <w:rPr>
                <w:rFonts w:ascii="Arial" w:cs="Arial" w:eastAsia="Arial" w:hAnsi="Arial"/>
                <w:sz w:val="12"/>
                <w:szCs w:val="12"/>
                <w:color w:val="auto"/>
                <w:w w:val="89"/>
              </w:rPr>
              <w:t>0</w:t>
            </w:r>
          </w:p>
        </w:tc>
        <w:tc>
          <w:tcPr>
            <w:tcW w:w="120" w:type="dxa"/>
            <w:vAlign w:val="bottom"/>
            <w:shd w:val="clear" w:color="auto" w:fill="C0C0C0"/>
          </w:tcPr>
          <w:p>
            <w:pPr>
              <w:spacing w:after="0"/>
              <w:rPr>
                <w:sz w:val="19"/>
                <w:szCs w:val="19"/>
                <w:color w:val="auto"/>
              </w:rPr>
            </w:pPr>
          </w:p>
        </w:tc>
        <w:tc>
          <w:tcPr>
            <w:tcW w:w="720" w:type="dxa"/>
            <w:vAlign w:val="bottom"/>
            <w:gridSpan w:val="3"/>
            <w:shd w:val="clear" w:color="auto" w:fill="C0C0C0"/>
          </w:tcPr>
          <w:p>
            <w:pPr>
              <w:jc w:val="right"/>
              <w:ind w:right="39"/>
              <w:spacing w:after="0"/>
              <w:rPr>
                <w:sz w:val="20"/>
                <w:szCs w:val="20"/>
                <w:color w:val="auto"/>
              </w:rPr>
            </w:pPr>
            <w:r>
              <w:rPr>
                <w:rFonts w:ascii="Arial" w:cs="Arial" w:eastAsia="Arial" w:hAnsi="Arial"/>
                <w:sz w:val="12"/>
                <w:szCs w:val="12"/>
                <w:color w:val="auto"/>
              </w:rPr>
              <w:t>$16.25</w:t>
            </w:r>
          </w:p>
        </w:tc>
        <w:tc>
          <w:tcPr>
            <w:tcW w:w="140" w:type="dxa"/>
            <w:vAlign w:val="bottom"/>
            <w:shd w:val="clear" w:color="auto" w:fill="C0C0C0"/>
          </w:tcPr>
          <w:p>
            <w:pPr>
              <w:spacing w:after="0"/>
              <w:rPr>
                <w:sz w:val="19"/>
                <w:szCs w:val="19"/>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2/20/2013</w:t>
            </w:r>
          </w:p>
        </w:tc>
        <w:tc>
          <w:tcPr>
            <w:tcW w:w="120" w:type="dxa"/>
            <w:vAlign w:val="bottom"/>
            <w:shd w:val="clear" w:color="auto" w:fill="C0C0C0"/>
          </w:tcPr>
          <w:p>
            <w:pPr>
              <w:spacing w:after="0"/>
              <w:rPr>
                <w:sz w:val="19"/>
                <w:szCs w:val="19"/>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250,000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980" w:type="dxa"/>
            <w:vAlign w:val="bottom"/>
            <w:gridSpan w:val="2"/>
            <w:shd w:val="clear" w:color="auto" w:fill="C0C0C0"/>
          </w:tcPr>
          <w:p>
            <w:pPr>
              <w:jc w:val="center"/>
              <w:ind w:left="139"/>
              <w:spacing w:after="0"/>
              <w:rPr>
                <w:sz w:val="20"/>
                <w:szCs w:val="20"/>
                <w:color w:val="auto"/>
              </w:rPr>
            </w:pPr>
            <w:r>
              <w:rPr>
                <w:rFonts w:ascii="Arial" w:cs="Arial" w:eastAsia="Arial" w:hAnsi="Arial"/>
                <w:sz w:val="12"/>
                <w:szCs w:val="12"/>
                <w:color w:val="auto"/>
                <w:w w:val="89"/>
              </w:rPr>
              <w:t>0</w:t>
            </w:r>
          </w:p>
        </w:tc>
        <w:tc>
          <w:tcPr>
            <w:tcW w:w="120" w:type="dxa"/>
            <w:vAlign w:val="bottom"/>
            <w:shd w:val="clear" w:color="auto" w:fill="C0C0C0"/>
          </w:tcPr>
          <w:p>
            <w:pPr>
              <w:spacing w:after="0"/>
              <w:rPr>
                <w:sz w:val="19"/>
                <w:szCs w:val="19"/>
                <w:color w:val="auto"/>
              </w:rPr>
            </w:pPr>
          </w:p>
        </w:tc>
        <w:tc>
          <w:tcPr>
            <w:tcW w:w="720" w:type="dxa"/>
            <w:vAlign w:val="bottom"/>
            <w:gridSpan w:val="3"/>
            <w:shd w:val="clear" w:color="auto" w:fill="C0C0C0"/>
          </w:tcPr>
          <w:p>
            <w:pPr>
              <w:jc w:val="right"/>
              <w:ind w:right="39"/>
              <w:spacing w:after="0"/>
              <w:rPr>
                <w:sz w:val="20"/>
                <w:szCs w:val="20"/>
                <w:color w:val="auto"/>
              </w:rPr>
            </w:pPr>
            <w:r>
              <w:rPr>
                <w:rFonts w:ascii="Arial" w:cs="Arial" w:eastAsia="Arial" w:hAnsi="Arial"/>
                <w:sz w:val="12"/>
                <w:szCs w:val="12"/>
                <w:color w:val="auto"/>
              </w:rPr>
              <w:t>$16.11</w:t>
            </w:r>
          </w:p>
        </w:tc>
        <w:tc>
          <w:tcPr>
            <w:tcW w:w="140" w:type="dxa"/>
            <w:vAlign w:val="bottom"/>
            <w:shd w:val="clear" w:color="auto" w:fill="C0C0C0"/>
          </w:tcPr>
          <w:p>
            <w:pPr>
              <w:spacing w:after="0"/>
              <w:rPr>
                <w:sz w:val="19"/>
                <w:szCs w:val="19"/>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1/15/2013</w:t>
            </w:r>
          </w:p>
        </w:tc>
        <w:tc>
          <w:tcPr>
            <w:tcW w:w="120" w:type="dxa"/>
            <w:vAlign w:val="bottom"/>
            <w:shd w:val="clear" w:color="auto" w:fill="C0C0C0"/>
          </w:tcPr>
          <w:p>
            <w:pPr>
              <w:spacing w:after="0"/>
              <w:rPr>
                <w:sz w:val="19"/>
                <w:szCs w:val="19"/>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250,000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120" w:type="dxa"/>
            <w:vAlign w:val="bottom"/>
            <w:shd w:val="clear" w:color="auto" w:fill="C0C0C0"/>
          </w:tcPr>
          <w:p>
            <w:pPr>
              <w:spacing w:after="0"/>
              <w:rPr>
                <w:sz w:val="19"/>
                <w:szCs w:val="19"/>
                <w:color w:val="auto"/>
              </w:rPr>
            </w:pPr>
          </w:p>
        </w:tc>
        <w:tc>
          <w:tcPr>
            <w:tcW w:w="720" w:type="dxa"/>
            <w:vAlign w:val="bottom"/>
            <w:gridSpan w:val="3"/>
            <w:shd w:val="clear" w:color="auto" w:fill="C0C0C0"/>
          </w:tcPr>
          <w:p>
            <w:pPr>
              <w:jc w:val="right"/>
              <w:ind w:right="39"/>
              <w:spacing w:after="0"/>
              <w:rPr>
                <w:sz w:val="20"/>
                <w:szCs w:val="20"/>
                <w:color w:val="auto"/>
              </w:rPr>
            </w:pPr>
            <w:r>
              <w:rPr>
                <w:rFonts w:ascii="Arial" w:cs="Arial" w:eastAsia="Arial" w:hAnsi="Arial"/>
                <w:sz w:val="12"/>
                <w:szCs w:val="12"/>
                <w:color w:val="auto"/>
              </w:rPr>
              <w:t>$26.50</w:t>
            </w:r>
          </w:p>
        </w:tc>
        <w:tc>
          <w:tcPr>
            <w:tcW w:w="140" w:type="dxa"/>
            <w:vAlign w:val="bottom"/>
            <w:shd w:val="clear" w:color="auto" w:fill="C0C0C0"/>
          </w:tcPr>
          <w:p>
            <w:pPr>
              <w:spacing w:after="0"/>
              <w:rPr>
                <w:sz w:val="19"/>
                <w:szCs w:val="19"/>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1/16/2012</w:t>
            </w:r>
          </w:p>
        </w:tc>
        <w:tc>
          <w:tcPr>
            <w:tcW w:w="120" w:type="dxa"/>
            <w:vAlign w:val="bottom"/>
            <w:shd w:val="clear" w:color="auto" w:fill="C0C0C0"/>
          </w:tcPr>
          <w:p>
            <w:pPr>
              <w:spacing w:after="0"/>
              <w:rPr>
                <w:sz w:val="19"/>
                <w:szCs w:val="19"/>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100,000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120" w:type="dxa"/>
            <w:vAlign w:val="bottom"/>
            <w:shd w:val="clear" w:color="auto" w:fill="C0C0C0"/>
          </w:tcPr>
          <w:p>
            <w:pPr>
              <w:spacing w:after="0"/>
              <w:rPr>
                <w:sz w:val="19"/>
                <w:szCs w:val="19"/>
                <w:color w:val="auto"/>
              </w:rPr>
            </w:pPr>
          </w:p>
        </w:tc>
        <w:tc>
          <w:tcPr>
            <w:tcW w:w="720" w:type="dxa"/>
            <w:vAlign w:val="bottom"/>
            <w:gridSpan w:val="3"/>
            <w:shd w:val="clear" w:color="auto" w:fill="C0C0C0"/>
          </w:tcPr>
          <w:p>
            <w:pPr>
              <w:jc w:val="right"/>
              <w:ind w:right="39"/>
              <w:spacing w:after="0"/>
              <w:rPr>
                <w:sz w:val="20"/>
                <w:szCs w:val="20"/>
                <w:color w:val="auto"/>
              </w:rPr>
            </w:pPr>
            <w:r>
              <w:rPr>
                <w:rFonts w:ascii="Arial" w:cs="Arial" w:eastAsia="Arial" w:hAnsi="Arial"/>
                <w:sz w:val="12"/>
                <w:szCs w:val="12"/>
                <w:color w:val="auto"/>
              </w:rPr>
              <w:t>$31.30</w:t>
            </w:r>
          </w:p>
        </w:tc>
        <w:tc>
          <w:tcPr>
            <w:tcW w:w="140" w:type="dxa"/>
            <w:vAlign w:val="bottom"/>
            <w:shd w:val="clear" w:color="auto" w:fill="C0C0C0"/>
          </w:tcPr>
          <w:p>
            <w:pPr>
              <w:spacing w:after="0"/>
              <w:rPr>
                <w:sz w:val="19"/>
                <w:szCs w:val="19"/>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11/29/2011</w:t>
            </w:r>
          </w:p>
        </w:tc>
        <w:tc>
          <w:tcPr>
            <w:tcW w:w="120" w:type="dxa"/>
            <w:vAlign w:val="bottom"/>
            <w:shd w:val="clear" w:color="auto" w:fill="C0C0C0"/>
          </w:tcPr>
          <w:p>
            <w:pPr>
              <w:spacing w:after="0"/>
              <w:rPr>
                <w:sz w:val="19"/>
                <w:szCs w:val="19"/>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130,000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1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40" w:type="dxa"/>
            <w:vAlign w:val="bottom"/>
            <w:gridSpan w:val="2"/>
            <w:shd w:val="clear" w:color="auto" w:fill="C0C0C0"/>
          </w:tcPr>
          <w:p>
            <w:pPr>
              <w:jc w:val="right"/>
              <w:ind w:right="39"/>
              <w:spacing w:after="0"/>
              <w:rPr>
                <w:sz w:val="20"/>
                <w:szCs w:val="20"/>
                <w:color w:val="auto"/>
              </w:rPr>
            </w:pPr>
            <w:r>
              <w:rPr>
                <w:rFonts w:ascii="Arial" w:cs="Arial" w:eastAsia="Arial" w:hAnsi="Arial"/>
                <w:sz w:val="12"/>
                <w:szCs w:val="12"/>
                <w:color w:val="auto"/>
              </w:rPr>
              <w:t>$50.38</w:t>
            </w:r>
          </w:p>
        </w:tc>
        <w:tc>
          <w:tcPr>
            <w:tcW w:w="140" w:type="dxa"/>
            <w:vAlign w:val="bottom"/>
            <w:shd w:val="clear" w:color="auto" w:fill="C0C0C0"/>
          </w:tcPr>
          <w:p>
            <w:pPr>
              <w:spacing w:after="0"/>
              <w:rPr>
                <w:sz w:val="19"/>
                <w:szCs w:val="19"/>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1/17/2011</w:t>
            </w:r>
          </w:p>
        </w:tc>
        <w:tc>
          <w:tcPr>
            <w:tcW w:w="120" w:type="dxa"/>
            <w:vAlign w:val="bottom"/>
            <w:shd w:val="clear" w:color="auto" w:fill="C0C0C0"/>
          </w:tcPr>
          <w:p>
            <w:pPr>
              <w:spacing w:after="0"/>
              <w:rPr>
                <w:sz w:val="19"/>
                <w:szCs w:val="19"/>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100,000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80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1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40" w:type="dxa"/>
            <w:vAlign w:val="bottom"/>
            <w:gridSpan w:val="2"/>
            <w:shd w:val="clear" w:color="auto" w:fill="C0C0C0"/>
          </w:tcPr>
          <w:p>
            <w:pPr>
              <w:jc w:val="right"/>
              <w:ind w:right="39"/>
              <w:spacing w:after="0"/>
              <w:rPr>
                <w:sz w:val="20"/>
                <w:szCs w:val="20"/>
                <w:color w:val="auto"/>
              </w:rPr>
            </w:pPr>
            <w:r>
              <w:rPr>
                <w:rFonts w:ascii="Arial" w:cs="Arial" w:eastAsia="Arial" w:hAnsi="Arial"/>
                <w:sz w:val="12"/>
                <w:szCs w:val="12"/>
                <w:color w:val="auto"/>
              </w:rPr>
              <w:t>$55.22</w:t>
            </w:r>
          </w:p>
        </w:tc>
        <w:tc>
          <w:tcPr>
            <w:tcW w:w="140" w:type="dxa"/>
            <w:vAlign w:val="bottom"/>
            <w:shd w:val="clear" w:color="auto" w:fill="C0C0C0"/>
          </w:tcPr>
          <w:p>
            <w:pPr>
              <w:spacing w:after="0"/>
              <w:rPr>
                <w:sz w:val="19"/>
                <w:szCs w:val="19"/>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1/19/2010</w:t>
            </w:r>
          </w:p>
        </w:tc>
        <w:tc>
          <w:tcPr>
            <w:tcW w:w="120" w:type="dxa"/>
            <w:vAlign w:val="bottom"/>
            <w:shd w:val="clear" w:color="auto" w:fill="C0C0C0"/>
          </w:tcPr>
          <w:p>
            <w:pPr>
              <w:spacing w:after="0"/>
              <w:rPr>
                <w:sz w:val="19"/>
                <w:szCs w:val="19"/>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tcPr>
          <w:p>
            <w:pPr>
              <w:spacing w:after="0"/>
              <w:rPr>
                <w:sz w:val="19"/>
                <w:szCs w:val="19"/>
                <w:color w:val="auto"/>
              </w:rPr>
            </w:pPr>
          </w:p>
        </w:tc>
        <w:tc>
          <w:tcPr>
            <w:tcW w:w="94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1060" w:type="dxa"/>
            <w:vAlign w:val="bottom"/>
            <w:gridSpan w:val="3"/>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gridSpan w:val="2"/>
          </w:tcPr>
          <w:p>
            <w:pPr>
              <w:spacing w:after="0"/>
              <w:rPr>
                <w:sz w:val="19"/>
                <w:szCs w:val="19"/>
                <w:color w:val="auto"/>
              </w:rPr>
            </w:pPr>
          </w:p>
        </w:tc>
        <w:tc>
          <w:tcPr>
            <w:tcW w:w="24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4"/>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20"/>
                <w:szCs w:val="20"/>
                <w:color w:val="auto"/>
              </w:rPr>
            </w:pPr>
            <w:r>
              <w:rPr>
                <w:rFonts w:ascii="Arial" w:cs="Arial" w:eastAsia="Arial" w:hAnsi="Arial"/>
                <w:sz w:val="12"/>
                <w:szCs w:val="12"/>
                <w:color w:val="auto"/>
              </w:rPr>
              <w:t>G. Delfassy</w:t>
            </w:r>
          </w:p>
        </w:tc>
        <w:tc>
          <w:tcPr>
            <w:tcW w:w="9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25,000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75,000</w:t>
            </w:r>
          </w:p>
        </w:tc>
        <w:tc>
          <w:tcPr>
            <w:tcW w:w="340" w:type="dxa"/>
            <w:vAlign w:val="bottom"/>
            <w:gridSpan w:val="2"/>
            <w:shd w:val="clear" w:color="auto" w:fill="C0C0C0"/>
          </w:tcPr>
          <w:p>
            <w:pPr>
              <w:jc w:val="right"/>
              <w:ind w:right="119"/>
              <w:spacing w:after="0"/>
              <w:rPr>
                <w:sz w:val="20"/>
                <w:szCs w:val="20"/>
                <w:color w:val="auto"/>
              </w:rPr>
            </w:pPr>
            <w:r>
              <w:rPr>
                <w:rFonts w:ascii="Arial" w:cs="Arial" w:eastAsia="Arial" w:hAnsi="Arial"/>
                <w:sz w:val="12"/>
                <w:szCs w:val="12"/>
                <w:color w:val="auto"/>
                <w:w w:val="95"/>
              </w:rPr>
              <w:t>(3)</w:t>
            </w:r>
          </w:p>
        </w:tc>
        <w:tc>
          <w:tcPr>
            <w:tcW w:w="1060" w:type="dxa"/>
            <w:vAlign w:val="bottom"/>
            <w:gridSpan w:val="3"/>
            <w:shd w:val="clear" w:color="auto" w:fill="C0C0C0"/>
          </w:tcPr>
          <w:p>
            <w:pPr>
              <w:jc w:val="center"/>
              <w:ind w:left="219"/>
              <w:spacing w:after="0"/>
              <w:rPr>
                <w:sz w:val="20"/>
                <w:szCs w:val="20"/>
                <w:color w:val="auto"/>
              </w:rPr>
            </w:pPr>
            <w:r>
              <w:rPr>
                <w:rFonts w:ascii="Arial" w:cs="Arial" w:eastAsia="Arial" w:hAnsi="Arial"/>
                <w:sz w:val="12"/>
                <w:szCs w:val="12"/>
                <w:color w:val="auto"/>
                <w:w w:val="89"/>
              </w:rPr>
              <w:t>0</w:t>
            </w:r>
          </w:p>
        </w:tc>
        <w:tc>
          <w:tcPr>
            <w:tcW w:w="120" w:type="dxa"/>
            <w:vAlign w:val="bottom"/>
            <w:shd w:val="clear" w:color="auto" w:fill="C0C0C0"/>
          </w:tcPr>
          <w:p>
            <w:pPr>
              <w:spacing w:after="0"/>
              <w:rPr>
                <w:sz w:val="19"/>
                <w:szCs w:val="19"/>
                <w:color w:val="auto"/>
              </w:rPr>
            </w:pPr>
          </w:p>
        </w:tc>
        <w:tc>
          <w:tcPr>
            <w:tcW w:w="720" w:type="dxa"/>
            <w:vAlign w:val="bottom"/>
            <w:gridSpan w:val="3"/>
            <w:shd w:val="clear" w:color="auto" w:fill="C0C0C0"/>
          </w:tcPr>
          <w:p>
            <w:pPr>
              <w:jc w:val="right"/>
              <w:ind w:right="39"/>
              <w:spacing w:after="0"/>
              <w:rPr>
                <w:sz w:val="20"/>
                <w:szCs w:val="20"/>
                <w:color w:val="auto"/>
              </w:rPr>
            </w:pPr>
            <w:r>
              <w:rPr>
                <w:rFonts w:ascii="Arial" w:cs="Arial" w:eastAsia="Arial" w:hAnsi="Arial"/>
                <w:sz w:val="12"/>
                <w:szCs w:val="12"/>
                <w:color w:val="auto"/>
              </w:rPr>
              <w:t>$32.55</w:t>
            </w:r>
          </w:p>
        </w:tc>
        <w:tc>
          <w:tcPr>
            <w:tcW w:w="140" w:type="dxa"/>
            <w:vAlign w:val="bottom"/>
            <w:shd w:val="clear" w:color="auto" w:fill="C0C0C0"/>
          </w:tcPr>
          <w:p>
            <w:pPr>
              <w:spacing w:after="0"/>
              <w:rPr>
                <w:sz w:val="19"/>
                <w:szCs w:val="19"/>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1/19/2016</w:t>
            </w:r>
          </w:p>
        </w:tc>
        <w:tc>
          <w:tcPr>
            <w:tcW w:w="120" w:type="dxa"/>
            <w:vAlign w:val="bottom"/>
            <w:shd w:val="clear" w:color="auto" w:fill="C0C0C0"/>
          </w:tcPr>
          <w:p>
            <w:pPr>
              <w:spacing w:after="0"/>
              <w:rPr>
                <w:sz w:val="19"/>
                <w:szCs w:val="19"/>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50,000</w:t>
            </w: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(7)</w:t>
            </w:r>
          </w:p>
        </w:tc>
        <w:tc>
          <w:tcPr>
            <w:tcW w:w="120" w:type="dxa"/>
            <w:vAlign w:val="bottom"/>
            <w:shd w:val="clear" w:color="auto" w:fill="C0C0C0"/>
          </w:tcPr>
          <w:p>
            <w:pPr>
              <w:spacing w:after="0"/>
              <w:rPr>
                <w:sz w:val="19"/>
                <w:szCs w:val="19"/>
                <w:color w:val="auto"/>
              </w:rPr>
            </w:pPr>
          </w:p>
        </w:tc>
        <w:tc>
          <w:tcPr>
            <w:tcW w:w="920" w:type="dxa"/>
            <w:vAlign w:val="bottom"/>
            <w:gridSpan w:val="4"/>
            <w:shd w:val="clear" w:color="auto" w:fill="C0C0C0"/>
          </w:tcPr>
          <w:p>
            <w:pPr>
              <w:ind w:left="300"/>
              <w:spacing w:after="0"/>
              <w:rPr>
                <w:sz w:val="20"/>
                <w:szCs w:val="20"/>
                <w:color w:val="auto"/>
              </w:rPr>
            </w:pPr>
            <w:r>
              <w:rPr>
                <w:rFonts w:ascii="Arial" w:cs="Arial" w:eastAsia="Arial" w:hAnsi="Arial"/>
                <w:sz w:val="12"/>
                <w:szCs w:val="12"/>
                <w:color w:val="auto"/>
                <w:w w:val="99"/>
              </w:rPr>
              <w:t>$1,670,000</w:t>
            </w:r>
          </w:p>
        </w:tc>
        <w:tc>
          <w:tcPr>
            <w:tcW w:w="220" w:type="dxa"/>
            <w:vAlign w:val="bottom"/>
            <w:shd w:val="clear" w:color="auto" w:fill="C0C0C0"/>
          </w:tcPr>
          <w:p>
            <w:pPr>
              <w:spacing w:after="0"/>
              <w:rPr>
                <w:sz w:val="19"/>
                <w:szCs w:val="19"/>
                <w:color w:val="auto"/>
              </w:rPr>
            </w:pP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25,000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50,000</w:t>
            </w:r>
          </w:p>
        </w:tc>
        <w:tc>
          <w:tcPr>
            <w:tcW w:w="340" w:type="dxa"/>
            <w:vAlign w:val="bottom"/>
            <w:gridSpan w:val="2"/>
            <w:shd w:val="clear" w:color="auto" w:fill="C0C0C0"/>
          </w:tcPr>
          <w:p>
            <w:pPr>
              <w:jc w:val="right"/>
              <w:ind w:right="119"/>
              <w:spacing w:after="0"/>
              <w:rPr>
                <w:sz w:val="20"/>
                <w:szCs w:val="20"/>
                <w:color w:val="auto"/>
              </w:rPr>
            </w:pPr>
            <w:r>
              <w:rPr>
                <w:rFonts w:ascii="Arial" w:cs="Arial" w:eastAsia="Arial" w:hAnsi="Arial"/>
                <w:sz w:val="12"/>
                <w:szCs w:val="12"/>
                <w:color w:val="auto"/>
                <w:w w:val="95"/>
              </w:rPr>
              <w:t>(4)</w:t>
            </w:r>
          </w:p>
        </w:tc>
        <w:tc>
          <w:tcPr>
            <w:tcW w:w="1060" w:type="dxa"/>
            <w:vAlign w:val="bottom"/>
            <w:gridSpan w:val="3"/>
            <w:shd w:val="clear" w:color="auto" w:fill="C0C0C0"/>
          </w:tcPr>
          <w:p>
            <w:pPr>
              <w:jc w:val="center"/>
              <w:ind w:left="219"/>
              <w:spacing w:after="0"/>
              <w:rPr>
                <w:sz w:val="20"/>
                <w:szCs w:val="20"/>
                <w:color w:val="auto"/>
              </w:rPr>
            </w:pPr>
            <w:r>
              <w:rPr>
                <w:rFonts w:ascii="Arial" w:cs="Arial" w:eastAsia="Arial" w:hAnsi="Arial"/>
                <w:sz w:val="12"/>
                <w:szCs w:val="12"/>
                <w:color w:val="auto"/>
                <w:w w:val="89"/>
              </w:rPr>
              <w:t>0</w:t>
            </w:r>
          </w:p>
        </w:tc>
        <w:tc>
          <w:tcPr>
            <w:tcW w:w="120" w:type="dxa"/>
            <w:vAlign w:val="bottom"/>
            <w:shd w:val="clear" w:color="auto" w:fill="C0C0C0"/>
          </w:tcPr>
          <w:p>
            <w:pPr>
              <w:spacing w:after="0"/>
              <w:rPr>
                <w:sz w:val="19"/>
                <w:szCs w:val="19"/>
                <w:color w:val="auto"/>
              </w:rPr>
            </w:pPr>
          </w:p>
        </w:tc>
        <w:tc>
          <w:tcPr>
            <w:tcW w:w="720" w:type="dxa"/>
            <w:vAlign w:val="bottom"/>
            <w:gridSpan w:val="3"/>
            <w:shd w:val="clear" w:color="auto" w:fill="C0C0C0"/>
          </w:tcPr>
          <w:p>
            <w:pPr>
              <w:jc w:val="right"/>
              <w:ind w:right="39"/>
              <w:spacing w:after="0"/>
              <w:rPr>
                <w:sz w:val="20"/>
                <w:szCs w:val="20"/>
                <w:color w:val="auto"/>
              </w:rPr>
            </w:pPr>
            <w:r>
              <w:rPr>
                <w:rFonts w:ascii="Arial" w:cs="Arial" w:eastAsia="Arial" w:hAnsi="Arial"/>
                <w:sz w:val="12"/>
                <w:szCs w:val="12"/>
                <w:color w:val="auto"/>
              </w:rPr>
              <w:t>$21.55</w:t>
            </w:r>
          </w:p>
        </w:tc>
        <w:tc>
          <w:tcPr>
            <w:tcW w:w="140" w:type="dxa"/>
            <w:vAlign w:val="bottom"/>
            <w:shd w:val="clear" w:color="auto" w:fill="C0C0C0"/>
          </w:tcPr>
          <w:p>
            <w:pPr>
              <w:spacing w:after="0"/>
              <w:rPr>
                <w:sz w:val="19"/>
                <w:szCs w:val="19"/>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1/20/2015</w:t>
            </w:r>
          </w:p>
        </w:tc>
        <w:tc>
          <w:tcPr>
            <w:tcW w:w="120" w:type="dxa"/>
            <w:vAlign w:val="bottom"/>
            <w:shd w:val="clear" w:color="auto" w:fill="C0C0C0"/>
          </w:tcPr>
          <w:p>
            <w:pPr>
              <w:spacing w:after="0"/>
              <w:rPr>
                <w:sz w:val="19"/>
                <w:szCs w:val="19"/>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50,000</w:t>
            </w: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(8)</w:t>
            </w:r>
          </w:p>
        </w:tc>
        <w:tc>
          <w:tcPr>
            <w:tcW w:w="120" w:type="dxa"/>
            <w:vAlign w:val="bottom"/>
            <w:shd w:val="clear" w:color="auto" w:fill="C0C0C0"/>
          </w:tcPr>
          <w:p>
            <w:pPr>
              <w:spacing w:after="0"/>
              <w:rPr>
                <w:sz w:val="19"/>
                <w:szCs w:val="19"/>
                <w:color w:val="auto"/>
              </w:rPr>
            </w:pPr>
          </w:p>
        </w:tc>
        <w:tc>
          <w:tcPr>
            <w:tcW w:w="920" w:type="dxa"/>
            <w:vAlign w:val="bottom"/>
            <w:gridSpan w:val="4"/>
            <w:shd w:val="clear" w:color="auto" w:fill="C0C0C0"/>
          </w:tcPr>
          <w:p>
            <w:pPr>
              <w:ind w:left="300"/>
              <w:spacing w:after="0"/>
              <w:rPr>
                <w:sz w:val="20"/>
                <w:szCs w:val="20"/>
                <w:color w:val="auto"/>
              </w:rPr>
            </w:pPr>
            <w:r>
              <w:rPr>
                <w:rFonts w:ascii="Arial" w:cs="Arial" w:eastAsia="Arial" w:hAnsi="Arial"/>
                <w:sz w:val="12"/>
                <w:szCs w:val="12"/>
                <w:color w:val="auto"/>
                <w:w w:val="99"/>
              </w:rPr>
              <w:t>$1,670,000</w:t>
            </w:r>
          </w:p>
        </w:tc>
        <w:tc>
          <w:tcPr>
            <w:tcW w:w="220" w:type="dxa"/>
            <w:vAlign w:val="bottom"/>
            <w:shd w:val="clear" w:color="auto" w:fill="C0C0C0"/>
          </w:tcPr>
          <w:p>
            <w:pPr>
              <w:spacing w:after="0"/>
              <w:rPr>
                <w:sz w:val="19"/>
                <w:szCs w:val="19"/>
                <w:color w:val="auto"/>
              </w:rPr>
            </w:pP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1"/>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112,500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37,500</w:t>
            </w:r>
          </w:p>
        </w:tc>
        <w:tc>
          <w:tcPr>
            <w:tcW w:w="340" w:type="dxa"/>
            <w:vAlign w:val="bottom"/>
            <w:gridSpan w:val="2"/>
            <w:shd w:val="clear" w:color="auto" w:fill="C0C0C0"/>
          </w:tcPr>
          <w:p>
            <w:pPr>
              <w:jc w:val="right"/>
              <w:ind w:right="119"/>
              <w:spacing w:after="0"/>
              <w:rPr>
                <w:sz w:val="20"/>
                <w:szCs w:val="20"/>
                <w:color w:val="auto"/>
              </w:rPr>
            </w:pPr>
            <w:r>
              <w:rPr>
                <w:rFonts w:ascii="Arial" w:cs="Arial" w:eastAsia="Arial" w:hAnsi="Arial"/>
                <w:sz w:val="12"/>
                <w:szCs w:val="12"/>
                <w:color w:val="auto"/>
                <w:w w:val="95"/>
              </w:rPr>
              <w:t>(5)</w:t>
            </w:r>
          </w:p>
        </w:tc>
        <w:tc>
          <w:tcPr>
            <w:tcW w:w="1060" w:type="dxa"/>
            <w:vAlign w:val="bottom"/>
            <w:gridSpan w:val="3"/>
            <w:shd w:val="clear" w:color="auto" w:fill="C0C0C0"/>
          </w:tcPr>
          <w:p>
            <w:pPr>
              <w:jc w:val="center"/>
              <w:ind w:left="219"/>
              <w:spacing w:after="0"/>
              <w:rPr>
                <w:sz w:val="20"/>
                <w:szCs w:val="20"/>
                <w:color w:val="auto"/>
              </w:rPr>
            </w:pPr>
            <w:r>
              <w:rPr>
                <w:rFonts w:ascii="Arial" w:cs="Arial" w:eastAsia="Arial" w:hAnsi="Arial"/>
                <w:sz w:val="12"/>
                <w:szCs w:val="12"/>
                <w:color w:val="auto"/>
                <w:w w:val="89"/>
              </w:rPr>
              <w:t>0</w:t>
            </w:r>
          </w:p>
        </w:tc>
        <w:tc>
          <w:tcPr>
            <w:tcW w:w="120" w:type="dxa"/>
            <w:vAlign w:val="bottom"/>
            <w:shd w:val="clear" w:color="auto" w:fill="C0C0C0"/>
          </w:tcPr>
          <w:p>
            <w:pPr>
              <w:spacing w:after="0"/>
              <w:rPr>
                <w:sz w:val="19"/>
                <w:szCs w:val="19"/>
                <w:color w:val="auto"/>
              </w:rPr>
            </w:pPr>
          </w:p>
        </w:tc>
        <w:tc>
          <w:tcPr>
            <w:tcW w:w="720" w:type="dxa"/>
            <w:vAlign w:val="bottom"/>
            <w:gridSpan w:val="3"/>
            <w:shd w:val="clear" w:color="auto" w:fill="C0C0C0"/>
          </w:tcPr>
          <w:p>
            <w:pPr>
              <w:jc w:val="right"/>
              <w:ind w:right="39"/>
              <w:spacing w:after="0"/>
              <w:rPr>
                <w:sz w:val="20"/>
                <w:szCs w:val="20"/>
                <w:color w:val="auto"/>
              </w:rPr>
            </w:pPr>
            <w:r>
              <w:rPr>
                <w:rFonts w:ascii="Arial" w:cs="Arial" w:eastAsia="Arial" w:hAnsi="Arial"/>
                <w:sz w:val="12"/>
                <w:szCs w:val="12"/>
                <w:color w:val="auto"/>
              </w:rPr>
              <w:t>$32.39</w:t>
            </w:r>
          </w:p>
        </w:tc>
        <w:tc>
          <w:tcPr>
            <w:tcW w:w="140" w:type="dxa"/>
            <w:vAlign w:val="bottom"/>
            <w:shd w:val="clear" w:color="auto" w:fill="C0C0C0"/>
          </w:tcPr>
          <w:p>
            <w:pPr>
              <w:spacing w:after="0"/>
              <w:rPr>
                <w:sz w:val="19"/>
                <w:szCs w:val="19"/>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1/14/2014</w:t>
            </w:r>
          </w:p>
        </w:tc>
        <w:tc>
          <w:tcPr>
            <w:tcW w:w="120" w:type="dxa"/>
            <w:vAlign w:val="bottom"/>
            <w:shd w:val="clear" w:color="auto" w:fill="C0C0C0"/>
          </w:tcPr>
          <w:p>
            <w:pPr>
              <w:spacing w:after="0"/>
              <w:rPr>
                <w:sz w:val="19"/>
                <w:szCs w:val="19"/>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50,000</w:t>
            </w: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(9)</w:t>
            </w:r>
          </w:p>
        </w:tc>
        <w:tc>
          <w:tcPr>
            <w:tcW w:w="120" w:type="dxa"/>
            <w:vAlign w:val="bottom"/>
            <w:shd w:val="clear" w:color="auto" w:fill="C0C0C0"/>
          </w:tcPr>
          <w:p>
            <w:pPr>
              <w:spacing w:after="0"/>
              <w:rPr>
                <w:sz w:val="19"/>
                <w:szCs w:val="19"/>
                <w:color w:val="auto"/>
              </w:rPr>
            </w:pPr>
          </w:p>
        </w:tc>
        <w:tc>
          <w:tcPr>
            <w:tcW w:w="920" w:type="dxa"/>
            <w:vAlign w:val="bottom"/>
            <w:gridSpan w:val="4"/>
            <w:shd w:val="clear" w:color="auto" w:fill="C0C0C0"/>
          </w:tcPr>
          <w:p>
            <w:pPr>
              <w:ind w:left="300"/>
              <w:spacing w:after="0"/>
              <w:rPr>
                <w:sz w:val="20"/>
                <w:szCs w:val="20"/>
                <w:color w:val="auto"/>
              </w:rPr>
            </w:pPr>
            <w:r>
              <w:rPr>
                <w:rFonts w:ascii="Arial" w:cs="Arial" w:eastAsia="Arial" w:hAnsi="Arial"/>
                <w:sz w:val="12"/>
                <w:szCs w:val="12"/>
                <w:color w:val="auto"/>
                <w:w w:val="99"/>
              </w:rPr>
              <w:t>$1,670,000</w:t>
            </w:r>
          </w:p>
        </w:tc>
        <w:tc>
          <w:tcPr>
            <w:tcW w:w="220" w:type="dxa"/>
            <w:vAlign w:val="bottom"/>
            <w:shd w:val="clear" w:color="auto" w:fill="C0C0C0"/>
          </w:tcPr>
          <w:p>
            <w:pPr>
              <w:spacing w:after="0"/>
              <w:rPr>
                <w:sz w:val="19"/>
                <w:szCs w:val="19"/>
                <w:color w:val="auto"/>
              </w:rPr>
            </w:pP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220"/>
        </w:trPr>
        <w:tc>
          <w:tcPr>
            <w:tcW w:w="204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149,000</w:t>
            </w:r>
          </w:p>
        </w:tc>
        <w:tc>
          <w:tcPr>
            <w:tcW w:w="2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1060" w:type="dxa"/>
            <w:vAlign w:val="bottom"/>
            <w:gridSpan w:val="3"/>
            <w:shd w:val="clear" w:color="auto" w:fill="C0C0C0"/>
          </w:tcPr>
          <w:p>
            <w:pPr>
              <w:jc w:val="center"/>
              <w:ind w:left="219"/>
              <w:spacing w:after="0"/>
              <w:rPr>
                <w:sz w:val="20"/>
                <w:szCs w:val="20"/>
                <w:color w:val="auto"/>
              </w:rPr>
            </w:pPr>
            <w:r>
              <w:rPr>
                <w:rFonts w:ascii="Arial" w:cs="Arial" w:eastAsia="Arial" w:hAnsi="Arial"/>
                <w:sz w:val="12"/>
                <w:szCs w:val="12"/>
                <w:color w:val="auto"/>
                <w:w w:val="89"/>
              </w:rPr>
              <w:t>0</w:t>
            </w:r>
          </w:p>
        </w:tc>
        <w:tc>
          <w:tcPr>
            <w:tcW w:w="120" w:type="dxa"/>
            <w:vAlign w:val="bottom"/>
            <w:shd w:val="clear" w:color="auto" w:fill="C0C0C0"/>
          </w:tcPr>
          <w:p>
            <w:pPr>
              <w:spacing w:after="0"/>
              <w:rPr>
                <w:sz w:val="19"/>
                <w:szCs w:val="19"/>
                <w:color w:val="auto"/>
              </w:rPr>
            </w:pPr>
          </w:p>
        </w:tc>
        <w:tc>
          <w:tcPr>
            <w:tcW w:w="720" w:type="dxa"/>
            <w:vAlign w:val="bottom"/>
            <w:gridSpan w:val="3"/>
            <w:shd w:val="clear" w:color="auto" w:fill="C0C0C0"/>
          </w:tcPr>
          <w:p>
            <w:pPr>
              <w:jc w:val="right"/>
              <w:ind w:right="39"/>
              <w:spacing w:after="0"/>
              <w:rPr>
                <w:sz w:val="20"/>
                <w:szCs w:val="20"/>
                <w:color w:val="auto"/>
              </w:rPr>
            </w:pPr>
            <w:r>
              <w:rPr>
                <w:rFonts w:ascii="Arial" w:cs="Arial" w:eastAsia="Arial" w:hAnsi="Arial"/>
                <w:sz w:val="12"/>
                <w:szCs w:val="12"/>
                <w:color w:val="auto"/>
              </w:rPr>
              <w:t>$24.09</w:t>
            </w:r>
          </w:p>
        </w:tc>
        <w:tc>
          <w:tcPr>
            <w:tcW w:w="140" w:type="dxa"/>
            <w:vAlign w:val="bottom"/>
            <w:shd w:val="clear" w:color="auto" w:fill="C0C0C0"/>
          </w:tcPr>
          <w:p>
            <w:pPr>
              <w:spacing w:after="0"/>
              <w:rPr>
                <w:sz w:val="19"/>
                <w:szCs w:val="19"/>
                <w:color w:val="auto"/>
              </w:rPr>
            </w:pPr>
          </w:p>
        </w:tc>
        <w:tc>
          <w:tcPr>
            <w:tcW w:w="7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7/22/2012</w:t>
            </w:r>
          </w:p>
        </w:tc>
        <w:tc>
          <w:tcPr>
            <w:tcW w:w="120" w:type="dxa"/>
            <w:vAlign w:val="bottom"/>
            <w:shd w:val="clear" w:color="auto" w:fill="C0C0C0"/>
          </w:tcPr>
          <w:p>
            <w:pPr>
              <w:spacing w:after="0"/>
              <w:rPr>
                <w:sz w:val="19"/>
                <w:szCs w:val="19"/>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4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700" w:type="dxa"/>
            <w:vAlign w:val="bottom"/>
            <w:gridSpan w:val="2"/>
            <w:shd w:val="clear" w:color="auto" w:fill="C0C0C0"/>
          </w:tcPr>
          <w:p>
            <w:pPr>
              <w:ind w:left="420"/>
              <w:spacing w:after="0"/>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9"/>
                <w:szCs w:val="19"/>
                <w:color w:val="auto"/>
              </w:rPr>
            </w:pPr>
          </w:p>
        </w:tc>
      </w:tr>
      <w:tr>
        <w:trPr>
          <w:trHeight w:val="130"/>
        </w:trPr>
        <w:tc>
          <w:tcPr>
            <w:tcW w:w="2040" w:type="dxa"/>
            <w:vAlign w:val="bottom"/>
            <w:shd w:val="clear" w:color="auto" w:fill="C0C0C0"/>
          </w:tcPr>
          <w:p>
            <w:pPr>
              <w:spacing w:after="0"/>
              <w:rPr>
                <w:sz w:val="11"/>
                <w:szCs w:val="11"/>
                <w:color w:val="auto"/>
              </w:rPr>
            </w:pPr>
          </w:p>
        </w:tc>
        <w:tc>
          <w:tcPr>
            <w:tcW w:w="200" w:type="dxa"/>
            <w:vAlign w:val="bottom"/>
            <w:shd w:val="clear" w:color="auto" w:fill="C0C0C0"/>
          </w:tcPr>
          <w:p>
            <w:pPr>
              <w:spacing w:after="0"/>
              <w:rPr>
                <w:sz w:val="11"/>
                <w:szCs w:val="11"/>
                <w:color w:val="auto"/>
              </w:rPr>
            </w:pPr>
          </w:p>
        </w:tc>
        <w:tc>
          <w:tcPr>
            <w:tcW w:w="740" w:type="dxa"/>
            <w:vAlign w:val="bottom"/>
            <w:shd w:val="clear" w:color="auto" w:fill="C0C0C0"/>
          </w:tcPr>
          <w:p>
            <w:pPr>
              <w:jc w:val="right"/>
              <w:spacing w:after="0" w:line="130" w:lineRule="exact"/>
              <w:rPr>
                <w:sz w:val="20"/>
                <w:szCs w:val="20"/>
                <w:color w:val="auto"/>
              </w:rPr>
            </w:pPr>
            <w:r>
              <w:rPr>
                <w:rFonts w:ascii="Arial" w:cs="Arial" w:eastAsia="Arial" w:hAnsi="Arial"/>
                <w:sz w:val="12"/>
                <w:szCs w:val="12"/>
                <w:color w:val="auto"/>
              </w:rPr>
              <w:t>200,000</w:t>
            </w:r>
          </w:p>
        </w:tc>
        <w:tc>
          <w:tcPr>
            <w:tcW w:w="200" w:type="dxa"/>
            <w:vAlign w:val="bottom"/>
            <w:shd w:val="clear" w:color="auto" w:fill="C0C0C0"/>
          </w:tcPr>
          <w:p>
            <w:pPr>
              <w:spacing w:after="0"/>
              <w:rPr>
                <w:sz w:val="11"/>
                <w:szCs w:val="11"/>
                <w:color w:val="auto"/>
              </w:rPr>
            </w:pPr>
          </w:p>
        </w:tc>
        <w:tc>
          <w:tcPr>
            <w:tcW w:w="20" w:type="dxa"/>
            <w:vAlign w:val="bottom"/>
            <w:shd w:val="clear" w:color="auto" w:fill="C0C0C0"/>
          </w:tcPr>
          <w:p>
            <w:pPr>
              <w:spacing w:after="0"/>
              <w:rPr>
                <w:sz w:val="11"/>
                <w:szCs w:val="11"/>
                <w:color w:val="auto"/>
              </w:rPr>
            </w:pPr>
          </w:p>
        </w:tc>
        <w:tc>
          <w:tcPr>
            <w:tcW w:w="540" w:type="dxa"/>
            <w:vAlign w:val="bottom"/>
            <w:shd w:val="clear" w:color="auto" w:fill="C0C0C0"/>
          </w:tcPr>
          <w:p>
            <w:pPr>
              <w:jc w:val="right"/>
              <w:spacing w:after="0" w:line="130" w:lineRule="exact"/>
              <w:rPr>
                <w:sz w:val="20"/>
                <w:szCs w:val="20"/>
                <w:color w:val="auto"/>
              </w:rPr>
            </w:pPr>
            <w:r>
              <w:rPr>
                <w:rFonts w:ascii="Arial" w:cs="Arial" w:eastAsia="Arial" w:hAnsi="Arial"/>
                <w:sz w:val="12"/>
                <w:szCs w:val="12"/>
                <w:color w:val="auto"/>
              </w:rPr>
              <w:t>0</w:t>
            </w:r>
          </w:p>
        </w:tc>
        <w:tc>
          <w:tcPr>
            <w:tcW w:w="160" w:type="dxa"/>
            <w:vAlign w:val="bottom"/>
            <w:shd w:val="clear" w:color="auto" w:fill="C0C0C0"/>
          </w:tcPr>
          <w:p>
            <w:pPr>
              <w:spacing w:after="0"/>
              <w:rPr>
                <w:sz w:val="11"/>
                <w:szCs w:val="11"/>
                <w:color w:val="auto"/>
              </w:rPr>
            </w:pPr>
          </w:p>
        </w:tc>
        <w:tc>
          <w:tcPr>
            <w:tcW w:w="180" w:type="dxa"/>
            <w:vAlign w:val="bottom"/>
            <w:shd w:val="clear" w:color="auto" w:fill="C0C0C0"/>
          </w:tcPr>
          <w:p>
            <w:pPr>
              <w:spacing w:after="0"/>
              <w:rPr>
                <w:sz w:val="11"/>
                <w:szCs w:val="11"/>
                <w:color w:val="auto"/>
              </w:rPr>
            </w:pPr>
          </w:p>
        </w:tc>
        <w:tc>
          <w:tcPr>
            <w:tcW w:w="1060" w:type="dxa"/>
            <w:vAlign w:val="bottom"/>
            <w:gridSpan w:val="3"/>
            <w:shd w:val="clear" w:color="auto" w:fill="C0C0C0"/>
          </w:tcPr>
          <w:p>
            <w:pPr>
              <w:jc w:val="center"/>
              <w:ind w:left="219"/>
              <w:spacing w:after="0" w:line="130" w:lineRule="exact"/>
              <w:rPr>
                <w:sz w:val="20"/>
                <w:szCs w:val="20"/>
                <w:color w:val="auto"/>
              </w:rPr>
            </w:pPr>
            <w:r>
              <w:rPr>
                <w:rFonts w:ascii="Arial" w:cs="Arial" w:eastAsia="Arial" w:hAnsi="Arial"/>
                <w:sz w:val="12"/>
                <w:szCs w:val="12"/>
                <w:color w:val="auto"/>
                <w:w w:val="89"/>
              </w:rPr>
              <w:t>0</w:t>
            </w:r>
          </w:p>
        </w:tc>
        <w:tc>
          <w:tcPr>
            <w:tcW w:w="120" w:type="dxa"/>
            <w:vAlign w:val="bottom"/>
            <w:shd w:val="clear" w:color="auto" w:fill="C0C0C0"/>
          </w:tcPr>
          <w:p>
            <w:pPr>
              <w:spacing w:after="0"/>
              <w:rPr>
                <w:sz w:val="11"/>
                <w:szCs w:val="11"/>
                <w:color w:val="auto"/>
              </w:rPr>
            </w:pPr>
          </w:p>
        </w:tc>
        <w:tc>
          <w:tcPr>
            <w:tcW w:w="720" w:type="dxa"/>
            <w:vAlign w:val="bottom"/>
            <w:gridSpan w:val="3"/>
            <w:shd w:val="clear" w:color="auto" w:fill="C0C0C0"/>
          </w:tcPr>
          <w:p>
            <w:pPr>
              <w:jc w:val="right"/>
              <w:ind w:right="39"/>
              <w:spacing w:after="0" w:line="130" w:lineRule="exact"/>
              <w:rPr>
                <w:sz w:val="20"/>
                <w:szCs w:val="20"/>
                <w:color w:val="auto"/>
              </w:rPr>
            </w:pPr>
            <w:r>
              <w:rPr>
                <w:rFonts w:ascii="Arial" w:cs="Arial" w:eastAsia="Arial" w:hAnsi="Arial"/>
                <w:sz w:val="12"/>
                <w:szCs w:val="12"/>
                <w:color w:val="auto"/>
              </w:rPr>
              <w:t>$26.50</w:t>
            </w:r>
          </w:p>
        </w:tc>
        <w:tc>
          <w:tcPr>
            <w:tcW w:w="140" w:type="dxa"/>
            <w:vAlign w:val="bottom"/>
            <w:shd w:val="clear" w:color="auto" w:fill="C0C0C0"/>
          </w:tcPr>
          <w:p>
            <w:pPr>
              <w:spacing w:after="0"/>
              <w:rPr>
                <w:sz w:val="11"/>
                <w:szCs w:val="11"/>
                <w:color w:val="auto"/>
              </w:rPr>
            </w:pPr>
          </w:p>
        </w:tc>
        <w:tc>
          <w:tcPr>
            <w:tcW w:w="760" w:type="dxa"/>
            <w:vAlign w:val="bottom"/>
            <w:gridSpan w:val="2"/>
            <w:shd w:val="clear" w:color="auto" w:fill="C0C0C0"/>
          </w:tcPr>
          <w:p>
            <w:pPr>
              <w:jc w:val="right"/>
              <w:spacing w:after="0" w:line="130" w:lineRule="exact"/>
              <w:rPr>
                <w:sz w:val="20"/>
                <w:szCs w:val="20"/>
                <w:color w:val="auto"/>
              </w:rPr>
            </w:pPr>
            <w:r>
              <w:rPr>
                <w:rFonts w:ascii="Arial" w:cs="Arial" w:eastAsia="Arial" w:hAnsi="Arial"/>
                <w:sz w:val="12"/>
                <w:szCs w:val="12"/>
                <w:color w:val="auto"/>
              </w:rPr>
              <w:t>1/16/2012</w:t>
            </w:r>
          </w:p>
        </w:tc>
        <w:tc>
          <w:tcPr>
            <w:tcW w:w="120" w:type="dxa"/>
            <w:vAlign w:val="bottom"/>
            <w:shd w:val="clear" w:color="auto" w:fill="C0C0C0"/>
          </w:tcPr>
          <w:p>
            <w:pPr>
              <w:spacing w:after="0"/>
              <w:rPr>
                <w:sz w:val="11"/>
                <w:szCs w:val="11"/>
                <w:color w:val="auto"/>
              </w:rPr>
            </w:pPr>
          </w:p>
        </w:tc>
        <w:tc>
          <w:tcPr>
            <w:tcW w:w="680" w:type="dxa"/>
            <w:vAlign w:val="bottom"/>
            <w:gridSpan w:val="2"/>
            <w:shd w:val="clear" w:color="auto" w:fill="C0C0C0"/>
          </w:tcPr>
          <w:p>
            <w:pPr>
              <w:jc w:val="right"/>
              <w:spacing w:after="0" w:line="130" w:lineRule="exact"/>
              <w:rPr>
                <w:sz w:val="20"/>
                <w:szCs w:val="20"/>
                <w:color w:val="auto"/>
              </w:rPr>
            </w:pPr>
            <w:r>
              <w:rPr>
                <w:rFonts w:ascii="Arial" w:cs="Arial" w:eastAsia="Arial" w:hAnsi="Arial"/>
                <w:sz w:val="12"/>
                <w:szCs w:val="12"/>
                <w:color w:val="auto"/>
              </w:rPr>
              <w:t>0</w:t>
            </w:r>
          </w:p>
        </w:tc>
        <w:tc>
          <w:tcPr>
            <w:tcW w:w="140" w:type="dxa"/>
            <w:vAlign w:val="bottom"/>
            <w:shd w:val="clear" w:color="auto" w:fill="C0C0C0"/>
          </w:tcPr>
          <w:p>
            <w:pPr>
              <w:spacing w:after="0"/>
              <w:rPr>
                <w:sz w:val="11"/>
                <w:szCs w:val="11"/>
                <w:color w:val="auto"/>
              </w:rPr>
            </w:pPr>
          </w:p>
        </w:tc>
        <w:tc>
          <w:tcPr>
            <w:tcW w:w="100" w:type="dxa"/>
            <w:vAlign w:val="bottom"/>
            <w:shd w:val="clear" w:color="auto" w:fill="C0C0C0"/>
          </w:tcPr>
          <w:p>
            <w:pPr>
              <w:spacing w:after="0"/>
              <w:rPr>
                <w:sz w:val="11"/>
                <w:szCs w:val="11"/>
                <w:color w:val="auto"/>
              </w:rPr>
            </w:pPr>
          </w:p>
        </w:tc>
        <w:tc>
          <w:tcPr>
            <w:tcW w:w="120" w:type="dxa"/>
            <w:vAlign w:val="bottom"/>
            <w:shd w:val="clear" w:color="auto" w:fill="C0C0C0"/>
          </w:tcPr>
          <w:p>
            <w:pPr>
              <w:spacing w:after="0"/>
              <w:rPr>
                <w:sz w:val="11"/>
                <w:szCs w:val="11"/>
                <w:color w:val="auto"/>
              </w:rPr>
            </w:pPr>
          </w:p>
        </w:tc>
        <w:tc>
          <w:tcPr>
            <w:tcW w:w="40" w:type="dxa"/>
            <w:vAlign w:val="bottom"/>
            <w:shd w:val="clear" w:color="auto" w:fill="C0C0C0"/>
          </w:tcPr>
          <w:p>
            <w:pPr>
              <w:spacing w:after="0"/>
              <w:rPr>
                <w:sz w:val="11"/>
                <w:szCs w:val="11"/>
                <w:color w:val="auto"/>
              </w:rPr>
            </w:pPr>
          </w:p>
        </w:tc>
        <w:tc>
          <w:tcPr>
            <w:tcW w:w="340" w:type="dxa"/>
            <w:vAlign w:val="bottom"/>
            <w:shd w:val="clear" w:color="auto" w:fill="C0C0C0"/>
          </w:tcPr>
          <w:p>
            <w:pPr>
              <w:spacing w:after="0"/>
              <w:rPr>
                <w:sz w:val="11"/>
                <w:szCs w:val="11"/>
                <w:color w:val="auto"/>
              </w:rPr>
            </w:pPr>
          </w:p>
        </w:tc>
        <w:tc>
          <w:tcPr>
            <w:tcW w:w="60" w:type="dxa"/>
            <w:vAlign w:val="bottom"/>
            <w:shd w:val="clear" w:color="auto" w:fill="C0C0C0"/>
          </w:tcPr>
          <w:p>
            <w:pPr>
              <w:spacing w:after="0"/>
              <w:rPr>
                <w:sz w:val="11"/>
                <w:szCs w:val="11"/>
                <w:color w:val="auto"/>
              </w:rPr>
            </w:pPr>
          </w:p>
        </w:tc>
        <w:tc>
          <w:tcPr>
            <w:tcW w:w="700" w:type="dxa"/>
            <w:vAlign w:val="bottom"/>
            <w:gridSpan w:val="2"/>
            <w:shd w:val="clear" w:color="auto" w:fill="C0C0C0"/>
          </w:tcPr>
          <w:p>
            <w:pPr>
              <w:ind w:left="420"/>
              <w:spacing w:after="0" w:line="130" w:lineRule="exact"/>
              <w:rPr>
                <w:sz w:val="20"/>
                <w:szCs w:val="20"/>
                <w:color w:val="auto"/>
              </w:rPr>
            </w:pPr>
            <w:r>
              <w:rPr>
                <w:rFonts w:ascii="Arial" w:cs="Arial" w:eastAsia="Arial" w:hAnsi="Arial"/>
                <w:sz w:val="12"/>
                <w:szCs w:val="12"/>
                <w:color w:val="auto"/>
              </w:rPr>
              <w:t>0</w:t>
            </w:r>
          </w:p>
        </w:tc>
        <w:tc>
          <w:tcPr>
            <w:tcW w:w="1080" w:type="dxa"/>
            <w:vAlign w:val="bottom"/>
            <w:shd w:val="clear" w:color="auto" w:fill="C0C0C0"/>
          </w:tcPr>
          <w:p>
            <w:pPr>
              <w:jc w:val="center"/>
              <w:spacing w:after="0" w:line="130" w:lineRule="exact"/>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1"/>
                <w:szCs w:val="11"/>
                <w:color w:val="auto"/>
              </w:rPr>
            </w:pPr>
          </w:p>
        </w:tc>
        <w:tc>
          <w:tcPr>
            <w:tcW w:w="940" w:type="dxa"/>
            <w:vAlign w:val="bottom"/>
            <w:shd w:val="clear" w:color="auto" w:fill="C0C0C0"/>
          </w:tcPr>
          <w:p>
            <w:pPr>
              <w:jc w:val="center"/>
              <w:spacing w:after="0" w:line="130" w:lineRule="exact"/>
              <w:rPr>
                <w:sz w:val="20"/>
                <w:szCs w:val="20"/>
                <w:color w:val="auto"/>
              </w:rPr>
            </w:pPr>
            <w:r>
              <w:rPr>
                <w:rFonts w:ascii="Arial" w:cs="Arial" w:eastAsia="Arial" w:hAnsi="Arial"/>
                <w:sz w:val="12"/>
                <w:szCs w:val="12"/>
                <w:color w:val="auto"/>
                <w:w w:val="89"/>
              </w:rPr>
              <w:t>0</w:t>
            </w:r>
          </w:p>
        </w:tc>
        <w:tc>
          <w:tcPr>
            <w:tcW w:w="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7263130</wp:posOffset>
            </wp:positionH>
            <wp:positionV relativeFrom="paragraph">
              <wp:posOffset>-3843020</wp:posOffset>
            </wp:positionV>
            <wp:extent cx="1270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-3843020</wp:posOffset>
            </wp:positionV>
            <wp:extent cx="1270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23" w:name="page24"/>
    <w:bookmarkEnd w:id="23"/>
    <w:p>
      <w:pPr>
        <w:spacing w:after="0" w:line="62" w:lineRule="exact"/>
        <w:rPr>
          <w:sz w:val="20"/>
          <w:szCs w:val="20"/>
          <w:color w:val="auto"/>
        </w:rPr>
      </w:pPr>
    </w:p>
    <w:tbl>
      <w:tblPr>
        <w:tblLayout w:type="fixed"/>
        <w:tblInd w:w="2" w:type="dxa"/>
        <w:tblCellMar>
          <w:top w:w="0" w:type="dxa"/>
          <w:left w:w="0" w:type="dxa"/>
          <w:bottom w:w="0" w:type="dxa"/>
          <w:right w:w="0" w:type="dxa"/>
        </w:tblCellMar>
      </w:tblPr>
      <w:tr>
        <w:trPr>
          <w:trHeight w:val="172"/>
        </w:trPr>
        <w:tc>
          <w:tcPr>
            <w:tcW w:w="2240" w:type="dxa"/>
            <w:vAlign w:val="bottom"/>
            <w:shd w:val="clear" w:color="auto" w:fill="C0C0C0"/>
          </w:tcPr>
          <w:p>
            <w:pPr>
              <w:spacing w:after="0"/>
              <w:rPr>
                <w:sz w:val="14"/>
                <w:szCs w:val="14"/>
                <w:color w:val="auto"/>
              </w:rPr>
            </w:pPr>
          </w:p>
        </w:tc>
        <w:tc>
          <w:tcPr>
            <w:tcW w:w="740" w:type="dxa"/>
            <w:vAlign w:val="bottom"/>
            <w:shd w:val="clear" w:color="auto" w:fill="C0C0C0"/>
          </w:tcPr>
          <w:p>
            <w:pPr>
              <w:spacing w:after="0"/>
              <w:rPr>
                <w:sz w:val="14"/>
                <w:szCs w:val="14"/>
                <w:color w:val="auto"/>
              </w:rPr>
            </w:pPr>
          </w:p>
        </w:tc>
        <w:tc>
          <w:tcPr>
            <w:tcW w:w="960" w:type="dxa"/>
            <w:vAlign w:val="bottom"/>
            <w:shd w:val="clear" w:color="auto" w:fill="C0C0C0"/>
          </w:tcPr>
          <w:p>
            <w:pPr>
              <w:spacing w:after="0"/>
              <w:rPr>
                <w:sz w:val="14"/>
                <w:szCs w:val="14"/>
                <w:color w:val="auto"/>
              </w:rPr>
            </w:pPr>
          </w:p>
        </w:tc>
        <w:tc>
          <w:tcPr>
            <w:tcW w:w="1200" w:type="dxa"/>
            <w:vAlign w:val="bottom"/>
            <w:shd w:val="clear" w:color="auto" w:fill="C0C0C0"/>
          </w:tcPr>
          <w:p>
            <w:pPr>
              <w:spacing w:after="0"/>
              <w:rPr>
                <w:sz w:val="14"/>
                <w:szCs w:val="14"/>
                <w:color w:val="auto"/>
              </w:rPr>
            </w:pPr>
          </w:p>
        </w:tc>
        <w:tc>
          <w:tcPr>
            <w:tcW w:w="420" w:type="dxa"/>
            <w:vAlign w:val="bottom"/>
            <w:shd w:val="clear" w:color="auto" w:fill="C0C0C0"/>
          </w:tcPr>
          <w:p>
            <w:pPr>
              <w:spacing w:after="0"/>
              <w:rPr>
                <w:sz w:val="14"/>
                <w:szCs w:val="14"/>
                <w:color w:val="auto"/>
              </w:rPr>
            </w:pPr>
          </w:p>
        </w:tc>
        <w:tc>
          <w:tcPr>
            <w:tcW w:w="320" w:type="dxa"/>
            <w:vAlign w:val="bottom"/>
            <w:shd w:val="clear" w:color="auto" w:fill="C0C0C0"/>
          </w:tcPr>
          <w:p>
            <w:pPr>
              <w:spacing w:after="0"/>
              <w:rPr>
                <w:sz w:val="14"/>
                <w:szCs w:val="14"/>
                <w:color w:val="auto"/>
              </w:rPr>
            </w:pPr>
          </w:p>
        </w:tc>
        <w:tc>
          <w:tcPr>
            <w:tcW w:w="1000" w:type="dxa"/>
            <w:vAlign w:val="bottom"/>
            <w:shd w:val="clear" w:color="auto" w:fill="C0C0C0"/>
          </w:tcPr>
          <w:p>
            <w:pPr>
              <w:spacing w:after="0"/>
              <w:rPr>
                <w:sz w:val="14"/>
                <w:szCs w:val="14"/>
                <w:color w:val="auto"/>
              </w:rPr>
            </w:pPr>
          </w:p>
        </w:tc>
        <w:tc>
          <w:tcPr>
            <w:tcW w:w="200" w:type="dxa"/>
            <w:vAlign w:val="bottom"/>
            <w:shd w:val="clear" w:color="auto" w:fill="C0C0C0"/>
          </w:tcPr>
          <w:p>
            <w:pPr>
              <w:spacing w:after="0"/>
              <w:rPr>
                <w:sz w:val="14"/>
                <w:szCs w:val="14"/>
                <w:color w:val="auto"/>
              </w:rPr>
            </w:pPr>
          </w:p>
        </w:tc>
        <w:tc>
          <w:tcPr>
            <w:tcW w:w="580" w:type="dxa"/>
            <w:vAlign w:val="bottom"/>
            <w:shd w:val="clear" w:color="auto" w:fill="C0C0C0"/>
          </w:tcPr>
          <w:p>
            <w:pPr>
              <w:spacing w:after="0"/>
              <w:rPr>
                <w:sz w:val="14"/>
                <w:szCs w:val="14"/>
                <w:color w:val="auto"/>
              </w:rPr>
            </w:pPr>
          </w:p>
        </w:tc>
        <w:tc>
          <w:tcPr>
            <w:tcW w:w="760" w:type="dxa"/>
            <w:vAlign w:val="bottom"/>
            <w:shd w:val="clear" w:color="auto" w:fill="C0C0C0"/>
          </w:tcPr>
          <w:p>
            <w:pPr>
              <w:spacing w:after="0"/>
              <w:rPr>
                <w:sz w:val="14"/>
                <w:szCs w:val="14"/>
                <w:color w:val="auto"/>
              </w:rPr>
            </w:pPr>
          </w:p>
        </w:tc>
        <w:tc>
          <w:tcPr>
            <w:tcW w:w="540" w:type="dxa"/>
            <w:vAlign w:val="bottom"/>
            <w:shd w:val="clear" w:color="auto" w:fill="C0C0C0"/>
          </w:tcPr>
          <w:p>
            <w:pPr>
              <w:spacing w:after="0"/>
              <w:rPr>
                <w:sz w:val="14"/>
                <w:szCs w:val="14"/>
                <w:color w:val="auto"/>
              </w:rPr>
            </w:pPr>
          </w:p>
        </w:tc>
        <w:tc>
          <w:tcPr>
            <w:tcW w:w="1300" w:type="dxa"/>
            <w:vAlign w:val="bottom"/>
            <w:shd w:val="clear" w:color="auto" w:fill="C0C0C0"/>
          </w:tcPr>
          <w:p>
            <w:pPr>
              <w:spacing w:after="0"/>
              <w:rPr>
                <w:sz w:val="14"/>
                <w:szCs w:val="14"/>
                <w:color w:val="auto"/>
              </w:rPr>
            </w:pPr>
          </w:p>
        </w:tc>
        <w:tc>
          <w:tcPr>
            <w:tcW w:w="220" w:type="dxa"/>
            <w:vAlign w:val="bottom"/>
            <w:shd w:val="clear" w:color="auto" w:fill="C0C0C0"/>
          </w:tcPr>
          <w:p>
            <w:pPr>
              <w:spacing w:after="0"/>
              <w:rPr>
                <w:sz w:val="14"/>
                <w:szCs w:val="14"/>
                <w:color w:val="auto"/>
              </w:rPr>
            </w:pPr>
          </w:p>
        </w:tc>
        <w:tc>
          <w:tcPr>
            <w:tcW w:w="940" w:type="dxa"/>
            <w:vAlign w:val="bottom"/>
            <w:shd w:val="clear" w:color="auto" w:fill="C0C0C0"/>
          </w:tcPr>
          <w:p>
            <w:pPr>
              <w:spacing w:after="0"/>
              <w:rPr>
                <w:sz w:val="14"/>
                <w:szCs w:val="14"/>
                <w:color w:val="auto"/>
              </w:rPr>
            </w:pPr>
          </w:p>
        </w:tc>
      </w:tr>
      <w:tr>
        <w:trPr>
          <w:trHeight w:val="49"/>
        </w:trPr>
        <w:tc>
          <w:tcPr>
            <w:tcW w:w="2240" w:type="dxa"/>
            <w:vAlign w:val="bottom"/>
            <w:shd w:val="clear" w:color="auto" w:fill="C0C0C0"/>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shd w:val="clear" w:color="auto" w:fill="C0C0C0"/>
          </w:tcPr>
          <w:p>
            <w:pPr>
              <w:spacing w:after="0"/>
              <w:rPr>
                <w:sz w:val="4"/>
                <w:szCs w:val="4"/>
                <w:color w:val="auto"/>
              </w:rPr>
            </w:pPr>
          </w:p>
        </w:tc>
        <w:tc>
          <w:tcPr>
            <w:tcW w:w="1200" w:type="dxa"/>
            <w:vAlign w:val="bottom"/>
            <w:shd w:val="clear" w:color="auto" w:fill="C0C0C0"/>
          </w:tcPr>
          <w:p>
            <w:pPr>
              <w:spacing w:after="0"/>
              <w:rPr>
                <w:sz w:val="4"/>
                <w:szCs w:val="4"/>
                <w:color w:val="auto"/>
              </w:rPr>
            </w:pPr>
          </w:p>
        </w:tc>
        <w:tc>
          <w:tcPr>
            <w:tcW w:w="420" w:type="dxa"/>
            <w:vAlign w:val="bottom"/>
            <w:shd w:val="clear" w:color="auto" w:fill="C0C0C0"/>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shd w:val="clear" w:color="auto" w:fill="C0C0C0"/>
          </w:tcPr>
          <w:p>
            <w:pPr>
              <w:spacing w:after="0"/>
              <w:rPr>
                <w:sz w:val="4"/>
                <w:szCs w:val="4"/>
                <w:color w:val="auto"/>
              </w:rPr>
            </w:pPr>
          </w:p>
        </w:tc>
        <w:tc>
          <w:tcPr>
            <w:tcW w:w="200" w:type="dxa"/>
            <w:vAlign w:val="bottom"/>
            <w:shd w:val="clear" w:color="auto" w:fill="C0C0C0"/>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shd w:val="clear" w:color="auto" w:fill="C0C0C0"/>
          </w:tcPr>
          <w:p>
            <w:pPr>
              <w:spacing w:after="0"/>
              <w:rPr>
                <w:sz w:val="4"/>
                <w:szCs w:val="4"/>
                <w:color w:val="auto"/>
              </w:rPr>
            </w:pPr>
          </w:p>
        </w:tc>
        <w:tc>
          <w:tcPr>
            <w:tcW w:w="540" w:type="dxa"/>
            <w:vAlign w:val="bottom"/>
          </w:tcPr>
          <w:p>
            <w:pPr>
              <w:spacing w:after="0"/>
              <w:rPr>
                <w:sz w:val="4"/>
                <w:szCs w:val="4"/>
                <w:color w:val="auto"/>
              </w:rPr>
            </w:pPr>
          </w:p>
        </w:tc>
        <w:tc>
          <w:tcPr>
            <w:tcW w:w="1300" w:type="dxa"/>
            <w:vAlign w:val="bottom"/>
            <w:shd w:val="clear" w:color="auto" w:fill="C0C0C0"/>
          </w:tcPr>
          <w:p>
            <w:pPr>
              <w:spacing w:after="0"/>
              <w:rPr>
                <w:sz w:val="4"/>
                <w:szCs w:val="4"/>
                <w:color w:val="auto"/>
              </w:rPr>
            </w:pPr>
          </w:p>
        </w:tc>
        <w:tc>
          <w:tcPr>
            <w:tcW w:w="220" w:type="dxa"/>
            <w:vAlign w:val="bottom"/>
            <w:shd w:val="clear" w:color="auto" w:fill="C0C0C0"/>
          </w:tcPr>
          <w:p>
            <w:pPr>
              <w:spacing w:after="0"/>
              <w:rPr>
                <w:sz w:val="4"/>
                <w:szCs w:val="4"/>
                <w:color w:val="auto"/>
              </w:rPr>
            </w:pPr>
          </w:p>
        </w:tc>
        <w:tc>
          <w:tcPr>
            <w:tcW w:w="940" w:type="dxa"/>
            <w:vAlign w:val="bottom"/>
          </w:tcPr>
          <w:p>
            <w:pPr>
              <w:spacing w:after="0"/>
              <w:rPr>
                <w:sz w:val="4"/>
                <w:szCs w:val="4"/>
                <w:color w:val="auto"/>
              </w:rPr>
            </w:pPr>
          </w:p>
        </w:tc>
      </w:tr>
      <w:tr>
        <w:trPr>
          <w:trHeight w:val="221"/>
        </w:trPr>
        <w:tc>
          <w:tcPr>
            <w:tcW w:w="224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90,000</w:t>
            </w:r>
          </w:p>
        </w:tc>
        <w:tc>
          <w:tcPr>
            <w:tcW w:w="960" w:type="dxa"/>
            <w:vAlign w:val="bottom"/>
            <w:shd w:val="clear" w:color="auto" w:fill="C0C0C0"/>
          </w:tcPr>
          <w:p>
            <w:pPr>
              <w:jc w:val="right"/>
              <w:ind w:right="159"/>
              <w:spacing w:after="0"/>
              <w:rPr>
                <w:sz w:val="20"/>
                <w:szCs w:val="20"/>
                <w:color w:val="auto"/>
              </w:rPr>
            </w:pPr>
            <w:r>
              <w:rPr>
                <w:rFonts w:ascii="Arial" w:cs="Arial" w:eastAsia="Arial" w:hAnsi="Arial"/>
                <w:sz w:val="12"/>
                <w:szCs w:val="12"/>
                <w:color w:val="auto"/>
              </w:rPr>
              <w:t>0</w:t>
            </w:r>
          </w:p>
        </w:tc>
        <w:tc>
          <w:tcPr>
            <w:tcW w:w="1200" w:type="dxa"/>
            <w:vAlign w:val="bottom"/>
            <w:shd w:val="clear" w:color="auto" w:fill="C0C0C0"/>
          </w:tcPr>
          <w:p>
            <w:pPr>
              <w:jc w:val="right"/>
              <w:ind w:right="299"/>
              <w:spacing w:after="0"/>
              <w:rPr>
                <w:sz w:val="20"/>
                <w:szCs w:val="20"/>
                <w:color w:val="auto"/>
              </w:rPr>
            </w:pPr>
            <w:r>
              <w:rPr>
                <w:rFonts w:ascii="Arial" w:cs="Arial" w:eastAsia="Arial" w:hAnsi="Arial"/>
                <w:sz w:val="12"/>
                <w:szCs w:val="12"/>
                <w:color w:val="auto"/>
              </w:rPr>
              <w:t>0</w:t>
            </w:r>
          </w:p>
        </w:tc>
        <w:tc>
          <w:tcPr>
            <w:tcW w:w="7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$31.30</w:t>
            </w:r>
          </w:p>
        </w:tc>
        <w:tc>
          <w:tcPr>
            <w:tcW w:w="10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11/29/2011</w:t>
            </w: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3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300" w:type="dxa"/>
            <w:vAlign w:val="bottom"/>
            <w:shd w:val="clear" w:color="auto" w:fill="C0C0C0"/>
          </w:tcPr>
          <w:p>
            <w:pPr>
              <w:jc w:val="right"/>
              <w:ind w:right="439"/>
              <w:spacing w:after="0"/>
              <w:rPr>
                <w:sz w:val="20"/>
                <w:szCs w:val="20"/>
                <w:color w:val="auto"/>
              </w:rPr>
            </w:pPr>
            <w:r>
              <w:rPr>
                <w:rFonts w:ascii="Arial" w:cs="Arial" w:eastAsia="Arial" w:hAnsi="Arial"/>
                <w:sz w:val="12"/>
                <w:szCs w:val="12"/>
                <w:color w:val="auto"/>
              </w:rPr>
              <w:t>0</w:t>
            </w:r>
          </w:p>
        </w:tc>
        <w:tc>
          <w:tcPr>
            <w:tcW w:w="1160" w:type="dxa"/>
            <w:vAlign w:val="bottom"/>
            <w:gridSpan w:val="2"/>
            <w:shd w:val="clear" w:color="auto" w:fill="C0C0C0"/>
          </w:tcPr>
          <w:p>
            <w:pPr>
              <w:jc w:val="right"/>
              <w:ind w:right="379"/>
              <w:spacing w:after="0"/>
              <w:rPr>
                <w:sz w:val="20"/>
                <w:szCs w:val="20"/>
                <w:color w:val="auto"/>
              </w:rPr>
            </w:pPr>
            <w:r>
              <w:rPr>
                <w:rFonts w:ascii="Arial" w:cs="Arial" w:eastAsia="Arial" w:hAnsi="Arial"/>
                <w:sz w:val="12"/>
                <w:szCs w:val="12"/>
                <w:color w:val="auto"/>
              </w:rPr>
              <w:t>0</w:t>
            </w:r>
          </w:p>
        </w:tc>
      </w:tr>
      <w:tr>
        <w:trPr>
          <w:trHeight w:val="221"/>
        </w:trPr>
        <w:tc>
          <w:tcPr>
            <w:tcW w:w="224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100,000</w:t>
            </w:r>
          </w:p>
        </w:tc>
        <w:tc>
          <w:tcPr>
            <w:tcW w:w="960" w:type="dxa"/>
            <w:vAlign w:val="bottom"/>
            <w:shd w:val="clear" w:color="auto" w:fill="C0C0C0"/>
          </w:tcPr>
          <w:p>
            <w:pPr>
              <w:jc w:val="right"/>
              <w:ind w:right="159"/>
              <w:spacing w:after="0"/>
              <w:rPr>
                <w:sz w:val="20"/>
                <w:szCs w:val="20"/>
                <w:color w:val="auto"/>
              </w:rPr>
            </w:pPr>
            <w:r>
              <w:rPr>
                <w:rFonts w:ascii="Arial" w:cs="Arial" w:eastAsia="Arial" w:hAnsi="Arial"/>
                <w:sz w:val="12"/>
                <w:szCs w:val="12"/>
                <w:color w:val="auto"/>
              </w:rPr>
              <w:t>0</w:t>
            </w:r>
          </w:p>
        </w:tc>
        <w:tc>
          <w:tcPr>
            <w:tcW w:w="1200" w:type="dxa"/>
            <w:vAlign w:val="bottom"/>
            <w:shd w:val="clear" w:color="auto" w:fill="C0C0C0"/>
          </w:tcPr>
          <w:p>
            <w:pPr>
              <w:jc w:val="right"/>
              <w:ind w:right="299"/>
              <w:spacing w:after="0"/>
              <w:rPr>
                <w:sz w:val="20"/>
                <w:szCs w:val="20"/>
                <w:color w:val="auto"/>
              </w:rPr>
            </w:pPr>
            <w:r>
              <w:rPr>
                <w:rFonts w:ascii="Arial" w:cs="Arial" w:eastAsia="Arial" w:hAnsi="Arial"/>
                <w:sz w:val="12"/>
                <w:szCs w:val="12"/>
                <w:color w:val="auto"/>
              </w:rPr>
              <w:t>0</w:t>
            </w:r>
          </w:p>
        </w:tc>
        <w:tc>
          <w:tcPr>
            <w:tcW w:w="7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$50.38</w:t>
            </w:r>
          </w:p>
        </w:tc>
        <w:tc>
          <w:tcPr>
            <w:tcW w:w="10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1/17/2011</w:t>
            </w: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C0C0C0"/>
          </w:tcPr>
          <w:p>
            <w:pPr>
              <w:spacing w:after="0"/>
              <w:rPr>
                <w:sz w:val="19"/>
                <w:szCs w:val="19"/>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300" w:type="dxa"/>
            <w:vAlign w:val="bottom"/>
            <w:shd w:val="clear" w:color="auto" w:fill="C0C0C0"/>
          </w:tcPr>
          <w:p>
            <w:pPr>
              <w:jc w:val="right"/>
              <w:ind w:right="439"/>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right"/>
              <w:ind w:right="379"/>
              <w:spacing w:after="0"/>
              <w:rPr>
                <w:sz w:val="20"/>
                <w:szCs w:val="20"/>
                <w:color w:val="auto"/>
              </w:rPr>
            </w:pPr>
            <w:r>
              <w:rPr>
                <w:rFonts w:ascii="Arial" w:cs="Arial" w:eastAsia="Arial" w:hAnsi="Arial"/>
                <w:sz w:val="12"/>
                <w:szCs w:val="12"/>
                <w:color w:val="auto"/>
              </w:rPr>
              <w:t>0</w:t>
            </w:r>
          </w:p>
        </w:tc>
      </w:tr>
      <w:tr>
        <w:trPr>
          <w:trHeight w:val="221"/>
        </w:trPr>
        <w:tc>
          <w:tcPr>
            <w:tcW w:w="224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80,000</w:t>
            </w:r>
          </w:p>
        </w:tc>
        <w:tc>
          <w:tcPr>
            <w:tcW w:w="960" w:type="dxa"/>
            <w:vAlign w:val="bottom"/>
            <w:shd w:val="clear" w:color="auto" w:fill="C0C0C0"/>
          </w:tcPr>
          <w:p>
            <w:pPr>
              <w:jc w:val="right"/>
              <w:ind w:right="159"/>
              <w:spacing w:after="0"/>
              <w:rPr>
                <w:sz w:val="20"/>
                <w:szCs w:val="20"/>
                <w:color w:val="auto"/>
              </w:rPr>
            </w:pPr>
            <w:r>
              <w:rPr>
                <w:rFonts w:ascii="Arial" w:cs="Arial" w:eastAsia="Arial" w:hAnsi="Arial"/>
                <w:sz w:val="12"/>
                <w:szCs w:val="12"/>
                <w:color w:val="auto"/>
              </w:rPr>
              <w:t>0</w:t>
            </w:r>
          </w:p>
        </w:tc>
        <w:tc>
          <w:tcPr>
            <w:tcW w:w="1200" w:type="dxa"/>
            <w:vAlign w:val="bottom"/>
            <w:shd w:val="clear" w:color="auto" w:fill="C0C0C0"/>
          </w:tcPr>
          <w:p>
            <w:pPr>
              <w:jc w:val="right"/>
              <w:ind w:right="299"/>
              <w:spacing w:after="0"/>
              <w:rPr>
                <w:sz w:val="20"/>
                <w:szCs w:val="20"/>
                <w:color w:val="auto"/>
              </w:rPr>
            </w:pPr>
            <w:r>
              <w:rPr>
                <w:rFonts w:ascii="Arial" w:cs="Arial" w:eastAsia="Arial" w:hAnsi="Arial"/>
                <w:sz w:val="12"/>
                <w:szCs w:val="12"/>
                <w:color w:val="auto"/>
              </w:rPr>
              <w:t>0</w:t>
            </w:r>
          </w:p>
        </w:tc>
        <w:tc>
          <w:tcPr>
            <w:tcW w:w="7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$55.22</w:t>
            </w:r>
          </w:p>
        </w:tc>
        <w:tc>
          <w:tcPr>
            <w:tcW w:w="10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1/19/2010</w:t>
            </w:r>
          </w:p>
        </w:tc>
        <w:tc>
          <w:tcPr>
            <w:tcW w:w="200" w:type="dxa"/>
            <w:vAlign w:val="bottom"/>
            <w:shd w:val="clear" w:color="auto" w:fill="C0C0C0"/>
          </w:tcPr>
          <w:p>
            <w:pPr>
              <w:spacing w:after="0"/>
              <w:rPr>
                <w:sz w:val="19"/>
                <w:szCs w:val="19"/>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C0C0C0"/>
          </w:tcPr>
          <w:p>
            <w:pPr>
              <w:spacing w:after="0"/>
              <w:rPr>
                <w:sz w:val="19"/>
                <w:szCs w:val="19"/>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300" w:type="dxa"/>
            <w:vAlign w:val="bottom"/>
            <w:shd w:val="clear" w:color="auto" w:fill="C0C0C0"/>
          </w:tcPr>
          <w:p>
            <w:pPr>
              <w:jc w:val="right"/>
              <w:ind w:right="439"/>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right"/>
              <w:ind w:right="379"/>
              <w:spacing w:after="0"/>
              <w:rPr>
                <w:sz w:val="20"/>
                <w:szCs w:val="20"/>
                <w:color w:val="auto"/>
              </w:rPr>
            </w:pPr>
            <w:r>
              <w:rPr>
                <w:rFonts w:ascii="Arial" w:cs="Arial" w:eastAsia="Arial" w:hAnsi="Arial"/>
                <w:sz w:val="12"/>
                <w:szCs w:val="12"/>
                <w:color w:val="auto"/>
              </w:rPr>
              <w:t>0</w:t>
            </w:r>
          </w:p>
        </w:tc>
      </w:tr>
      <w:tr>
        <w:trPr>
          <w:trHeight w:val="221"/>
        </w:trPr>
        <w:tc>
          <w:tcPr>
            <w:tcW w:w="2240" w:type="dxa"/>
            <w:vAlign w:val="bottom"/>
            <w:shd w:val="clear" w:color="auto" w:fill="C0C0C0"/>
          </w:tcPr>
          <w:p>
            <w:pPr>
              <w:spacing w:after="0"/>
              <w:rPr>
                <w:sz w:val="19"/>
                <w:szCs w:val="19"/>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40,000</w:t>
            </w:r>
          </w:p>
        </w:tc>
        <w:tc>
          <w:tcPr>
            <w:tcW w:w="960" w:type="dxa"/>
            <w:vAlign w:val="bottom"/>
            <w:shd w:val="clear" w:color="auto" w:fill="C0C0C0"/>
          </w:tcPr>
          <w:p>
            <w:pPr>
              <w:jc w:val="right"/>
              <w:ind w:right="159"/>
              <w:spacing w:after="0"/>
              <w:rPr>
                <w:sz w:val="20"/>
                <w:szCs w:val="20"/>
                <w:color w:val="auto"/>
              </w:rPr>
            </w:pPr>
            <w:r>
              <w:rPr>
                <w:rFonts w:ascii="Arial" w:cs="Arial" w:eastAsia="Arial" w:hAnsi="Arial"/>
                <w:sz w:val="12"/>
                <w:szCs w:val="12"/>
                <w:color w:val="auto"/>
              </w:rPr>
              <w:t>0</w:t>
            </w:r>
          </w:p>
        </w:tc>
        <w:tc>
          <w:tcPr>
            <w:tcW w:w="1200" w:type="dxa"/>
            <w:vAlign w:val="bottom"/>
            <w:shd w:val="clear" w:color="auto" w:fill="C0C0C0"/>
          </w:tcPr>
          <w:p>
            <w:pPr>
              <w:jc w:val="right"/>
              <w:ind w:right="299"/>
              <w:spacing w:after="0"/>
              <w:rPr>
                <w:sz w:val="20"/>
                <w:szCs w:val="20"/>
                <w:color w:val="auto"/>
              </w:rPr>
            </w:pPr>
            <w:r>
              <w:rPr>
                <w:rFonts w:ascii="Arial" w:cs="Arial" w:eastAsia="Arial" w:hAnsi="Arial"/>
                <w:sz w:val="12"/>
                <w:szCs w:val="12"/>
                <w:color w:val="auto"/>
              </w:rPr>
              <w:t>0</w:t>
            </w:r>
          </w:p>
        </w:tc>
        <w:tc>
          <w:tcPr>
            <w:tcW w:w="7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$24.90</w:t>
            </w:r>
          </w:p>
        </w:tc>
        <w:tc>
          <w:tcPr>
            <w:tcW w:w="10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1/20/2009</w:t>
            </w:r>
          </w:p>
        </w:tc>
        <w:tc>
          <w:tcPr>
            <w:tcW w:w="200" w:type="dxa"/>
            <w:vAlign w:val="bottom"/>
            <w:shd w:val="clear" w:color="auto" w:fill="C0C0C0"/>
          </w:tcPr>
          <w:p>
            <w:pPr>
              <w:spacing w:after="0"/>
              <w:rPr>
                <w:sz w:val="19"/>
                <w:szCs w:val="19"/>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760" w:type="dxa"/>
            <w:vAlign w:val="bottom"/>
            <w:shd w:val="clear" w:color="auto" w:fill="C0C0C0"/>
          </w:tcPr>
          <w:p>
            <w:pPr>
              <w:spacing w:after="0"/>
              <w:rPr>
                <w:sz w:val="19"/>
                <w:szCs w:val="19"/>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0</w:t>
            </w:r>
          </w:p>
        </w:tc>
        <w:tc>
          <w:tcPr>
            <w:tcW w:w="1300" w:type="dxa"/>
            <w:vAlign w:val="bottom"/>
            <w:shd w:val="clear" w:color="auto" w:fill="C0C0C0"/>
          </w:tcPr>
          <w:p>
            <w:pPr>
              <w:jc w:val="right"/>
              <w:ind w:right="439"/>
              <w:spacing w:after="0"/>
              <w:rPr>
                <w:sz w:val="20"/>
                <w:szCs w:val="20"/>
                <w:color w:val="auto"/>
              </w:rPr>
            </w:pPr>
            <w:r>
              <w:rPr>
                <w:rFonts w:ascii="Arial" w:cs="Arial" w:eastAsia="Arial" w:hAnsi="Arial"/>
                <w:sz w:val="12"/>
                <w:szCs w:val="12"/>
                <w:color w:val="auto"/>
              </w:rPr>
              <w:t>0</w:t>
            </w:r>
          </w:p>
        </w:tc>
        <w:tc>
          <w:tcPr>
            <w:tcW w:w="220" w:type="dxa"/>
            <w:vAlign w:val="bottom"/>
            <w:shd w:val="clear" w:color="auto" w:fill="C0C0C0"/>
          </w:tcPr>
          <w:p>
            <w:pPr>
              <w:spacing w:after="0"/>
              <w:rPr>
                <w:sz w:val="19"/>
                <w:szCs w:val="19"/>
                <w:color w:val="auto"/>
              </w:rPr>
            </w:pPr>
          </w:p>
        </w:tc>
        <w:tc>
          <w:tcPr>
            <w:tcW w:w="940" w:type="dxa"/>
            <w:vAlign w:val="bottom"/>
            <w:shd w:val="clear" w:color="auto" w:fill="C0C0C0"/>
          </w:tcPr>
          <w:p>
            <w:pPr>
              <w:jc w:val="right"/>
              <w:ind w:right="379"/>
              <w:spacing w:after="0"/>
              <w:rPr>
                <w:sz w:val="20"/>
                <w:szCs w:val="20"/>
                <w:color w:val="auto"/>
              </w:rPr>
            </w:pPr>
            <w:r>
              <w:rPr>
                <w:rFonts w:ascii="Arial" w:cs="Arial" w:eastAsia="Arial" w:hAnsi="Arial"/>
                <w:sz w:val="12"/>
                <w:szCs w:val="12"/>
                <w:color w:val="auto"/>
              </w:rPr>
              <w:t>0</w:t>
            </w:r>
          </w:p>
        </w:tc>
      </w:tr>
    </w:tbl>
    <w:p>
      <w:pPr>
        <w:spacing w:after="0" w:line="177" w:lineRule="exact"/>
        <w:rPr>
          <w:sz w:val="20"/>
          <w:szCs w:val="20"/>
          <w:color w:val="auto"/>
        </w:rPr>
      </w:pPr>
    </w:p>
    <w:p>
      <w:pPr>
        <w:ind w:left="2"/>
        <w:spacing w:after="0"/>
        <w:rPr>
          <w:sz w:val="20"/>
          <w:szCs w:val="20"/>
          <w:color w:val="auto"/>
        </w:rPr>
      </w:pPr>
      <w:r>
        <w:rPr>
          <w:rFonts w:ascii="Arial" w:cs="Arial" w:eastAsia="Arial" w:hAnsi="Arial"/>
          <w:sz w:val="20"/>
          <w:szCs w:val="20"/>
          <w:color w:val="auto"/>
        </w:rPr>
        <w:t>____________________</w:t>
      </w:r>
    </w:p>
    <w:p>
      <w:pPr>
        <w:spacing w:after="0" w:line="221" w:lineRule="exact"/>
        <w:rPr>
          <w:sz w:val="20"/>
          <w:szCs w:val="20"/>
          <w:color w:val="auto"/>
        </w:rPr>
      </w:pPr>
    </w:p>
    <w:p>
      <w:pPr>
        <w:ind w:left="542" w:hanging="542"/>
        <w:spacing w:after="0"/>
        <w:tabs>
          <w:tab w:leader="none" w:pos="542" w:val="left"/>
        </w:tabs>
        <w:numPr>
          <w:ilvl w:val="0"/>
          <w:numId w:val="30"/>
        </w:numPr>
        <w:rPr>
          <w:rFonts w:ascii="Arial" w:cs="Arial" w:eastAsia="Arial" w:hAnsi="Arial"/>
          <w:sz w:val="16"/>
          <w:szCs w:val="16"/>
          <w:color w:val="auto"/>
        </w:rPr>
      </w:pPr>
      <w:r>
        <w:rPr>
          <w:rFonts w:ascii="Arial" w:cs="Arial" w:eastAsia="Arial" w:hAnsi="Arial"/>
          <w:sz w:val="16"/>
          <w:szCs w:val="16"/>
          <w:color w:val="auto"/>
        </w:rPr>
        <w:t>Calculated by multiplying the number of restricted stock units by the closing price of TI’s common stock on December 31, 2007 ($33.40).</w:t>
      </w:r>
    </w:p>
    <w:p>
      <w:pPr>
        <w:spacing w:after="0" w:line="244" w:lineRule="exact"/>
        <w:rPr>
          <w:rFonts w:ascii="Arial" w:cs="Arial" w:eastAsia="Arial" w:hAnsi="Arial"/>
          <w:sz w:val="16"/>
          <w:szCs w:val="16"/>
          <w:color w:val="auto"/>
        </w:rPr>
      </w:pPr>
    </w:p>
    <w:p>
      <w:pPr>
        <w:ind w:left="542" w:right="40" w:hanging="542"/>
        <w:spacing w:after="0" w:line="250" w:lineRule="auto"/>
        <w:tabs>
          <w:tab w:leader="none" w:pos="542"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One-quarter of the shares became exercisable on January 18, 2008, and one-quarter of the remaining shares become exercisable on each of January 18, 2009, January 18, 2010, and January 18, 2011.</w:t>
      </w:r>
    </w:p>
    <w:p>
      <w:pPr>
        <w:spacing w:after="0" w:line="204" w:lineRule="exact"/>
        <w:rPr>
          <w:rFonts w:ascii="Arial" w:cs="Arial" w:eastAsia="Arial" w:hAnsi="Arial"/>
          <w:sz w:val="16"/>
          <w:szCs w:val="16"/>
          <w:color w:val="auto"/>
        </w:rPr>
      </w:pPr>
    </w:p>
    <w:p>
      <w:pPr>
        <w:ind w:left="542" w:hanging="542"/>
        <w:spacing w:after="0" w:line="250" w:lineRule="auto"/>
        <w:tabs>
          <w:tab w:leader="none" w:pos="542"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One-third of the shares became exercisable on January 19, 2008, and one-third of the remaining shares become exercisable on each of January 19, 2009, and January 19, 2010.</w:t>
      </w:r>
    </w:p>
    <w:p>
      <w:pPr>
        <w:spacing w:after="0" w:line="204" w:lineRule="exact"/>
        <w:rPr>
          <w:rFonts w:ascii="Arial" w:cs="Arial" w:eastAsia="Arial" w:hAnsi="Arial"/>
          <w:sz w:val="16"/>
          <w:szCs w:val="16"/>
          <w:color w:val="auto"/>
        </w:rPr>
      </w:pPr>
    </w:p>
    <w:p>
      <w:pPr>
        <w:ind w:left="542" w:hanging="542"/>
        <w:spacing w:after="0"/>
        <w:tabs>
          <w:tab w:leader="none" w:pos="542" w:val="left"/>
        </w:tabs>
        <w:numPr>
          <w:ilvl w:val="0"/>
          <w:numId w:val="30"/>
        </w:numPr>
        <w:rPr>
          <w:rFonts w:ascii="Arial" w:cs="Arial" w:eastAsia="Arial" w:hAnsi="Arial"/>
          <w:sz w:val="16"/>
          <w:szCs w:val="16"/>
          <w:color w:val="auto"/>
        </w:rPr>
      </w:pPr>
      <w:r>
        <w:rPr>
          <w:rFonts w:ascii="Arial" w:cs="Arial" w:eastAsia="Arial" w:hAnsi="Arial"/>
          <w:sz w:val="16"/>
          <w:szCs w:val="16"/>
          <w:color w:val="auto"/>
        </w:rPr>
        <w:t>One-half of the shares became exercisable on January 20, 2008, and the remaining one-half become exercisable on January 20, 2009.</w:t>
      </w:r>
    </w:p>
    <w:p>
      <w:pPr>
        <w:spacing w:after="0" w:line="220" w:lineRule="exact"/>
        <w:rPr>
          <w:rFonts w:ascii="Arial" w:cs="Arial" w:eastAsia="Arial" w:hAnsi="Arial"/>
          <w:sz w:val="16"/>
          <w:szCs w:val="16"/>
          <w:color w:val="auto"/>
        </w:rPr>
      </w:pPr>
    </w:p>
    <w:p>
      <w:pPr>
        <w:ind w:left="542" w:hanging="542"/>
        <w:spacing w:after="0"/>
        <w:tabs>
          <w:tab w:leader="none" w:pos="542" w:val="left"/>
        </w:tabs>
        <w:numPr>
          <w:ilvl w:val="0"/>
          <w:numId w:val="30"/>
        </w:numPr>
        <w:rPr>
          <w:rFonts w:ascii="Arial" w:cs="Arial" w:eastAsia="Arial" w:hAnsi="Arial"/>
          <w:sz w:val="16"/>
          <w:szCs w:val="16"/>
          <w:color w:val="auto"/>
        </w:rPr>
      </w:pPr>
      <w:r>
        <w:rPr>
          <w:rFonts w:ascii="Arial" w:cs="Arial" w:eastAsia="Arial" w:hAnsi="Arial"/>
          <w:sz w:val="16"/>
          <w:szCs w:val="16"/>
          <w:color w:val="auto"/>
        </w:rPr>
        <w:t>Became fully exercisable on January 14, 2008.</w:t>
      </w:r>
    </w:p>
    <w:p>
      <w:pPr>
        <w:spacing w:after="0" w:line="220" w:lineRule="exact"/>
        <w:rPr>
          <w:rFonts w:ascii="Arial" w:cs="Arial" w:eastAsia="Arial" w:hAnsi="Arial"/>
          <w:sz w:val="16"/>
          <w:szCs w:val="16"/>
          <w:color w:val="auto"/>
        </w:rPr>
      </w:pPr>
    </w:p>
    <w:p>
      <w:pPr>
        <w:ind w:left="542" w:hanging="542"/>
        <w:spacing w:after="0"/>
        <w:tabs>
          <w:tab w:leader="none" w:pos="542" w:val="left"/>
        </w:tabs>
        <w:numPr>
          <w:ilvl w:val="0"/>
          <w:numId w:val="30"/>
        </w:numPr>
        <w:rPr>
          <w:rFonts w:ascii="Arial" w:cs="Arial" w:eastAsia="Arial" w:hAnsi="Arial"/>
          <w:sz w:val="16"/>
          <w:szCs w:val="16"/>
          <w:color w:val="auto"/>
        </w:rPr>
      </w:pPr>
      <w:r>
        <w:rPr>
          <w:rFonts w:ascii="Arial" w:cs="Arial" w:eastAsia="Arial" w:hAnsi="Arial"/>
          <w:sz w:val="16"/>
          <w:szCs w:val="16"/>
          <w:color w:val="auto"/>
        </w:rPr>
        <w:t>Vesting date is January 31, 2011. Dividend equivalents are paid on these restricted stock units.</w:t>
      </w:r>
    </w:p>
    <w:p>
      <w:pPr>
        <w:spacing w:after="0" w:line="220" w:lineRule="exact"/>
        <w:rPr>
          <w:rFonts w:ascii="Arial" w:cs="Arial" w:eastAsia="Arial" w:hAnsi="Arial"/>
          <w:sz w:val="16"/>
          <w:szCs w:val="16"/>
          <w:color w:val="auto"/>
        </w:rPr>
      </w:pPr>
    </w:p>
    <w:p>
      <w:pPr>
        <w:ind w:left="542" w:hanging="542"/>
        <w:spacing w:after="0"/>
        <w:tabs>
          <w:tab w:leader="none" w:pos="542" w:val="left"/>
        </w:tabs>
        <w:numPr>
          <w:ilvl w:val="0"/>
          <w:numId w:val="30"/>
        </w:numPr>
        <w:rPr>
          <w:rFonts w:ascii="Arial" w:cs="Arial" w:eastAsia="Arial" w:hAnsi="Arial"/>
          <w:sz w:val="16"/>
          <w:szCs w:val="16"/>
          <w:color w:val="auto"/>
        </w:rPr>
      </w:pPr>
      <w:r>
        <w:rPr>
          <w:rFonts w:ascii="Arial" w:cs="Arial" w:eastAsia="Arial" w:hAnsi="Arial"/>
          <w:sz w:val="16"/>
          <w:szCs w:val="16"/>
          <w:color w:val="auto"/>
        </w:rPr>
        <w:t>Vesting date is January 29, 2010. Dividend equivalents are not paid on these restricted stock units.</w:t>
      </w:r>
    </w:p>
    <w:p>
      <w:pPr>
        <w:spacing w:after="0" w:line="220" w:lineRule="exact"/>
        <w:rPr>
          <w:rFonts w:ascii="Arial" w:cs="Arial" w:eastAsia="Arial" w:hAnsi="Arial"/>
          <w:sz w:val="16"/>
          <w:szCs w:val="16"/>
          <w:color w:val="auto"/>
        </w:rPr>
      </w:pPr>
    </w:p>
    <w:p>
      <w:pPr>
        <w:ind w:left="542" w:hanging="542"/>
        <w:spacing w:after="0"/>
        <w:tabs>
          <w:tab w:leader="none" w:pos="542" w:val="left"/>
        </w:tabs>
        <w:numPr>
          <w:ilvl w:val="0"/>
          <w:numId w:val="30"/>
        </w:numPr>
        <w:rPr>
          <w:rFonts w:ascii="Arial" w:cs="Arial" w:eastAsia="Arial" w:hAnsi="Arial"/>
          <w:sz w:val="16"/>
          <w:szCs w:val="16"/>
          <w:color w:val="auto"/>
        </w:rPr>
      </w:pPr>
      <w:r>
        <w:rPr>
          <w:rFonts w:ascii="Arial" w:cs="Arial" w:eastAsia="Arial" w:hAnsi="Arial"/>
          <w:sz w:val="16"/>
          <w:szCs w:val="16"/>
          <w:color w:val="auto"/>
        </w:rPr>
        <w:t>Vesting date is January 30, 2009. Dividend equivalents are paid on these restricted stock units.</w:t>
      </w:r>
    </w:p>
    <w:p>
      <w:pPr>
        <w:spacing w:after="0" w:line="220" w:lineRule="exact"/>
        <w:rPr>
          <w:rFonts w:ascii="Arial" w:cs="Arial" w:eastAsia="Arial" w:hAnsi="Arial"/>
          <w:sz w:val="16"/>
          <w:szCs w:val="16"/>
          <w:color w:val="auto"/>
        </w:rPr>
      </w:pPr>
    </w:p>
    <w:p>
      <w:pPr>
        <w:ind w:left="542" w:hanging="542"/>
        <w:spacing w:after="0"/>
        <w:tabs>
          <w:tab w:leader="none" w:pos="542" w:val="left"/>
        </w:tabs>
        <w:numPr>
          <w:ilvl w:val="0"/>
          <w:numId w:val="30"/>
        </w:numPr>
        <w:rPr>
          <w:rFonts w:ascii="Arial" w:cs="Arial" w:eastAsia="Arial" w:hAnsi="Arial"/>
          <w:sz w:val="16"/>
          <w:szCs w:val="16"/>
          <w:color w:val="auto"/>
        </w:rPr>
      </w:pPr>
      <w:r>
        <w:rPr>
          <w:rFonts w:ascii="Arial" w:cs="Arial" w:eastAsia="Arial" w:hAnsi="Arial"/>
          <w:sz w:val="16"/>
          <w:szCs w:val="16"/>
          <w:color w:val="auto"/>
        </w:rPr>
        <w:t>Vested on January 31, 2008. Dividend equivalents were paid on these restricted stock units.</w:t>
      </w:r>
    </w:p>
    <w:p>
      <w:pPr>
        <w:spacing w:after="0" w:line="220" w:lineRule="exact"/>
        <w:rPr>
          <w:rFonts w:ascii="Arial" w:cs="Arial" w:eastAsia="Arial" w:hAnsi="Arial"/>
          <w:sz w:val="16"/>
          <w:szCs w:val="16"/>
          <w:color w:val="auto"/>
        </w:rPr>
      </w:pPr>
    </w:p>
    <w:p>
      <w:pPr>
        <w:ind w:left="542" w:hanging="542"/>
        <w:spacing w:after="0"/>
        <w:tabs>
          <w:tab w:leader="none" w:pos="542" w:val="left"/>
        </w:tabs>
        <w:numPr>
          <w:ilvl w:val="0"/>
          <w:numId w:val="30"/>
        </w:numPr>
        <w:rPr>
          <w:rFonts w:ascii="Arial" w:cs="Arial" w:eastAsia="Arial" w:hAnsi="Arial"/>
          <w:sz w:val="16"/>
          <w:szCs w:val="16"/>
          <w:color w:val="auto"/>
        </w:rPr>
      </w:pPr>
      <w:r>
        <w:rPr>
          <w:rFonts w:ascii="Arial" w:cs="Arial" w:eastAsia="Arial" w:hAnsi="Arial"/>
          <w:sz w:val="16"/>
          <w:szCs w:val="16"/>
          <w:color w:val="auto"/>
        </w:rPr>
        <w:t>Vesting date is July 30, 2010. Dividend equivalents are not paid on these restricted stock units.</w:t>
      </w:r>
    </w:p>
    <w:p>
      <w:pPr>
        <w:spacing w:after="0" w:line="209"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135255</wp:posOffset>
            </wp:positionV>
            <wp:extent cx="7279640" cy="203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
        <w:spacing w:after="0" w:line="245"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i w:val="1"/>
          <w:iCs w:val="1"/>
          <w:color w:val="auto"/>
        </w:rPr>
        <w:t>Option Awards</w:t>
      </w:r>
      <w:r>
        <w:rPr>
          <w:rFonts w:ascii="Arial" w:cs="Arial" w:eastAsia="Arial" w:hAnsi="Arial"/>
          <w:sz w:val="16"/>
          <w:szCs w:val="16"/>
          <w:color w:val="auto"/>
        </w:rPr>
        <w:t>” shown in the table above are nonqualified stock options, each of which represents the right to purchase shares of TI common stock at the stated exercise price. For grants before 2007, the exercise price is the average of the high and low price of TI common stock on the grant date. For grants in 2007, the exercise price is the closing price of TI common stock on the grant date. The term of each option is 10 years unless the option is terminated earlier pursuant to provisions summarized in the chart below and in the paragraph following the chart. Options vest (become exercisable) in increments of 25 percent per year beginning on the first anniversary of the date of the grant. The chart below shows the termination provisions relating to outstanding stock options as of December 31, 2007. The Compensation Committee of the board of directors established these termination provisions to promote employee retention while offering competitive terms.</w:t>
      </w:r>
    </w:p>
    <w:p>
      <w:pPr>
        <w:spacing w:after="0" w:line="228"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tcPr>
          <w:p>
            <w:pPr>
              <w:jc w:val="center"/>
              <w:spacing w:after="0"/>
              <w:rPr>
                <w:sz w:val="20"/>
                <w:szCs w:val="20"/>
                <w:color w:val="auto"/>
              </w:rPr>
            </w:pPr>
            <w:r>
              <w:rPr>
                <w:rFonts w:ascii="Arial" w:cs="Arial" w:eastAsia="Arial" w:hAnsi="Arial"/>
                <w:sz w:val="12"/>
                <w:szCs w:val="12"/>
                <w:b w:val="1"/>
                <w:bCs w:val="1"/>
                <w:color w:val="auto"/>
              </w:rPr>
              <w:t>Employment</w:t>
            </w:r>
          </w:p>
        </w:tc>
        <w:tc>
          <w:tcPr>
            <w:tcW w:w="300" w:type="dxa"/>
            <w:vAlign w:val="bottom"/>
          </w:tcPr>
          <w:p>
            <w:pPr>
              <w:spacing w:after="0"/>
              <w:rPr>
                <w:sz w:val="13"/>
                <w:szCs w:val="13"/>
                <w:color w:val="auto"/>
              </w:rPr>
            </w:pPr>
          </w:p>
        </w:tc>
        <w:tc>
          <w:tcPr>
            <w:tcW w:w="1700" w:type="dxa"/>
            <w:vAlign w:val="bottom"/>
          </w:tcPr>
          <w:p>
            <w:pPr>
              <w:ind w:left="100"/>
              <w:spacing w:after="0"/>
              <w:rPr>
                <w:sz w:val="20"/>
                <w:szCs w:val="20"/>
                <w:color w:val="auto"/>
              </w:rPr>
            </w:pPr>
            <w:r>
              <w:rPr>
                <w:rFonts w:ascii="Arial" w:cs="Arial" w:eastAsia="Arial" w:hAnsi="Arial"/>
                <w:sz w:val="12"/>
                <w:szCs w:val="12"/>
                <w:b w:val="1"/>
                <w:bCs w:val="1"/>
                <w:color w:val="auto"/>
              </w:rPr>
              <w:t>Employment termination</w:t>
            </w:r>
          </w:p>
        </w:tc>
        <w:tc>
          <w:tcPr>
            <w:tcW w:w="2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221"/>
        </w:trPr>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2"/>
                <w:szCs w:val="12"/>
                <w:b w:val="1"/>
                <w:bCs w:val="1"/>
                <w:color w:val="auto"/>
                <w:w w:val="99"/>
              </w:rPr>
              <w:t>Employment</w:t>
            </w:r>
          </w:p>
        </w:tc>
        <w:tc>
          <w:tcPr>
            <w:tcW w:w="3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2"/>
                <w:szCs w:val="12"/>
                <w:b w:val="1"/>
                <w:bCs w:val="1"/>
                <w:color w:val="auto"/>
              </w:rPr>
              <w:t>termination (at</w:t>
            </w:r>
          </w:p>
        </w:tc>
        <w:tc>
          <w:tcPr>
            <w:tcW w:w="300" w:type="dxa"/>
            <w:vAlign w:val="bottom"/>
          </w:tcPr>
          <w:p>
            <w:pPr>
              <w:spacing w:after="0"/>
              <w:rPr>
                <w:sz w:val="19"/>
                <w:szCs w:val="19"/>
                <w:color w:val="auto"/>
              </w:rPr>
            </w:pPr>
          </w:p>
        </w:tc>
        <w:tc>
          <w:tcPr>
            <w:tcW w:w="1700" w:type="dxa"/>
            <w:vAlign w:val="bottom"/>
          </w:tcPr>
          <w:p>
            <w:pPr>
              <w:jc w:val="right"/>
              <w:ind w:right="139"/>
              <w:spacing w:after="0"/>
              <w:rPr>
                <w:sz w:val="20"/>
                <w:szCs w:val="20"/>
                <w:color w:val="auto"/>
              </w:rPr>
            </w:pPr>
            <w:r>
              <w:rPr>
                <w:rFonts w:ascii="Arial" w:cs="Arial" w:eastAsia="Arial" w:hAnsi="Arial"/>
                <w:sz w:val="12"/>
                <w:szCs w:val="12"/>
                <w:b w:val="1"/>
                <w:bCs w:val="1"/>
                <w:color w:val="auto"/>
              </w:rPr>
              <w:t>(at least 6 months after</w:t>
            </w: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2"/>
                <w:szCs w:val="12"/>
                <w:b w:val="1"/>
                <w:bCs w:val="1"/>
                <w:color w:val="auto"/>
                <w:w w:val="99"/>
              </w:rPr>
              <w:t>Other</w:t>
            </w:r>
          </w:p>
        </w:tc>
      </w:tr>
      <w:tr>
        <w:trPr>
          <w:trHeight w:val="221"/>
        </w:trPr>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2"/>
                <w:szCs w:val="12"/>
                <w:b w:val="1"/>
                <w:bCs w:val="1"/>
                <w:color w:val="auto"/>
              </w:rPr>
              <w:t>termination due to</w:t>
            </w:r>
          </w:p>
        </w:tc>
        <w:tc>
          <w:tcPr>
            <w:tcW w:w="3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2"/>
                <w:szCs w:val="12"/>
                <w:b w:val="1"/>
                <w:bCs w:val="1"/>
                <w:color w:val="auto"/>
              </w:rPr>
              <w:t>least 6 months</w:t>
            </w:r>
          </w:p>
        </w:tc>
        <w:tc>
          <w:tcPr>
            <w:tcW w:w="300" w:type="dxa"/>
            <w:vAlign w:val="bottom"/>
          </w:tcPr>
          <w:p>
            <w:pPr>
              <w:spacing w:after="0"/>
              <w:rPr>
                <w:sz w:val="19"/>
                <w:szCs w:val="19"/>
                <w:color w:val="auto"/>
              </w:rPr>
            </w:pPr>
          </w:p>
        </w:tc>
        <w:tc>
          <w:tcPr>
            <w:tcW w:w="1700" w:type="dxa"/>
            <w:vAlign w:val="bottom"/>
          </w:tcPr>
          <w:p>
            <w:pPr>
              <w:jc w:val="right"/>
              <w:ind w:right="139"/>
              <w:spacing w:after="0"/>
              <w:rPr>
                <w:sz w:val="20"/>
                <w:szCs w:val="20"/>
                <w:color w:val="auto"/>
              </w:rPr>
            </w:pPr>
            <w:r>
              <w:rPr>
                <w:rFonts w:ascii="Arial" w:cs="Arial" w:eastAsia="Arial" w:hAnsi="Arial"/>
                <w:sz w:val="12"/>
                <w:szCs w:val="12"/>
                <w:b w:val="1"/>
                <w:bCs w:val="1"/>
                <w:color w:val="auto"/>
              </w:rPr>
              <w:t>grant) with 20 years of</w:t>
            </w:r>
          </w:p>
        </w:tc>
        <w:tc>
          <w:tcPr>
            <w:tcW w:w="2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2"/>
                <w:szCs w:val="12"/>
                <w:b w:val="1"/>
                <w:bCs w:val="1"/>
                <w:color w:val="auto"/>
              </w:rPr>
              <w:t>Employment</w:t>
            </w:r>
          </w:p>
        </w:tc>
        <w:tc>
          <w:tcPr>
            <w:tcW w:w="2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2"/>
                <w:szCs w:val="12"/>
                <w:b w:val="1"/>
                <w:bCs w:val="1"/>
                <w:color w:val="auto"/>
              </w:rPr>
              <w:t>circumstances</w:t>
            </w:r>
          </w:p>
        </w:tc>
      </w:tr>
      <w:tr>
        <w:trPr>
          <w:trHeight w:val="221"/>
        </w:trPr>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jc w:val="center"/>
              <w:spacing w:after="0"/>
              <w:rPr>
                <w:sz w:val="20"/>
                <w:szCs w:val="20"/>
                <w:color w:val="auto"/>
              </w:rPr>
            </w:pPr>
            <w:r>
              <w:rPr>
                <w:rFonts w:ascii="Arial" w:cs="Arial" w:eastAsia="Arial" w:hAnsi="Arial"/>
                <w:sz w:val="12"/>
                <w:szCs w:val="12"/>
                <w:b w:val="1"/>
                <w:bCs w:val="1"/>
                <w:color w:val="auto"/>
              </w:rPr>
              <w:t>death or permanent</w:t>
            </w:r>
          </w:p>
        </w:tc>
        <w:tc>
          <w:tcPr>
            <w:tcW w:w="300" w:type="dxa"/>
            <w:vAlign w:val="bottom"/>
          </w:tcPr>
          <w:p>
            <w:pPr>
              <w:spacing w:after="0"/>
              <w:rPr>
                <w:sz w:val="19"/>
                <w:szCs w:val="19"/>
                <w:color w:val="auto"/>
              </w:rPr>
            </w:pPr>
          </w:p>
        </w:tc>
        <w:tc>
          <w:tcPr>
            <w:tcW w:w="1740" w:type="dxa"/>
            <w:vAlign w:val="bottom"/>
          </w:tcPr>
          <w:p>
            <w:pPr>
              <w:jc w:val="center"/>
              <w:spacing w:after="0"/>
              <w:rPr>
                <w:sz w:val="20"/>
                <w:szCs w:val="20"/>
                <w:color w:val="auto"/>
              </w:rPr>
            </w:pPr>
            <w:r>
              <w:rPr>
                <w:rFonts w:ascii="Arial" w:cs="Arial" w:eastAsia="Arial" w:hAnsi="Arial"/>
                <w:sz w:val="12"/>
                <w:szCs w:val="12"/>
                <w:b w:val="1"/>
                <w:bCs w:val="1"/>
                <w:color w:val="auto"/>
              </w:rPr>
              <w:t>after grant) when</w:t>
            </w:r>
          </w:p>
        </w:tc>
        <w:tc>
          <w:tcPr>
            <w:tcW w:w="300" w:type="dxa"/>
            <w:vAlign w:val="bottom"/>
          </w:tcPr>
          <w:p>
            <w:pPr>
              <w:spacing w:after="0"/>
              <w:rPr>
                <w:sz w:val="19"/>
                <w:szCs w:val="19"/>
                <w:color w:val="auto"/>
              </w:rPr>
            </w:pPr>
          </w:p>
        </w:tc>
        <w:tc>
          <w:tcPr>
            <w:tcW w:w="1700" w:type="dxa"/>
            <w:vAlign w:val="bottom"/>
          </w:tcPr>
          <w:p>
            <w:pPr>
              <w:ind w:left="120"/>
              <w:spacing w:after="0"/>
              <w:rPr>
                <w:sz w:val="20"/>
                <w:szCs w:val="20"/>
                <w:color w:val="auto"/>
              </w:rPr>
            </w:pPr>
            <w:r>
              <w:rPr>
                <w:rFonts w:ascii="Arial" w:cs="Arial" w:eastAsia="Arial" w:hAnsi="Arial"/>
                <w:sz w:val="12"/>
                <w:szCs w:val="12"/>
                <w:b w:val="1"/>
                <w:bCs w:val="1"/>
                <w:color w:val="auto"/>
              </w:rPr>
              <w:t>credited service, but not</w:t>
            </w:r>
          </w:p>
        </w:tc>
        <w:tc>
          <w:tcPr>
            <w:tcW w:w="2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2"/>
                <w:szCs w:val="12"/>
                <w:b w:val="1"/>
                <w:bCs w:val="1"/>
                <w:color w:val="auto"/>
              </w:rPr>
              <w:t>termination for</w:t>
            </w:r>
          </w:p>
        </w:tc>
        <w:tc>
          <w:tcPr>
            <w:tcW w:w="280" w:type="dxa"/>
            <w:vAlign w:val="bottom"/>
          </w:tcPr>
          <w:p>
            <w:pPr>
              <w:spacing w:after="0"/>
              <w:rPr>
                <w:sz w:val="19"/>
                <w:szCs w:val="19"/>
                <w:color w:val="auto"/>
              </w:rPr>
            </w:pPr>
          </w:p>
        </w:tc>
        <w:tc>
          <w:tcPr>
            <w:tcW w:w="1640" w:type="dxa"/>
            <w:vAlign w:val="bottom"/>
          </w:tcPr>
          <w:p>
            <w:pPr>
              <w:jc w:val="center"/>
              <w:spacing w:after="0"/>
              <w:rPr>
                <w:sz w:val="20"/>
                <w:szCs w:val="20"/>
                <w:color w:val="auto"/>
              </w:rPr>
            </w:pPr>
            <w:r>
              <w:rPr>
                <w:rFonts w:ascii="Arial" w:cs="Arial" w:eastAsia="Arial" w:hAnsi="Arial"/>
                <w:sz w:val="12"/>
                <w:szCs w:val="12"/>
                <w:b w:val="1"/>
                <w:bCs w:val="1"/>
                <w:color w:val="auto"/>
              </w:rPr>
              <w:t>of employment</w:t>
            </w:r>
          </w:p>
        </w:tc>
      </w:tr>
      <w:tr>
        <w:trPr>
          <w:trHeight w:val="227"/>
        </w:trPr>
        <w:tc>
          <w:tcPr>
            <w:tcW w:w="1500" w:type="dxa"/>
            <w:vAlign w:val="bottom"/>
            <w:tcBorders>
              <w:bottom w:val="single" w:sz="8" w:color="auto"/>
            </w:tcBorders>
          </w:tcPr>
          <w:p>
            <w:pPr>
              <w:ind w:left="560"/>
              <w:spacing w:after="0"/>
              <w:rPr>
                <w:sz w:val="20"/>
                <w:szCs w:val="20"/>
                <w:color w:val="auto"/>
              </w:rPr>
            </w:pPr>
            <w:r>
              <w:rPr>
                <w:rFonts w:ascii="Arial" w:cs="Arial" w:eastAsia="Arial" w:hAnsi="Arial"/>
                <w:sz w:val="12"/>
                <w:szCs w:val="12"/>
                <w:b w:val="1"/>
                <w:bCs w:val="1"/>
                <w:color w:val="auto"/>
              </w:rPr>
              <w:t>Grant</w:t>
            </w:r>
          </w:p>
        </w:tc>
        <w:tc>
          <w:tcPr>
            <w:tcW w:w="280" w:type="dxa"/>
            <w:vAlign w:val="bottom"/>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disability</w:t>
            </w:r>
          </w:p>
        </w:tc>
        <w:tc>
          <w:tcPr>
            <w:tcW w:w="300" w:type="dxa"/>
            <w:vAlign w:val="bottom"/>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retirement-eligible</w:t>
            </w:r>
          </w:p>
        </w:tc>
        <w:tc>
          <w:tcPr>
            <w:tcW w:w="300" w:type="dxa"/>
            <w:vAlign w:val="bottom"/>
          </w:tcPr>
          <w:p>
            <w:pPr>
              <w:spacing w:after="0"/>
              <w:rPr>
                <w:sz w:val="19"/>
                <w:szCs w:val="19"/>
                <w:color w:val="auto"/>
              </w:rPr>
            </w:pPr>
          </w:p>
        </w:tc>
        <w:tc>
          <w:tcPr>
            <w:tcW w:w="1700" w:type="dxa"/>
            <w:vAlign w:val="bottom"/>
            <w:tcBorders>
              <w:bottom w:val="single" w:sz="8" w:color="auto"/>
            </w:tcBorders>
          </w:tcPr>
          <w:p>
            <w:pPr>
              <w:ind w:left="280"/>
              <w:spacing w:after="0"/>
              <w:rPr>
                <w:sz w:val="20"/>
                <w:szCs w:val="20"/>
                <w:color w:val="auto"/>
              </w:rPr>
            </w:pPr>
            <w:r>
              <w:rPr>
                <w:rFonts w:ascii="Arial" w:cs="Arial" w:eastAsia="Arial" w:hAnsi="Arial"/>
                <w:sz w:val="12"/>
                <w:szCs w:val="12"/>
                <w:b w:val="1"/>
                <w:bCs w:val="1"/>
                <w:color w:val="auto"/>
              </w:rPr>
              <w:t>retirement-eligible</w:t>
            </w:r>
          </w:p>
        </w:tc>
        <w:tc>
          <w:tcPr>
            <w:tcW w:w="28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cause</w:t>
            </w:r>
          </w:p>
        </w:tc>
        <w:tc>
          <w:tcPr>
            <w:tcW w:w="280" w:type="dxa"/>
            <w:vAlign w:val="bottom"/>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termination</w:t>
            </w:r>
          </w:p>
        </w:tc>
      </w:tr>
      <w:tr>
        <w:trPr>
          <w:trHeight w:val="206"/>
        </w:trPr>
        <w:tc>
          <w:tcPr>
            <w:tcW w:w="1500" w:type="dxa"/>
            <w:vAlign w:val="bottom"/>
            <w:shd w:val="clear" w:color="auto" w:fill="C0C0C0"/>
          </w:tcPr>
          <w:p>
            <w:pPr>
              <w:ind w:left="100"/>
              <w:spacing w:after="0"/>
              <w:rPr>
                <w:sz w:val="20"/>
                <w:szCs w:val="20"/>
                <w:color w:val="auto"/>
              </w:rPr>
            </w:pPr>
            <w:r>
              <w:rPr>
                <w:rFonts w:ascii="Arial" w:cs="Arial" w:eastAsia="Arial" w:hAnsi="Arial"/>
                <w:sz w:val="12"/>
                <w:szCs w:val="12"/>
                <w:color w:val="auto"/>
              </w:rPr>
              <w:t>Before</w:t>
            </w:r>
          </w:p>
        </w:tc>
        <w:tc>
          <w:tcPr>
            <w:tcW w:w="280" w:type="dxa"/>
            <w:vAlign w:val="bottom"/>
            <w:shd w:val="clear" w:color="auto" w:fill="C0C0C0"/>
          </w:tcPr>
          <w:p>
            <w:pPr>
              <w:spacing w:after="0"/>
              <w:rPr>
                <w:sz w:val="17"/>
                <w:szCs w:val="17"/>
                <w:color w:val="auto"/>
              </w:rPr>
            </w:pPr>
          </w:p>
        </w:tc>
        <w:tc>
          <w:tcPr>
            <w:tcW w:w="1760" w:type="dxa"/>
            <w:vAlign w:val="bottom"/>
            <w:shd w:val="clear" w:color="auto" w:fill="C0C0C0"/>
          </w:tcPr>
          <w:p>
            <w:pPr>
              <w:ind w:left="100"/>
              <w:spacing w:after="0"/>
              <w:rPr>
                <w:sz w:val="20"/>
                <w:szCs w:val="20"/>
                <w:color w:val="auto"/>
              </w:rPr>
            </w:pPr>
            <w:r>
              <w:rPr>
                <w:rFonts w:ascii="Arial" w:cs="Arial" w:eastAsia="Arial" w:hAnsi="Arial"/>
                <w:sz w:val="12"/>
                <w:szCs w:val="12"/>
                <w:color w:val="auto"/>
              </w:rPr>
              <w:t>Vesting continues;</w:t>
            </w:r>
          </w:p>
        </w:tc>
        <w:tc>
          <w:tcPr>
            <w:tcW w:w="300" w:type="dxa"/>
            <w:vAlign w:val="bottom"/>
            <w:shd w:val="clear" w:color="auto" w:fill="C0C0C0"/>
          </w:tcPr>
          <w:p>
            <w:pPr>
              <w:spacing w:after="0"/>
              <w:rPr>
                <w:sz w:val="17"/>
                <w:szCs w:val="17"/>
                <w:color w:val="auto"/>
              </w:rPr>
            </w:pPr>
          </w:p>
        </w:tc>
        <w:tc>
          <w:tcPr>
            <w:tcW w:w="1740" w:type="dxa"/>
            <w:vAlign w:val="bottom"/>
            <w:shd w:val="clear" w:color="auto" w:fill="C0C0C0"/>
          </w:tcPr>
          <w:p>
            <w:pPr>
              <w:ind w:left="100"/>
              <w:spacing w:after="0"/>
              <w:rPr>
                <w:sz w:val="20"/>
                <w:szCs w:val="20"/>
                <w:color w:val="auto"/>
              </w:rPr>
            </w:pPr>
            <w:r>
              <w:rPr>
                <w:rFonts w:ascii="Arial" w:cs="Arial" w:eastAsia="Arial" w:hAnsi="Arial"/>
                <w:sz w:val="12"/>
                <w:szCs w:val="12"/>
                <w:color w:val="auto"/>
              </w:rPr>
              <w:t>Vesting</w:t>
            </w:r>
          </w:p>
        </w:tc>
        <w:tc>
          <w:tcPr>
            <w:tcW w:w="300" w:type="dxa"/>
            <w:vAlign w:val="bottom"/>
            <w:shd w:val="clear" w:color="auto" w:fill="C0C0C0"/>
          </w:tcPr>
          <w:p>
            <w:pPr>
              <w:spacing w:after="0"/>
              <w:rPr>
                <w:sz w:val="17"/>
                <w:szCs w:val="17"/>
                <w:color w:val="auto"/>
              </w:rPr>
            </w:pPr>
          </w:p>
        </w:tc>
        <w:tc>
          <w:tcPr>
            <w:tcW w:w="1700" w:type="dxa"/>
            <w:vAlign w:val="bottom"/>
            <w:shd w:val="clear" w:color="auto" w:fill="C0C0C0"/>
          </w:tcPr>
          <w:p>
            <w:pPr>
              <w:ind w:left="100"/>
              <w:spacing w:after="0"/>
              <w:rPr>
                <w:sz w:val="20"/>
                <w:szCs w:val="20"/>
                <w:color w:val="auto"/>
              </w:rPr>
            </w:pPr>
            <w:r>
              <w:rPr>
                <w:rFonts w:ascii="Arial" w:cs="Arial" w:eastAsia="Arial" w:hAnsi="Arial"/>
                <w:sz w:val="12"/>
                <w:szCs w:val="12"/>
                <w:color w:val="auto"/>
              </w:rPr>
              <w:t>Vesting continues;</w:t>
            </w:r>
          </w:p>
        </w:tc>
        <w:tc>
          <w:tcPr>
            <w:tcW w:w="280" w:type="dxa"/>
            <w:vAlign w:val="bottom"/>
            <w:shd w:val="clear" w:color="auto" w:fill="C0C0C0"/>
          </w:tcPr>
          <w:p>
            <w:pPr>
              <w:spacing w:after="0"/>
              <w:rPr>
                <w:sz w:val="17"/>
                <w:szCs w:val="17"/>
                <w:color w:val="auto"/>
              </w:rPr>
            </w:pPr>
          </w:p>
        </w:tc>
        <w:tc>
          <w:tcPr>
            <w:tcW w:w="1640" w:type="dxa"/>
            <w:vAlign w:val="bottom"/>
            <w:shd w:val="clear" w:color="auto" w:fill="C0C0C0"/>
          </w:tcPr>
          <w:p>
            <w:pPr>
              <w:jc w:val="center"/>
              <w:spacing w:after="0"/>
              <w:rPr>
                <w:sz w:val="20"/>
                <w:szCs w:val="20"/>
                <w:color w:val="auto"/>
              </w:rPr>
            </w:pPr>
            <w:r>
              <w:rPr>
                <w:rFonts w:ascii="Arial" w:cs="Arial" w:eastAsia="Arial" w:hAnsi="Arial"/>
                <w:sz w:val="12"/>
                <w:szCs w:val="12"/>
                <w:color w:val="auto"/>
              </w:rPr>
              <w:t>Option cancels</w:t>
            </w:r>
          </w:p>
        </w:tc>
        <w:tc>
          <w:tcPr>
            <w:tcW w:w="280" w:type="dxa"/>
            <w:vAlign w:val="bottom"/>
            <w:shd w:val="clear" w:color="auto" w:fill="C0C0C0"/>
          </w:tcPr>
          <w:p>
            <w:pPr>
              <w:spacing w:after="0"/>
              <w:rPr>
                <w:sz w:val="17"/>
                <w:szCs w:val="17"/>
                <w:color w:val="auto"/>
              </w:rPr>
            </w:pPr>
          </w:p>
        </w:tc>
        <w:tc>
          <w:tcPr>
            <w:tcW w:w="1640" w:type="dxa"/>
            <w:vAlign w:val="bottom"/>
            <w:shd w:val="clear" w:color="auto" w:fill="C0C0C0"/>
          </w:tcPr>
          <w:p>
            <w:pPr>
              <w:ind w:left="100"/>
              <w:spacing w:after="0"/>
              <w:rPr>
                <w:sz w:val="20"/>
                <w:szCs w:val="20"/>
                <w:color w:val="auto"/>
              </w:rPr>
            </w:pPr>
            <w:r>
              <w:rPr>
                <w:rFonts w:ascii="Arial" w:cs="Arial" w:eastAsia="Arial" w:hAnsi="Arial"/>
                <w:sz w:val="12"/>
                <w:szCs w:val="12"/>
                <w:color w:val="auto"/>
              </w:rPr>
              <w:t>Option remains</w:t>
            </w:r>
          </w:p>
        </w:tc>
      </w:tr>
      <w:tr>
        <w:trPr>
          <w:trHeight w:val="221"/>
        </w:trPr>
        <w:tc>
          <w:tcPr>
            <w:tcW w:w="1500" w:type="dxa"/>
            <w:vAlign w:val="bottom"/>
            <w:shd w:val="clear" w:color="auto" w:fill="C0C0C0"/>
          </w:tcPr>
          <w:p>
            <w:pPr>
              <w:ind w:left="100"/>
              <w:spacing w:after="0"/>
              <w:rPr>
                <w:sz w:val="20"/>
                <w:szCs w:val="20"/>
                <w:color w:val="auto"/>
              </w:rPr>
            </w:pPr>
            <w:r>
              <w:rPr>
                <w:rFonts w:ascii="Arial" w:cs="Arial" w:eastAsia="Arial" w:hAnsi="Arial"/>
                <w:sz w:val="12"/>
                <w:szCs w:val="12"/>
                <w:color w:val="auto"/>
              </w:rPr>
              <w:t>February 20,</w:t>
            </w:r>
          </w:p>
        </w:tc>
        <w:tc>
          <w:tcPr>
            <w:tcW w:w="280" w:type="dxa"/>
            <w:vAlign w:val="bottom"/>
            <w:shd w:val="clear" w:color="auto" w:fill="C0C0C0"/>
          </w:tcPr>
          <w:p>
            <w:pPr>
              <w:spacing w:after="0"/>
              <w:rPr>
                <w:sz w:val="19"/>
                <w:szCs w:val="19"/>
                <w:color w:val="auto"/>
              </w:rPr>
            </w:pPr>
          </w:p>
        </w:tc>
        <w:tc>
          <w:tcPr>
            <w:tcW w:w="1760" w:type="dxa"/>
            <w:vAlign w:val="bottom"/>
            <w:shd w:val="clear" w:color="auto" w:fill="C0C0C0"/>
          </w:tcPr>
          <w:p>
            <w:pPr>
              <w:ind w:left="100"/>
              <w:spacing w:after="0"/>
              <w:rPr>
                <w:sz w:val="20"/>
                <w:szCs w:val="20"/>
                <w:color w:val="auto"/>
              </w:rPr>
            </w:pPr>
            <w:r>
              <w:rPr>
                <w:rFonts w:ascii="Arial" w:cs="Arial" w:eastAsia="Arial" w:hAnsi="Arial"/>
                <w:sz w:val="12"/>
                <w:szCs w:val="12"/>
                <w:color w:val="auto"/>
              </w:rPr>
              <w:t>option remains in</w:t>
            </w:r>
          </w:p>
        </w:tc>
        <w:tc>
          <w:tcPr>
            <w:tcW w:w="300" w:type="dxa"/>
            <w:vAlign w:val="bottom"/>
            <w:shd w:val="clear" w:color="auto" w:fill="C0C0C0"/>
          </w:tcPr>
          <w:p>
            <w:pPr>
              <w:spacing w:after="0"/>
              <w:rPr>
                <w:sz w:val="19"/>
                <w:szCs w:val="19"/>
                <w:color w:val="auto"/>
              </w:rPr>
            </w:pPr>
          </w:p>
        </w:tc>
        <w:tc>
          <w:tcPr>
            <w:tcW w:w="1740" w:type="dxa"/>
            <w:vAlign w:val="bottom"/>
            <w:shd w:val="clear" w:color="auto" w:fill="C0C0C0"/>
          </w:tcPr>
          <w:p>
            <w:pPr>
              <w:ind w:left="100"/>
              <w:spacing w:after="0"/>
              <w:rPr>
                <w:sz w:val="20"/>
                <w:szCs w:val="20"/>
                <w:color w:val="auto"/>
              </w:rPr>
            </w:pPr>
            <w:r>
              <w:rPr>
                <w:rFonts w:ascii="Arial" w:cs="Arial" w:eastAsia="Arial" w:hAnsi="Arial"/>
                <w:sz w:val="12"/>
                <w:szCs w:val="12"/>
                <w:color w:val="auto"/>
              </w:rPr>
              <w:t>continues; option</w:t>
            </w:r>
          </w:p>
        </w:tc>
        <w:tc>
          <w:tcPr>
            <w:tcW w:w="300" w:type="dxa"/>
            <w:vAlign w:val="bottom"/>
            <w:shd w:val="clear" w:color="auto" w:fill="C0C0C0"/>
          </w:tcPr>
          <w:p>
            <w:pPr>
              <w:spacing w:after="0"/>
              <w:rPr>
                <w:sz w:val="19"/>
                <w:szCs w:val="19"/>
                <w:color w:val="auto"/>
              </w:rPr>
            </w:pPr>
          </w:p>
        </w:tc>
        <w:tc>
          <w:tcPr>
            <w:tcW w:w="1700" w:type="dxa"/>
            <w:vAlign w:val="bottom"/>
            <w:shd w:val="clear" w:color="auto" w:fill="C0C0C0"/>
          </w:tcPr>
          <w:p>
            <w:pPr>
              <w:ind w:left="100"/>
              <w:spacing w:after="0"/>
              <w:rPr>
                <w:sz w:val="20"/>
                <w:szCs w:val="20"/>
                <w:color w:val="auto"/>
              </w:rPr>
            </w:pPr>
            <w:r>
              <w:rPr>
                <w:rFonts w:ascii="Arial" w:cs="Arial" w:eastAsia="Arial" w:hAnsi="Arial"/>
                <w:sz w:val="12"/>
                <w:szCs w:val="12"/>
                <w:color w:val="auto"/>
              </w:rPr>
              <w:t>option remains in effect</w:t>
            </w:r>
          </w:p>
        </w:tc>
        <w:tc>
          <w:tcPr>
            <w:tcW w:w="280" w:type="dxa"/>
            <w:vAlign w:val="bottom"/>
            <w:shd w:val="clear" w:color="auto" w:fill="C0C0C0"/>
          </w:tcPr>
          <w:p>
            <w:pPr>
              <w:spacing w:after="0"/>
              <w:rPr>
                <w:sz w:val="19"/>
                <w:szCs w:val="19"/>
                <w:color w:val="auto"/>
              </w:rPr>
            </w:pPr>
          </w:p>
        </w:tc>
        <w:tc>
          <w:tcPr>
            <w:tcW w:w="164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640" w:type="dxa"/>
            <w:vAlign w:val="bottom"/>
            <w:shd w:val="clear" w:color="auto" w:fill="C0C0C0"/>
          </w:tcPr>
          <w:p>
            <w:pPr>
              <w:ind w:left="100"/>
              <w:spacing w:after="0"/>
              <w:rPr>
                <w:sz w:val="20"/>
                <w:szCs w:val="20"/>
                <w:color w:val="auto"/>
              </w:rPr>
            </w:pPr>
            <w:r>
              <w:rPr>
                <w:rFonts w:ascii="Arial" w:cs="Arial" w:eastAsia="Arial" w:hAnsi="Arial"/>
                <w:sz w:val="12"/>
                <w:szCs w:val="12"/>
                <w:color w:val="auto"/>
              </w:rPr>
              <w:t>exercisable for 30</w:t>
            </w:r>
          </w:p>
        </w:tc>
      </w:tr>
      <w:tr>
        <w:trPr>
          <w:trHeight w:val="221"/>
        </w:trPr>
        <w:tc>
          <w:tcPr>
            <w:tcW w:w="1500" w:type="dxa"/>
            <w:vAlign w:val="bottom"/>
            <w:shd w:val="clear" w:color="auto" w:fill="C0C0C0"/>
          </w:tcPr>
          <w:p>
            <w:pPr>
              <w:ind w:left="100"/>
              <w:spacing w:after="0"/>
              <w:rPr>
                <w:sz w:val="20"/>
                <w:szCs w:val="20"/>
                <w:color w:val="auto"/>
              </w:rPr>
            </w:pPr>
            <w:r>
              <w:rPr>
                <w:rFonts w:ascii="Arial" w:cs="Arial" w:eastAsia="Arial" w:hAnsi="Arial"/>
                <w:sz w:val="12"/>
                <w:szCs w:val="12"/>
                <w:color w:val="auto"/>
              </w:rPr>
              <w:t>2003</w:t>
            </w:r>
          </w:p>
        </w:tc>
        <w:tc>
          <w:tcPr>
            <w:tcW w:w="280" w:type="dxa"/>
            <w:vAlign w:val="bottom"/>
            <w:shd w:val="clear" w:color="auto" w:fill="C0C0C0"/>
          </w:tcPr>
          <w:p>
            <w:pPr>
              <w:spacing w:after="0"/>
              <w:rPr>
                <w:sz w:val="19"/>
                <w:szCs w:val="19"/>
                <w:color w:val="auto"/>
              </w:rPr>
            </w:pPr>
          </w:p>
        </w:tc>
        <w:tc>
          <w:tcPr>
            <w:tcW w:w="1760" w:type="dxa"/>
            <w:vAlign w:val="bottom"/>
            <w:shd w:val="clear" w:color="auto" w:fill="C0C0C0"/>
          </w:tcPr>
          <w:p>
            <w:pPr>
              <w:ind w:left="100"/>
              <w:spacing w:after="0"/>
              <w:rPr>
                <w:sz w:val="20"/>
                <w:szCs w:val="20"/>
                <w:color w:val="auto"/>
              </w:rPr>
            </w:pPr>
            <w:r>
              <w:rPr>
                <w:rFonts w:ascii="Arial" w:cs="Arial" w:eastAsia="Arial" w:hAnsi="Arial"/>
                <w:sz w:val="12"/>
                <w:szCs w:val="12"/>
                <w:color w:val="auto"/>
              </w:rPr>
              <w:t>effect to end of</w:t>
            </w:r>
          </w:p>
        </w:tc>
        <w:tc>
          <w:tcPr>
            <w:tcW w:w="300" w:type="dxa"/>
            <w:vAlign w:val="bottom"/>
            <w:shd w:val="clear" w:color="auto" w:fill="C0C0C0"/>
          </w:tcPr>
          <w:p>
            <w:pPr>
              <w:spacing w:after="0"/>
              <w:rPr>
                <w:sz w:val="19"/>
                <w:szCs w:val="19"/>
                <w:color w:val="auto"/>
              </w:rPr>
            </w:pPr>
          </w:p>
        </w:tc>
        <w:tc>
          <w:tcPr>
            <w:tcW w:w="1740" w:type="dxa"/>
            <w:vAlign w:val="bottom"/>
            <w:shd w:val="clear" w:color="auto" w:fill="C0C0C0"/>
          </w:tcPr>
          <w:p>
            <w:pPr>
              <w:ind w:left="100"/>
              <w:spacing w:after="0"/>
              <w:rPr>
                <w:sz w:val="20"/>
                <w:szCs w:val="20"/>
                <w:color w:val="auto"/>
              </w:rPr>
            </w:pPr>
            <w:r>
              <w:rPr>
                <w:rFonts w:ascii="Arial" w:cs="Arial" w:eastAsia="Arial" w:hAnsi="Arial"/>
                <w:sz w:val="12"/>
                <w:szCs w:val="12"/>
                <w:color w:val="auto"/>
              </w:rPr>
              <w:t>remains in effect</w:t>
            </w:r>
          </w:p>
        </w:tc>
        <w:tc>
          <w:tcPr>
            <w:tcW w:w="300" w:type="dxa"/>
            <w:vAlign w:val="bottom"/>
            <w:shd w:val="clear" w:color="auto" w:fill="C0C0C0"/>
          </w:tcPr>
          <w:p>
            <w:pPr>
              <w:spacing w:after="0"/>
              <w:rPr>
                <w:sz w:val="19"/>
                <w:szCs w:val="19"/>
                <w:color w:val="auto"/>
              </w:rPr>
            </w:pPr>
          </w:p>
        </w:tc>
        <w:tc>
          <w:tcPr>
            <w:tcW w:w="1700" w:type="dxa"/>
            <w:vAlign w:val="bottom"/>
            <w:shd w:val="clear" w:color="auto" w:fill="C0C0C0"/>
          </w:tcPr>
          <w:p>
            <w:pPr>
              <w:ind w:left="100"/>
              <w:spacing w:after="0"/>
              <w:rPr>
                <w:sz w:val="20"/>
                <w:szCs w:val="20"/>
                <w:color w:val="auto"/>
              </w:rPr>
            </w:pPr>
            <w:r>
              <w:rPr>
                <w:rFonts w:ascii="Arial" w:cs="Arial" w:eastAsia="Arial" w:hAnsi="Arial"/>
                <w:sz w:val="12"/>
                <w:szCs w:val="12"/>
                <w:color w:val="auto"/>
              </w:rPr>
              <w:t>to end of term</w:t>
            </w:r>
          </w:p>
        </w:tc>
        <w:tc>
          <w:tcPr>
            <w:tcW w:w="280" w:type="dxa"/>
            <w:vAlign w:val="bottom"/>
            <w:shd w:val="clear" w:color="auto" w:fill="C0C0C0"/>
          </w:tcPr>
          <w:p>
            <w:pPr>
              <w:spacing w:after="0"/>
              <w:rPr>
                <w:sz w:val="19"/>
                <w:szCs w:val="19"/>
                <w:color w:val="auto"/>
              </w:rPr>
            </w:pPr>
          </w:p>
        </w:tc>
        <w:tc>
          <w:tcPr>
            <w:tcW w:w="164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1640" w:type="dxa"/>
            <w:vAlign w:val="bottom"/>
            <w:shd w:val="clear" w:color="auto" w:fill="C0C0C0"/>
          </w:tcPr>
          <w:p>
            <w:pPr>
              <w:ind w:left="100"/>
              <w:spacing w:after="0"/>
              <w:rPr>
                <w:sz w:val="20"/>
                <w:szCs w:val="20"/>
                <w:color w:val="auto"/>
              </w:rPr>
            </w:pPr>
            <w:r>
              <w:rPr>
                <w:rFonts w:ascii="Arial" w:cs="Arial" w:eastAsia="Arial" w:hAnsi="Arial"/>
                <w:sz w:val="12"/>
                <w:szCs w:val="12"/>
                <w:color w:val="auto"/>
              </w:rPr>
              <w:t>days</w:t>
            </w:r>
          </w:p>
        </w:tc>
      </w:tr>
      <w:tr>
        <w:trPr>
          <w:trHeight w:val="234"/>
        </w:trPr>
        <w:tc>
          <w:tcPr>
            <w:tcW w:w="150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760" w:type="dxa"/>
            <w:vAlign w:val="bottom"/>
            <w:shd w:val="clear" w:color="auto" w:fill="C0C0C0"/>
          </w:tcPr>
          <w:p>
            <w:pPr>
              <w:ind w:left="100"/>
              <w:spacing w:after="0"/>
              <w:rPr>
                <w:sz w:val="20"/>
                <w:szCs w:val="20"/>
                <w:color w:val="auto"/>
              </w:rPr>
            </w:pPr>
            <w:r>
              <w:rPr>
                <w:rFonts w:ascii="Arial" w:cs="Arial" w:eastAsia="Arial" w:hAnsi="Arial"/>
                <w:sz w:val="12"/>
                <w:szCs w:val="12"/>
                <w:color w:val="auto"/>
              </w:rPr>
              <w:t>term</w:t>
            </w:r>
          </w:p>
        </w:tc>
        <w:tc>
          <w:tcPr>
            <w:tcW w:w="300" w:type="dxa"/>
            <w:vAlign w:val="bottom"/>
            <w:shd w:val="clear" w:color="auto" w:fill="C0C0C0"/>
          </w:tcPr>
          <w:p>
            <w:pPr>
              <w:spacing w:after="0"/>
              <w:rPr>
                <w:sz w:val="20"/>
                <w:szCs w:val="20"/>
                <w:color w:val="auto"/>
              </w:rPr>
            </w:pPr>
          </w:p>
        </w:tc>
        <w:tc>
          <w:tcPr>
            <w:tcW w:w="1740" w:type="dxa"/>
            <w:vAlign w:val="bottom"/>
            <w:shd w:val="clear" w:color="auto" w:fill="C0C0C0"/>
          </w:tcPr>
          <w:p>
            <w:pPr>
              <w:ind w:left="100"/>
              <w:spacing w:after="0"/>
              <w:rPr>
                <w:sz w:val="20"/>
                <w:szCs w:val="20"/>
                <w:color w:val="auto"/>
              </w:rPr>
            </w:pPr>
            <w:r>
              <w:rPr>
                <w:rFonts w:ascii="Arial" w:cs="Arial" w:eastAsia="Arial" w:hAnsi="Arial"/>
                <w:sz w:val="12"/>
                <w:szCs w:val="12"/>
                <w:color w:val="auto"/>
              </w:rPr>
              <w:t>to end of term</w:t>
            </w:r>
          </w:p>
        </w:tc>
        <w:tc>
          <w:tcPr>
            <w:tcW w:w="300" w:type="dxa"/>
            <w:vAlign w:val="bottom"/>
            <w:shd w:val="clear" w:color="auto" w:fill="C0C0C0"/>
          </w:tcPr>
          <w:p>
            <w:pPr>
              <w:spacing w:after="0"/>
              <w:rPr>
                <w:sz w:val="20"/>
                <w:szCs w:val="20"/>
                <w:color w:val="auto"/>
              </w:rPr>
            </w:pPr>
          </w:p>
        </w:tc>
        <w:tc>
          <w:tcPr>
            <w:tcW w:w="170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64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640" w:type="dxa"/>
            <w:vAlign w:val="bottom"/>
            <w:shd w:val="clear" w:color="auto" w:fill="C0C0C0"/>
          </w:tcPr>
          <w:p>
            <w:pPr>
              <w:spacing w:after="0"/>
              <w:rPr>
                <w:sz w:val="20"/>
                <w:szCs w:val="20"/>
                <w:color w:val="auto"/>
              </w:rPr>
            </w:pPr>
          </w:p>
        </w:tc>
      </w:tr>
      <w:tr>
        <w:trPr>
          <w:trHeight w:val="428"/>
        </w:trPr>
        <w:tc>
          <w:tcPr>
            <w:tcW w:w="1500" w:type="dxa"/>
            <w:vAlign w:val="bottom"/>
          </w:tcPr>
          <w:p>
            <w:pPr>
              <w:ind w:left="100"/>
              <w:spacing w:after="0"/>
              <w:rPr>
                <w:sz w:val="20"/>
                <w:szCs w:val="20"/>
                <w:color w:val="auto"/>
              </w:rPr>
            </w:pPr>
            <w:r>
              <w:rPr>
                <w:rFonts w:ascii="Arial" w:cs="Arial" w:eastAsia="Arial" w:hAnsi="Arial"/>
                <w:sz w:val="12"/>
                <w:szCs w:val="12"/>
                <w:color w:val="auto"/>
              </w:rPr>
              <w:t>On or after</w:t>
            </w:r>
          </w:p>
        </w:tc>
        <w:tc>
          <w:tcPr>
            <w:tcW w:w="280" w:type="dxa"/>
            <w:vAlign w:val="bottom"/>
          </w:tcPr>
          <w:p>
            <w:pPr>
              <w:spacing w:after="0"/>
              <w:rPr>
                <w:sz w:val="24"/>
                <w:szCs w:val="24"/>
                <w:color w:val="auto"/>
              </w:rPr>
            </w:pPr>
          </w:p>
        </w:tc>
        <w:tc>
          <w:tcPr>
            <w:tcW w:w="1760" w:type="dxa"/>
            <w:vAlign w:val="bottom"/>
          </w:tcPr>
          <w:p>
            <w:pPr>
              <w:ind w:left="100"/>
              <w:spacing w:after="0"/>
              <w:rPr>
                <w:sz w:val="20"/>
                <w:szCs w:val="20"/>
                <w:color w:val="auto"/>
              </w:rPr>
            </w:pPr>
            <w:r>
              <w:rPr>
                <w:rFonts w:ascii="Arial" w:cs="Arial" w:eastAsia="Arial" w:hAnsi="Arial"/>
                <w:sz w:val="12"/>
                <w:szCs w:val="12"/>
                <w:color w:val="auto"/>
              </w:rPr>
              <w:t>Vesting continues;</w:t>
            </w:r>
          </w:p>
        </w:tc>
        <w:tc>
          <w:tcPr>
            <w:tcW w:w="300" w:type="dxa"/>
            <w:vAlign w:val="bottom"/>
          </w:tcPr>
          <w:p>
            <w:pPr>
              <w:spacing w:after="0"/>
              <w:rPr>
                <w:sz w:val="24"/>
                <w:szCs w:val="24"/>
                <w:color w:val="auto"/>
              </w:rPr>
            </w:pPr>
          </w:p>
        </w:tc>
        <w:tc>
          <w:tcPr>
            <w:tcW w:w="1740" w:type="dxa"/>
            <w:vAlign w:val="bottom"/>
          </w:tcPr>
          <w:p>
            <w:pPr>
              <w:ind w:left="100"/>
              <w:spacing w:after="0"/>
              <w:rPr>
                <w:sz w:val="20"/>
                <w:szCs w:val="20"/>
                <w:color w:val="auto"/>
              </w:rPr>
            </w:pPr>
            <w:r>
              <w:rPr>
                <w:rFonts w:ascii="Arial" w:cs="Arial" w:eastAsia="Arial" w:hAnsi="Arial"/>
                <w:sz w:val="12"/>
                <w:szCs w:val="12"/>
                <w:color w:val="auto"/>
              </w:rPr>
              <w:t>Vesting</w:t>
            </w:r>
          </w:p>
        </w:tc>
        <w:tc>
          <w:tcPr>
            <w:tcW w:w="300" w:type="dxa"/>
            <w:vAlign w:val="bottom"/>
          </w:tcPr>
          <w:p>
            <w:pPr>
              <w:spacing w:after="0"/>
              <w:rPr>
                <w:sz w:val="24"/>
                <w:szCs w:val="24"/>
                <w:color w:val="auto"/>
              </w:rPr>
            </w:pPr>
          </w:p>
        </w:tc>
        <w:tc>
          <w:tcPr>
            <w:tcW w:w="1700" w:type="dxa"/>
            <w:vAlign w:val="bottom"/>
          </w:tcPr>
          <w:p>
            <w:pPr>
              <w:ind w:left="100"/>
              <w:spacing w:after="0"/>
              <w:rPr>
                <w:sz w:val="20"/>
                <w:szCs w:val="20"/>
                <w:color w:val="auto"/>
              </w:rPr>
            </w:pPr>
            <w:r>
              <w:rPr>
                <w:rFonts w:ascii="Arial" w:cs="Arial" w:eastAsia="Arial" w:hAnsi="Arial"/>
                <w:sz w:val="12"/>
                <w:szCs w:val="12"/>
                <w:color w:val="auto"/>
              </w:rPr>
              <w:t>Option remains in</w:t>
            </w:r>
          </w:p>
        </w:tc>
        <w:tc>
          <w:tcPr>
            <w:tcW w:w="280" w:type="dxa"/>
            <w:vAlign w:val="bottom"/>
          </w:tcPr>
          <w:p>
            <w:pPr>
              <w:spacing w:after="0"/>
              <w:rPr>
                <w:sz w:val="24"/>
                <w:szCs w:val="24"/>
                <w:color w:val="auto"/>
              </w:rPr>
            </w:pPr>
          </w:p>
        </w:tc>
        <w:tc>
          <w:tcPr>
            <w:tcW w:w="1640" w:type="dxa"/>
            <w:vAlign w:val="bottom"/>
          </w:tcPr>
          <w:p>
            <w:pPr>
              <w:jc w:val="center"/>
              <w:spacing w:after="0"/>
              <w:rPr>
                <w:sz w:val="20"/>
                <w:szCs w:val="20"/>
                <w:color w:val="auto"/>
              </w:rPr>
            </w:pPr>
            <w:r>
              <w:rPr>
                <w:rFonts w:ascii="Arial" w:cs="Arial" w:eastAsia="Arial" w:hAnsi="Arial"/>
                <w:sz w:val="12"/>
                <w:szCs w:val="12"/>
                <w:color w:val="auto"/>
              </w:rPr>
              <w:t>Option cancels</w:t>
            </w:r>
          </w:p>
        </w:tc>
        <w:tc>
          <w:tcPr>
            <w:tcW w:w="280" w:type="dxa"/>
            <w:vAlign w:val="bottom"/>
          </w:tcPr>
          <w:p>
            <w:pPr>
              <w:spacing w:after="0"/>
              <w:rPr>
                <w:sz w:val="24"/>
                <w:szCs w:val="24"/>
                <w:color w:val="auto"/>
              </w:rPr>
            </w:pPr>
          </w:p>
        </w:tc>
        <w:tc>
          <w:tcPr>
            <w:tcW w:w="1640" w:type="dxa"/>
            <w:vAlign w:val="bottom"/>
          </w:tcPr>
          <w:p>
            <w:pPr>
              <w:ind w:left="100"/>
              <w:spacing w:after="0"/>
              <w:rPr>
                <w:sz w:val="20"/>
                <w:szCs w:val="20"/>
                <w:color w:val="auto"/>
              </w:rPr>
            </w:pPr>
            <w:r>
              <w:rPr>
                <w:rFonts w:ascii="Arial" w:cs="Arial" w:eastAsia="Arial" w:hAnsi="Arial"/>
                <w:sz w:val="12"/>
                <w:szCs w:val="12"/>
                <w:color w:val="auto"/>
              </w:rPr>
              <w:t>Option remains</w:t>
            </w:r>
          </w:p>
        </w:tc>
      </w:tr>
      <w:tr>
        <w:trPr>
          <w:trHeight w:val="221"/>
        </w:trPr>
        <w:tc>
          <w:tcPr>
            <w:tcW w:w="1500" w:type="dxa"/>
            <w:vAlign w:val="bottom"/>
          </w:tcPr>
          <w:p>
            <w:pPr>
              <w:ind w:left="100"/>
              <w:spacing w:after="0"/>
              <w:rPr>
                <w:sz w:val="20"/>
                <w:szCs w:val="20"/>
                <w:color w:val="auto"/>
              </w:rPr>
            </w:pPr>
            <w:r>
              <w:rPr>
                <w:rFonts w:ascii="Arial" w:cs="Arial" w:eastAsia="Arial" w:hAnsi="Arial"/>
                <w:sz w:val="12"/>
                <w:szCs w:val="12"/>
                <w:color w:val="auto"/>
              </w:rPr>
              <w:t>February 20,</w:t>
            </w:r>
          </w:p>
        </w:tc>
        <w:tc>
          <w:tcPr>
            <w:tcW w:w="280" w:type="dxa"/>
            <w:vAlign w:val="bottom"/>
          </w:tcPr>
          <w:p>
            <w:pPr>
              <w:spacing w:after="0"/>
              <w:rPr>
                <w:sz w:val="19"/>
                <w:szCs w:val="19"/>
                <w:color w:val="auto"/>
              </w:rPr>
            </w:pPr>
          </w:p>
        </w:tc>
        <w:tc>
          <w:tcPr>
            <w:tcW w:w="1760" w:type="dxa"/>
            <w:vAlign w:val="bottom"/>
          </w:tcPr>
          <w:p>
            <w:pPr>
              <w:ind w:left="100"/>
              <w:spacing w:after="0"/>
              <w:rPr>
                <w:sz w:val="20"/>
                <w:szCs w:val="20"/>
                <w:color w:val="auto"/>
              </w:rPr>
            </w:pPr>
            <w:r>
              <w:rPr>
                <w:rFonts w:ascii="Arial" w:cs="Arial" w:eastAsia="Arial" w:hAnsi="Arial"/>
                <w:sz w:val="12"/>
                <w:szCs w:val="12"/>
                <w:color w:val="auto"/>
              </w:rPr>
              <w:t>option remains in</w:t>
            </w:r>
          </w:p>
        </w:tc>
        <w:tc>
          <w:tcPr>
            <w:tcW w:w="300" w:type="dxa"/>
            <w:vAlign w:val="bottom"/>
          </w:tcPr>
          <w:p>
            <w:pPr>
              <w:spacing w:after="0"/>
              <w:rPr>
                <w:sz w:val="19"/>
                <w:szCs w:val="19"/>
                <w:color w:val="auto"/>
              </w:rPr>
            </w:pPr>
          </w:p>
        </w:tc>
        <w:tc>
          <w:tcPr>
            <w:tcW w:w="1740" w:type="dxa"/>
            <w:vAlign w:val="bottom"/>
          </w:tcPr>
          <w:p>
            <w:pPr>
              <w:ind w:left="100"/>
              <w:spacing w:after="0"/>
              <w:rPr>
                <w:sz w:val="20"/>
                <w:szCs w:val="20"/>
                <w:color w:val="auto"/>
              </w:rPr>
            </w:pPr>
            <w:r>
              <w:rPr>
                <w:rFonts w:ascii="Arial" w:cs="Arial" w:eastAsia="Arial" w:hAnsi="Arial"/>
                <w:sz w:val="12"/>
                <w:szCs w:val="12"/>
                <w:color w:val="auto"/>
              </w:rPr>
              <w:t>continues; option</w:t>
            </w:r>
          </w:p>
        </w:tc>
        <w:tc>
          <w:tcPr>
            <w:tcW w:w="300" w:type="dxa"/>
            <w:vAlign w:val="bottom"/>
          </w:tcPr>
          <w:p>
            <w:pPr>
              <w:spacing w:after="0"/>
              <w:rPr>
                <w:sz w:val="19"/>
                <w:szCs w:val="19"/>
                <w:color w:val="auto"/>
              </w:rPr>
            </w:pPr>
          </w:p>
        </w:tc>
        <w:tc>
          <w:tcPr>
            <w:tcW w:w="1700" w:type="dxa"/>
            <w:vAlign w:val="bottom"/>
          </w:tcPr>
          <w:p>
            <w:pPr>
              <w:ind w:left="100"/>
              <w:spacing w:after="0"/>
              <w:rPr>
                <w:sz w:val="20"/>
                <w:szCs w:val="20"/>
                <w:color w:val="auto"/>
              </w:rPr>
            </w:pPr>
            <w:r>
              <w:rPr>
                <w:rFonts w:ascii="Arial" w:cs="Arial" w:eastAsia="Arial" w:hAnsi="Arial"/>
                <w:sz w:val="12"/>
                <w:szCs w:val="12"/>
                <w:color w:val="auto"/>
              </w:rPr>
              <w:t>effect to the end of</w:t>
            </w: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ind w:left="100"/>
              <w:spacing w:after="0"/>
              <w:rPr>
                <w:sz w:val="20"/>
                <w:szCs w:val="20"/>
                <w:color w:val="auto"/>
              </w:rPr>
            </w:pPr>
            <w:r>
              <w:rPr>
                <w:rFonts w:ascii="Arial" w:cs="Arial" w:eastAsia="Arial" w:hAnsi="Arial"/>
                <w:sz w:val="12"/>
                <w:szCs w:val="12"/>
                <w:color w:val="auto"/>
              </w:rPr>
              <w:t>exercisable for 30</w:t>
            </w:r>
          </w:p>
        </w:tc>
      </w:tr>
      <w:tr>
        <w:trPr>
          <w:trHeight w:val="221"/>
        </w:trPr>
        <w:tc>
          <w:tcPr>
            <w:tcW w:w="1500" w:type="dxa"/>
            <w:vAlign w:val="bottom"/>
          </w:tcPr>
          <w:p>
            <w:pPr>
              <w:ind w:left="100"/>
              <w:spacing w:after="0"/>
              <w:rPr>
                <w:sz w:val="20"/>
                <w:szCs w:val="20"/>
                <w:color w:val="auto"/>
              </w:rPr>
            </w:pPr>
            <w:r>
              <w:rPr>
                <w:rFonts w:ascii="Arial" w:cs="Arial" w:eastAsia="Arial" w:hAnsi="Arial"/>
                <w:sz w:val="12"/>
                <w:szCs w:val="12"/>
                <w:color w:val="auto"/>
              </w:rPr>
              <w:t>2003</w:t>
            </w:r>
          </w:p>
        </w:tc>
        <w:tc>
          <w:tcPr>
            <w:tcW w:w="280" w:type="dxa"/>
            <w:vAlign w:val="bottom"/>
          </w:tcPr>
          <w:p>
            <w:pPr>
              <w:spacing w:after="0"/>
              <w:rPr>
                <w:sz w:val="19"/>
                <w:szCs w:val="19"/>
                <w:color w:val="auto"/>
              </w:rPr>
            </w:pPr>
          </w:p>
        </w:tc>
        <w:tc>
          <w:tcPr>
            <w:tcW w:w="1760" w:type="dxa"/>
            <w:vAlign w:val="bottom"/>
          </w:tcPr>
          <w:p>
            <w:pPr>
              <w:ind w:left="100"/>
              <w:spacing w:after="0"/>
              <w:rPr>
                <w:sz w:val="20"/>
                <w:szCs w:val="20"/>
                <w:color w:val="auto"/>
              </w:rPr>
            </w:pPr>
            <w:r>
              <w:rPr>
                <w:rFonts w:ascii="Arial" w:cs="Arial" w:eastAsia="Arial" w:hAnsi="Arial"/>
                <w:sz w:val="12"/>
                <w:szCs w:val="12"/>
                <w:color w:val="auto"/>
              </w:rPr>
              <w:t>effect to end of</w:t>
            </w:r>
          </w:p>
        </w:tc>
        <w:tc>
          <w:tcPr>
            <w:tcW w:w="300" w:type="dxa"/>
            <w:vAlign w:val="bottom"/>
          </w:tcPr>
          <w:p>
            <w:pPr>
              <w:spacing w:after="0"/>
              <w:rPr>
                <w:sz w:val="19"/>
                <w:szCs w:val="19"/>
                <w:color w:val="auto"/>
              </w:rPr>
            </w:pPr>
          </w:p>
        </w:tc>
        <w:tc>
          <w:tcPr>
            <w:tcW w:w="1740" w:type="dxa"/>
            <w:vAlign w:val="bottom"/>
          </w:tcPr>
          <w:p>
            <w:pPr>
              <w:ind w:left="100"/>
              <w:spacing w:after="0"/>
              <w:rPr>
                <w:sz w:val="20"/>
                <w:szCs w:val="20"/>
                <w:color w:val="auto"/>
              </w:rPr>
            </w:pPr>
            <w:r>
              <w:rPr>
                <w:rFonts w:ascii="Arial" w:cs="Arial" w:eastAsia="Arial" w:hAnsi="Arial"/>
                <w:sz w:val="12"/>
                <w:szCs w:val="12"/>
                <w:color w:val="auto"/>
              </w:rPr>
              <w:t>remains in effect</w:t>
            </w:r>
          </w:p>
        </w:tc>
        <w:tc>
          <w:tcPr>
            <w:tcW w:w="300" w:type="dxa"/>
            <w:vAlign w:val="bottom"/>
          </w:tcPr>
          <w:p>
            <w:pPr>
              <w:spacing w:after="0"/>
              <w:rPr>
                <w:sz w:val="19"/>
                <w:szCs w:val="19"/>
                <w:color w:val="auto"/>
              </w:rPr>
            </w:pPr>
          </w:p>
        </w:tc>
        <w:tc>
          <w:tcPr>
            <w:tcW w:w="1700" w:type="dxa"/>
            <w:vAlign w:val="bottom"/>
          </w:tcPr>
          <w:p>
            <w:pPr>
              <w:ind w:left="100"/>
              <w:spacing w:after="0"/>
              <w:rPr>
                <w:sz w:val="20"/>
                <w:szCs w:val="20"/>
                <w:color w:val="auto"/>
              </w:rPr>
            </w:pPr>
            <w:r>
              <w:rPr>
                <w:rFonts w:ascii="Arial" w:cs="Arial" w:eastAsia="Arial" w:hAnsi="Arial"/>
                <w:sz w:val="12"/>
                <w:szCs w:val="12"/>
                <w:color w:val="auto"/>
              </w:rPr>
              <w:t>the term; vesting does</w:t>
            </w: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ind w:left="100"/>
              <w:spacing w:after="0"/>
              <w:rPr>
                <w:sz w:val="20"/>
                <w:szCs w:val="20"/>
                <w:color w:val="auto"/>
              </w:rPr>
            </w:pPr>
            <w:r>
              <w:rPr>
                <w:rFonts w:ascii="Arial" w:cs="Arial" w:eastAsia="Arial" w:hAnsi="Arial"/>
                <w:sz w:val="12"/>
                <w:szCs w:val="12"/>
                <w:color w:val="auto"/>
              </w:rPr>
              <w:t>days</w:t>
            </w:r>
          </w:p>
        </w:tc>
      </w:tr>
      <w:tr>
        <w:trPr>
          <w:trHeight w:val="221"/>
        </w:trPr>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ind w:left="100"/>
              <w:spacing w:after="0"/>
              <w:rPr>
                <w:sz w:val="20"/>
                <w:szCs w:val="20"/>
                <w:color w:val="auto"/>
              </w:rPr>
            </w:pPr>
            <w:r>
              <w:rPr>
                <w:rFonts w:ascii="Arial" w:cs="Arial" w:eastAsia="Arial" w:hAnsi="Arial"/>
                <w:sz w:val="12"/>
                <w:szCs w:val="12"/>
                <w:color w:val="auto"/>
              </w:rPr>
              <w:t>term</w:t>
            </w:r>
          </w:p>
        </w:tc>
        <w:tc>
          <w:tcPr>
            <w:tcW w:w="300" w:type="dxa"/>
            <w:vAlign w:val="bottom"/>
          </w:tcPr>
          <w:p>
            <w:pPr>
              <w:spacing w:after="0"/>
              <w:rPr>
                <w:sz w:val="19"/>
                <w:szCs w:val="19"/>
                <w:color w:val="auto"/>
              </w:rPr>
            </w:pPr>
          </w:p>
        </w:tc>
        <w:tc>
          <w:tcPr>
            <w:tcW w:w="1740" w:type="dxa"/>
            <w:vAlign w:val="bottom"/>
          </w:tcPr>
          <w:p>
            <w:pPr>
              <w:ind w:left="100"/>
              <w:spacing w:after="0"/>
              <w:rPr>
                <w:sz w:val="20"/>
                <w:szCs w:val="20"/>
                <w:color w:val="auto"/>
              </w:rPr>
            </w:pPr>
            <w:r>
              <w:rPr>
                <w:rFonts w:ascii="Arial" w:cs="Arial" w:eastAsia="Arial" w:hAnsi="Arial"/>
                <w:sz w:val="12"/>
                <w:szCs w:val="12"/>
                <w:color w:val="auto"/>
              </w:rPr>
              <w:t>to end of its term</w:t>
            </w:r>
          </w:p>
        </w:tc>
        <w:tc>
          <w:tcPr>
            <w:tcW w:w="300" w:type="dxa"/>
            <w:vAlign w:val="bottom"/>
          </w:tcPr>
          <w:p>
            <w:pPr>
              <w:spacing w:after="0"/>
              <w:rPr>
                <w:sz w:val="19"/>
                <w:szCs w:val="19"/>
                <w:color w:val="auto"/>
              </w:rPr>
            </w:pPr>
          </w:p>
        </w:tc>
        <w:tc>
          <w:tcPr>
            <w:tcW w:w="1700" w:type="dxa"/>
            <w:vAlign w:val="bottom"/>
          </w:tcPr>
          <w:p>
            <w:pPr>
              <w:ind w:left="100"/>
              <w:spacing w:after="0"/>
              <w:rPr>
                <w:sz w:val="20"/>
                <w:szCs w:val="20"/>
                <w:color w:val="auto"/>
              </w:rPr>
            </w:pPr>
            <w:r>
              <w:rPr>
                <w:rFonts w:ascii="Arial" w:cs="Arial" w:eastAsia="Arial" w:hAnsi="Arial"/>
                <w:sz w:val="12"/>
                <w:szCs w:val="12"/>
                <w:color w:val="auto"/>
              </w:rPr>
              <w:t>not continue after</w:t>
            </w: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1"/>
        </w:trPr>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00" w:type="dxa"/>
            <w:vAlign w:val="bottom"/>
          </w:tcPr>
          <w:p>
            <w:pPr>
              <w:ind w:left="100"/>
              <w:spacing w:after="0"/>
              <w:rPr>
                <w:sz w:val="20"/>
                <w:szCs w:val="20"/>
                <w:color w:val="auto"/>
              </w:rPr>
            </w:pPr>
            <w:r>
              <w:rPr>
                <w:rFonts w:ascii="Arial" w:cs="Arial" w:eastAsia="Arial" w:hAnsi="Arial"/>
                <w:sz w:val="12"/>
                <w:szCs w:val="12"/>
                <w:color w:val="auto"/>
              </w:rPr>
              <w:t>employment termination</w:t>
            </w: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r>
    </w:tbl>
    <w:p>
      <w:pPr>
        <w:spacing w:after="0" w:line="200" w:lineRule="exact"/>
        <w:rPr>
          <w:sz w:val="20"/>
          <w:szCs w:val="20"/>
          <w:color w:val="auto"/>
        </w:rPr>
      </w:pPr>
    </w:p>
    <w:p>
      <w:pPr>
        <w:spacing w:after="0" w:line="232" w:lineRule="exact"/>
        <w:rPr>
          <w:sz w:val="20"/>
          <w:szCs w:val="20"/>
          <w:color w:val="auto"/>
        </w:rPr>
      </w:pPr>
    </w:p>
    <w:p>
      <w:pPr>
        <w:jc w:val="both"/>
        <w:ind w:left="2" w:right="80"/>
        <w:spacing w:after="0" w:line="269" w:lineRule="auto"/>
        <w:rPr>
          <w:sz w:val="20"/>
          <w:szCs w:val="20"/>
          <w:color w:val="auto"/>
        </w:rPr>
      </w:pPr>
      <w:r>
        <w:rPr>
          <w:rFonts w:ascii="Arial" w:cs="Arial" w:eastAsia="Arial" w:hAnsi="Arial"/>
          <w:sz w:val="15"/>
          <w:szCs w:val="15"/>
          <w:color w:val="auto"/>
        </w:rPr>
        <w:t>Options may be cancelled if the grantee competes with TI during the two years after employment termination or discloses TI trade secrets. In addition, for options received while the grantee was an executive officer, the company may reclaim (or “claw back”) profits earned under grants if the officer engages in such conduct. These provisions are intended to strengthen retention and provide a reasonable remedy to TI in case of competition or disclosure of our confidential information.</w:t>
      </w:r>
    </w:p>
    <w:p>
      <w:pPr>
        <w:spacing w:after="0" w:line="167" w:lineRule="exact"/>
        <w:rPr>
          <w:sz w:val="20"/>
          <w:szCs w:val="20"/>
          <w:color w:val="auto"/>
        </w:rPr>
      </w:pPr>
    </w:p>
    <w:p>
      <w:pPr>
        <w:ind w:left="2" w:right="20"/>
        <w:spacing w:after="0" w:line="241" w:lineRule="auto"/>
        <w:rPr>
          <w:sz w:val="20"/>
          <w:szCs w:val="20"/>
          <w:color w:val="auto"/>
        </w:rPr>
      </w:pPr>
      <w:r>
        <w:rPr>
          <w:rFonts w:ascii="Arial" w:cs="Arial" w:eastAsia="Arial" w:hAnsi="Arial"/>
          <w:sz w:val="16"/>
          <w:szCs w:val="16"/>
          <w:color w:val="auto"/>
        </w:rPr>
        <w:t>The stock option terms also provide that upon a change in control of TI, the option becomes fully vested to the extent it is then outstanding. Further, if employment termination (except for cause) has occurred within 30 days before the change in control, the change in control is deemed to have occurred first. “Change in control” is defined as (1) acquisition of 20 percent of TI common stock other than through a transaction approved by the board of directors, or (2) change of a majority of the board of directors in a 24-month period unless a majority of the directors then in office have elected or nominated the new directors (together, the “standard definition”). TI stock options have had these change-in-control terms for many years. They are intended to reduce employee uncertainty and distraction in the period leading up to a change in control, if such an event were to occur.</w:t>
      </w:r>
    </w:p>
    <w:p>
      <w:pPr>
        <w:spacing w:after="0" w:line="174" w:lineRule="exact"/>
        <w:rPr>
          <w:sz w:val="20"/>
          <w:szCs w:val="20"/>
          <w:color w:val="auto"/>
        </w:rPr>
      </w:pPr>
    </w:p>
    <w:p>
      <w:pPr>
        <w:ind w:left="2" w:right="100"/>
        <w:spacing w:after="0" w:line="247"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“Stock Awards”</w:t>
      </w:r>
      <w:r>
        <w:rPr>
          <w:rFonts w:ascii="Arial" w:cs="Arial" w:eastAsia="Arial" w:hAnsi="Arial"/>
          <w:sz w:val="16"/>
          <w:szCs w:val="16"/>
          <w:color w:val="auto"/>
        </w:rPr>
        <w:t xml:space="preserve"> in the table of Outstanding Equity Awards at Fiscal Year-End 2007 are restricted stock unit (RSU) awards. Each RSU represents the right to receive one share of TI common stock on a stated date (the “vesting date”) unless the award is terminated earlier under terms summarized below. In general, the vesting date is approximately four years after the grant date. Except for 2006 grants, each RSU includes the right to receive dividend equivalents, which are paid annually in cash at a rate equal to the amount paid to stockholders in dividends. The table below shows the termination provisions of outstanding RSUs as of December 31, 2007.</w:t>
      </w:r>
    </w:p>
    <w:p>
      <w:pPr>
        <w:spacing w:after="0" w:line="18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2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960" w:type="dxa"/>
            <w:vAlign w:val="bottom"/>
          </w:tcPr>
          <w:p>
            <w:pPr>
              <w:jc w:val="center"/>
              <w:spacing w:after="0"/>
              <w:rPr>
                <w:sz w:val="20"/>
                <w:szCs w:val="20"/>
                <w:color w:val="auto"/>
              </w:rPr>
            </w:pPr>
            <w:r>
              <w:rPr>
                <w:rFonts w:ascii="Arial" w:cs="Arial" w:eastAsia="Arial" w:hAnsi="Arial"/>
                <w:sz w:val="12"/>
                <w:szCs w:val="12"/>
                <w:b w:val="1"/>
                <w:bCs w:val="1"/>
                <w:color w:val="auto"/>
              </w:rPr>
              <w:t>Employment termination</w:t>
            </w:r>
          </w:p>
        </w:tc>
        <w:tc>
          <w:tcPr>
            <w:tcW w:w="30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520" w:type="dxa"/>
            <w:vAlign w:val="bottom"/>
          </w:tcPr>
          <w:p>
            <w:pPr>
              <w:spacing w:after="0"/>
              <w:rPr>
                <w:sz w:val="13"/>
                <w:szCs w:val="13"/>
                <w:color w:val="auto"/>
              </w:rPr>
            </w:pPr>
          </w:p>
        </w:tc>
      </w:tr>
      <w:tr>
        <w:trPr>
          <w:trHeight w:val="221"/>
        </w:trPr>
        <w:tc>
          <w:tcPr>
            <w:tcW w:w="2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960" w:type="dxa"/>
            <w:vAlign w:val="bottom"/>
          </w:tcPr>
          <w:p>
            <w:pPr>
              <w:jc w:val="center"/>
              <w:spacing w:after="0"/>
              <w:rPr>
                <w:sz w:val="20"/>
                <w:szCs w:val="20"/>
                <w:color w:val="auto"/>
              </w:rPr>
            </w:pPr>
            <w:r>
              <w:rPr>
                <w:rFonts w:ascii="Arial" w:cs="Arial" w:eastAsia="Arial" w:hAnsi="Arial"/>
                <w:sz w:val="12"/>
                <w:szCs w:val="12"/>
                <w:b w:val="1"/>
                <w:bCs w:val="1"/>
                <w:color w:val="auto"/>
              </w:rPr>
              <w:t>due to death or</w:t>
            </w:r>
          </w:p>
        </w:tc>
        <w:tc>
          <w:tcPr>
            <w:tcW w:w="300" w:type="dxa"/>
            <w:vAlign w:val="bottom"/>
          </w:tcPr>
          <w:p>
            <w:pPr>
              <w:spacing w:after="0"/>
              <w:rPr>
                <w:sz w:val="19"/>
                <w:szCs w:val="19"/>
                <w:color w:val="auto"/>
              </w:rPr>
            </w:pPr>
          </w:p>
        </w:tc>
        <w:tc>
          <w:tcPr>
            <w:tcW w:w="2980" w:type="dxa"/>
            <w:vAlign w:val="bottom"/>
          </w:tcPr>
          <w:p>
            <w:pPr>
              <w:ind w:left="760"/>
              <w:spacing w:after="0"/>
              <w:rPr>
                <w:sz w:val="20"/>
                <w:szCs w:val="20"/>
                <w:color w:val="auto"/>
              </w:rPr>
            </w:pPr>
            <w:r>
              <w:rPr>
                <w:rFonts w:ascii="Arial" w:cs="Arial" w:eastAsia="Arial" w:hAnsi="Arial"/>
                <w:sz w:val="12"/>
                <w:szCs w:val="12"/>
                <w:b w:val="1"/>
                <w:bCs w:val="1"/>
                <w:color w:val="auto"/>
              </w:rPr>
              <w:t>Employment termination</w:t>
            </w:r>
          </w:p>
        </w:tc>
        <w:tc>
          <w:tcPr>
            <w:tcW w:w="320" w:type="dxa"/>
            <w:vAlign w:val="bottom"/>
          </w:tcPr>
          <w:p>
            <w:pPr>
              <w:spacing w:after="0"/>
              <w:rPr>
                <w:sz w:val="19"/>
                <w:szCs w:val="19"/>
                <w:color w:val="auto"/>
              </w:rPr>
            </w:pPr>
          </w:p>
        </w:tc>
        <w:tc>
          <w:tcPr>
            <w:tcW w:w="2520" w:type="dxa"/>
            <w:vAlign w:val="bottom"/>
          </w:tcPr>
          <w:p>
            <w:pPr>
              <w:jc w:val="center"/>
              <w:spacing w:after="0"/>
              <w:rPr>
                <w:sz w:val="20"/>
                <w:szCs w:val="20"/>
                <w:color w:val="auto"/>
              </w:rPr>
            </w:pPr>
            <w:r>
              <w:rPr>
                <w:rFonts w:ascii="Arial" w:cs="Arial" w:eastAsia="Arial" w:hAnsi="Arial"/>
                <w:sz w:val="12"/>
                <w:szCs w:val="12"/>
                <w:b w:val="1"/>
                <w:bCs w:val="1"/>
                <w:color w:val="auto"/>
              </w:rPr>
              <w:t>Other circumstances</w:t>
            </w:r>
          </w:p>
        </w:tc>
      </w:tr>
      <w:tr>
        <w:trPr>
          <w:trHeight w:val="208"/>
        </w:trPr>
        <w:tc>
          <w:tcPr>
            <w:tcW w:w="2040" w:type="dxa"/>
            <w:vAlign w:val="bottom"/>
            <w:tcBorders>
              <w:bottom w:val="single" w:sz="8" w:color="auto"/>
            </w:tcBorders>
          </w:tcPr>
          <w:p>
            <w:pPr>
              <w:ind w:left="860"/>
              <w:spacing w:after="0"/>
              <w:rPr>
                <w:sz w:val="20"/>
                <w:szCs w:val="20"/>
                <w:color w:val="auto"/>
              </w:rPr>
            </w:pPr>
            <w:r>
              <w:rPr>
                <w:rFonts w:ascii="Arial" w:cs="Arial" w:eastAsia="Arial" w:hAnsi="Arial"/>
                <w:sz w:val="12"/>
                <w:szCs w:val="12"/>
                <w:b w:val="1"/>
                <w:bCs w:val="1"/>
                <w:color w:val="auto"/>
              </w:rPr>
              <w:t>Grant</w:t>
            </w:r>
          </w:p>
        </w:tc>
        <w:tc>
          <w:tcPr>
            <w:tcW w:w="300" w:type="dxa"/>
            <w:vAlign w:val="bottom"/>
            <w:tcBorders>
              <w:bottom w:val="single" w:sz="8" w:color="C0C0C0"/>
            </w:tcBorders>
          </w:tcPr>
          <w:p>
            <w:pPr>
              <w:spacing w:after="0"/>
              <w:rPr>
                <w:sz w:val="18"/>
                <w:szCs w:val="18"/>
                <w:color w:val="auto"/>
              </w:rPr>
            </w:pPr>
          </w:p>
        </w:tc>
        <w:tc>
          <w:tcPr>
            <w:tcW w:w="2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permanent disability</w:t>
            </w:r>
          </w:p>
        </w:tc>
        <w:tc>
          <w:tcPr>
            <w:tcW w:w="300" w:type="dxa"/>
            <w:vAlign w:val="bottom"/>
            <w:tcBorders>
              <w:bottom w:val="single" w:sz="8" w:color="C0C0C0"/>
            </w:tcBorders>
          </w:tcPr>
          <w:p>
            <w:pPr>
              <w:spacing w:after="0"/>
              <w:rPr>
                <w:sz w:val="18"/>
                <w:szCs w:val="18"/>
                <w:color w:val="auto"/>
              </w:rPr>
            </w:pPr>
          </w:p>
        </w:tc>
        <w:tc>
          <w:tcPr>
            <w:tcW w:w="2980" w:type="dxa"/>
            <w:vAlign w:val="bottom"/>
            <w:tcBorders>
              <w:bottom w:val="single" w:sz="8" w:color="auto"/>
            </w:tcBorders>
          </w:tcPr>
          <w:p>
            <w:pPr>
              <w:ind w:left="780"/>
              <w:spacing w:after="0"/>
              <w:rPr>
                <w:sz w:val="20"/>
                <w:szCs w:val="20"/>
                <w:color w:val="auto"/>
              </w:rPr>
            </w:pPr>
            <w:r>
              <w:rPr>
                <w:rFonts w:ascii="Arial" w:cs="Arial" w:eastAsia="Arial" w:hAnsi="Arial"/>
                <w:sz w:val="12"/>
                <w:szCs w:val="12"/>
                <w:b w:val="1"/>
                <w:bCs w:val="1"/>
                <w:color w:val="auto"/>
              </w:rPr>
              <w:t>when retirement-eligible</w:t>
            </w:r>
          </w:p>
        </w:tc>
        <w:tc>
          <w:tcPr>
            <w:tcW w:w="320" w:type="dxa"/>
            <w:vAlign w:val="bottom"/>
            <w:tcBorders>
              <w:bottom w:val="single" w:sz="8" w:color="C0C0C0"/>
            </w:tcBorders>
          </w:tcPr>
          <w:p>
            <w:pPr>
              <w:spacing w:after="0"/>
              <w:rPr>
                <w:sz w:val="18"/>
                <w:szCs w:val="18"/>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of employment termination</w:t>
            </w:r>
          </w:p>
        </w:tc>
      </w:tr>
    </w:tbl>
    <w:p>
      <w:pPr>
        <w:sectPr>
          <w:pgSz w:w="11900" w:h="16900" w:orient="portrait"/>
          <w:cols w:equalWidth="0" w:num="1">
            <w:col w:w="11422"/>
          </w:cols>
          <w:pgMar w:left="238" w:top="140" w:right="239" w:bottom="0" w:gutter="0" w:footer="0" w:header="0"/>
        </w:sectPr>
      </w:pPr>
    </w:p>
    <w:bookmarkStart w:id="24" w:name="page25"/>
    <w:bookmarkEnd w:id="24"/>
    <w:p>
      <w:pPr>
        <w:spacing w:after="0" w:line="34" w:lineRule="exact"/>
        <w:rPr>
          <w:sz w:val="20"/>
          <w:szCs w:val="20"/>
          <w:color w:val="auto"/>
        </w:rPr>
      </w:pPr>
    </w:p>
    <w:tbl>
      <w:tblPr>
        <w:tblLayout w:type="fixed"/>
        <w:tblInd w:w="2" w:type="dxa"/>
        <w:tblCellMar>
          <w:top w:w="0" w:type="dxa"/>
          <w:left w:w="0" w:type="dxa"/>
          <w:bottom w:w="0" w:type="dxa"/>
          <w:right w:w="0" w:type="dxa"/>
        </w:tblCellMar>
      </w:tblPr>
      <w:tr>
        <w:trPr>
          <w:trHeight w:val="208"/>
        </w:trPr>
        <w:tc>
          <w:tcPr>
            <w:tcW w:w="2190" w:type="dxa"/>
            <w:vAlign w:val="bottom"/>
            <w:shd w:val="clear" w:color="auto" w:fill="C0C0C0"/>
          </w:tcPr>
          <w:p>
            <w:pPr>
              <w:spacing w:after="0"/>
              <w:rPr>
                <w:sz w:val="20"/>
                <w:szCs w:val="20"/>
                <w:color w:val="auto"/>
              </w:rPr>
            </w:pPr>
            <w:r>
              <w:rPr>
                <w:rFonts w:ascii="Arial" w:cs="Arial" w:eastAsia="Arial" w:hAnsi="Arial"/>
                <w:sz w:val="12"/>
                <w:szCs w:val="12"/>
                <w:color w:val="auto"/>
              </w:rPr>
              <w:t>Before January 19, 2006</w:t>
            </w:r>
          </w:p>
        </w:tc>
        <w:tc>
          <w:tcPr>
            <w:tcW w:w="3110" w:type="dxa"/>
            <w:vAlign w:val="bottom"/>
            <w:shd w:val="clear" w:color="auto" w:fill="C0C0C0"/>
          </w:tcPr>
          <w:p>
            <w:pPr>
              <w:ind w:left="250"/>
              <w:spacing w:after="0"/>
              <w:rPr>
                <w:sz w:val="20"/>
                <w:szCs w:val="20"/>
                <w:color w:val="auto"/>
              </w:rPr>
            </w:pPr>
            <w:r>
              <w:rPr>
                <w:rFonts w:ascii="Arial" w:cs="Arial" w:eastAsia="Arial" w:hAnsi="Arial"/>
                <w:sz w:val="12"/>
                <w:szCs w:val="12"/>
                <w:color w:val="auto"/>
              </w:rPr>
              <w:t>Vesting continues; shares are</w:t>
            </w:r>
          </w:p>
        </w:tc>
        <w:tc>
          <w:tcPr>
            <w:tcW w:w="2800" w:type="dxa"/>
            <w:vAlign w:val="bottom"/>
            <w:shd w:val="clear" w:color="auto" w:fill="C0C0C0"/>
          </w:tcPr>
          <w:p>
            <w:pPr>
              <w:ind w:left="400"/>
              <w:spacing w:after="0"/>
              <w:rPr>
                <w:sz w:val="20"/>
                <w:szCs w:val="20"/>
                <w:color w:val="auto"/>
              </w:rPr>
            </w:pPr>
            <w:r>
              <w:rPr>
                <w:rFonts w:ascii="Arial" w:cs="Arial" w:eastAsia="Arial" w:hAnsi="Arial"/>
                <w:sz w:val="12"/>
                <w:szCs w:val="12"/>
                <w:color w:val="auto"/>
              </w:rPr>
              <w:t>Grant terminates unless the</w:t>
            </w:r>
          </w:p>
        </w:tc>
        <w:tc>
          <w:tcPr>
            <w:tcW w:w="3320" w:type="dxa"/>
            <w:vAlign w:val="bottom"/>
            <w:shd w:val="clear" w:color="auto" w:fill="C0C0C0"/>
          </w:tcPr>
          <w:p>
            <w:pPr>
              <w:ind w:left="900"/>
              <w:spacing w:after="0"/>
              <w:rPr>
                <w:sz w:val="20"/>
                <w:szCs w:val="20"/>
                <w:color w:val="auto"/>
              </w:rPr>
            </w:pPr>
            <w:r>
              <w:rPr>
                <w:rFonts w:ascii="Arial" w:cs="Arial" w:eastAsia="Arial" w:hAnsi="Arial"/>
                <w:sz w:val="12"/>
                <w:szCs w:val="12"/>
                <w:color w:val="auto"/>
              </w:rPr>
              <w:t>Grant cancels; no shares are</w:t>
            </w:r>
          </w:p>
        </w:tc>
      </w:tr>
      <w:tr>
        <w:trPr>
          <w:trHeight w:val="221"/>
        </w:trPr>
        <w:tc>
          <w:tcPr>
            <w:tcW w:w="2190" w:type="dxa"/>
            <w:vAlign w:val="bottom"/>
            <w:shd w:val="clear" w:color="auto" w:fill="C0C0C0"/>
          </w:tcPr>
          <w:p>
            <w:pPr>
              <w:spacing w:after="0"/>
              <w:rPr>
                <w:sz w:val="19"/>
                <w:szCs w:val="19"/>
                <w:color w:val="auto"/>
              </w:rPr>
            </w:pPr>
          </w:p>
        </w:tc>
        <w:tc>
          <w:tcPr>
            <w:tcW w:w="3110" w:type="dxa"/>
            <w:vAlign w:val="bottom"/>
            <w:shd w:val="clear" w:color="auto" w:fill="C0C0C0"/>
          </w:tcPr>
          <w:p>
            <w:pPr>
              <w:ind w:left="250"/>
              <w:spacing w:after="0"/>
              <w:rPr>
                <w:sz w:val="20"/>
                <w:szCs w:val="20"/>
                <w:color w:val="auto"/>
              </w:rPr>
            </w:pPr>
            <w:r>
              <w:rPr>
                <w:rFonts w:ascii="Arial" w:cs="Arial" w:eastAsia="Arial" w:hAnsi="Arial"/>
                <w:sz w:val="12"/>
                <w:szCs w:val="12"/>
                <w:color w:val="auto"/>
              </w:rPr>
              <w:t>paid at the scheduled vesting</w:t>
            </w:r>
          </w:p>
        </w:tc>
        <w:tc>
          <w:tcPr>
            <w:tcW w:w="2800" w:type="dxa"/>
            <w:vAlign w:val="bottom"/>
            <w:shd w:val="clear" w:color="auto" w:fill="C0C0C0"/>
          </w:tcPr>
          <w:p>
            <w:pPr>
              <w:ind w:left="400"/>
              <w:spacing w:after="0"/>
              <w:rPr>
                <w:sz w:val="20"/>
                <w:szCs w:val="20"/>
                <w:color w:val="auto"/>
              </w:rPr>
            </w:pPr>
            <w:r>
              <w:rPr>
                <w:rFonts w:ascii="Arial" w:cs="Arial" w:eastAsia="Arial" w:hAnsi="Arial"/>
                <w:sz w:val="12"/>
                <w:szCs w:val="12"/>
                <w:color w:val="auto"/>
              </w:rPr>
              <w:t>Compensation Committee</w:t>
            </w:r>
          </w:p>
        </w:tc>
        <w:tc>
          <w:tcPr>
            <w:tcW w:w="3320" w:type="dxa"/>
            <w:vAlign w:val="bottom"/>
            <w:shd w:val="clear" w:color="auto" w:fill="C0C0C0"/>
          </w:tcPr>
          <w:p>
            <w:pPr>
              <w:ind w:left="900"/>
              <w:spacing w:after="0"/>
              <w:rPr>
                <w:sz w:val="20"/>
                <w:szCs w:val="20"/>
                <w:color w:val="auto"/>
              </w:rPr>
            </w:pPr>
            <w:r>
              <w:rPr>
                <w:rFonts w:ascii="Arial" w:cs="Arial" w:eastAsia="Arial" w:hAnsi="Arial"/>
                <w:sz w:val="12"/>
                <w:szCs w:val="12"/>
                <w:color w:val="auto"/>
              </w:rPr>
              <w:t>issued</w:t>
            </w:r>
          </w:p>
        </w:tc>
      </w:tr>
      <w:tr>
        <w:trPr>
          <w:trHeight w:val="221"/>
        </w:trPr>
        <w:tc>
          <w:tcPr>
            <w:tcW w:w="2190" w:type="dxa"/>
            <w:vAlign w:val="bottom"/>
            <w:shd w:val="clear" w:color="auto" w:fill="C0C0C0"/>
          </w:tcPr>
          <w:p>
            <w:pPr>
              <w:spacing w:after="0"/>
              <w:rPr>
                <w:sz w:val="19"/>
                <w:szCs w:val="19"/>
                <w:color w:val="auto"/>
              </w:rPr>
            </w:pPr>
          </w:p>
        </w:tc>
        <w:tc>
          <w:tcPr>
            <w:tcW w:w="3110" w:type="dxa"/>
            <w:vAlign w:val="bottom"/>
            <w:shd w:val="clear" w:color="auto" w:fill="C0C0C0"/>
          </w:tcPr>
          <w:p>
            <w:pPr>
              <w:ind w:left="250"/>
              <w:spacing w:after="0"/>
              <w:rPr>
                <w:sz w:val="20"/>
                <w:szCs w:val="20"/>
                <w:color w:val="auto"/>
              </w:rPr>
            </w:pPr>
            <w:r>
              <w:rPr>
                <w:rFonts w:ascii="Arial" w:cs="Arial" w:eastAsia="Arial" w:hAnsi="Arial"/>
                <w:sz w:val="12"/>
                <w:szCs w:val="12"/>
                <w:color w:val="auto"/>
              </w:rPr>
              <w:t>date</w:t>
            </w:r>
          </w:p>
        </w:tc>
        <w:tc>
          <w:tcPr>
            <w:tcW w:w="2800" w:type="dxa"/>
            <w:vAlign w:val="bottom"/>
            <w:shd w:val="clear" w:color="auto" w:fill="C0C0C0"/>
          </w:tcPr>
          <w:p>
            <w:pPr>
              <w:ind w:left="400"/>
              <w:spacing w:after="0"/>
              <w:rPr>
                <w:sz w:val="20"/>
                <w:szCs w:val="20"/>
                <w:color w:val="auto"/>
              </w:rPr>
            </w:pPr>
            <w:r>
              <w:rPr>
                <w:rFonts w:ascii="Arial" w:cs="Arial" w:eastAsia="Arial" w:hAnsi="Arial"/>
                <w:sz w:val="12"/>
                <w:szCs w:val="12"/>
                <w:color w:val="auto"/>
              </w:rPr>
              <w:t>determines otherwise case-</w:t>
            </w:r>
          </w:p>
        </w:tc>
        <w:tc>
          <w:tcPr>
            <w:tcW w:w="3320" w:type="dxa"/>
            <w:vAlign w:val="bottom"/>
            <w:shd w:val="clear" w:color="auto" w:fill="C0C0C0"/>
          </w:tcPr>
          <w:p>
            <w:pPr>
              <w:spacing w:after="0"/>
              <w:rPr>
                <w:sz w:val="19"/>
                <w:szCs w:val="19"/>
                <w:color w:val="auto"/>
              </w:rPr>
            </w:pPr>
          </w:p>
        </w:tc>
      </w:tr>
      <w:tr>
        <w:trPr>
          <w:trHeight w:val="234"/>
        </w:trPr>
        <w:tc>
          <w:tcPr>
            <w:tcW w:w="2190" w:type="dxa"/>
            <w:vAlign w:val="bottom"/>
            <w:shd w:val="clear" w:color="auto" w:fill="C0C0C0"/>
          </w:tcPr>
          <w:p>
            <w:pPr>
              <w:spacing w:after="0"/>
              <w:rPr>
                <w:sz w:val="20"/>
                <w:szCs w:val="20"/>
                <w:color w:val="auto"/>
              </w:rPr>
            </w:pPr>
          </w:p>
        </w:tc>
        <w:tc>
          <w:tcPr>
            <w:tcW w:w="3110" w:type="dxa"/>
            <w:vAlign w:val="bottom"/>
            <w:shd w:val="clear" w:color="auto" w:fill="C0C0C0"/>
          </w:tcPr>
          <w:p>
            <w:pPr>
              <w:spacing w:after="0"/>
              <w:rPr>
                <w:sz w:val="20"/>
                <w:szCs w:val="20"/>
                <w:color w:val="auto"/>
              </w:rPr>
            </w:pPr>
          </w:p>
        </w:tc>
        <w:tc>
          <w:tcPr>
            <w:tcW w:w="2800" w:type="dxa"/>
            <w:vAlign w:val="bottom"/>
            <w:shd w:val="clear" w:color="auto" w:fill="C0C0C0"/>
          </w:tcPr>
          <w:p>
            <w:pPr>
              <w:ind w:left="400"/>
              <w:spacing w:after="0"/>
              <w:rPr>
                <w:sz w:val="20"/>
                <w:szCs w:val="20"/>
                <w:color w:val="auto"/>
              </w:rPr>
            </w:pPr>
            <w:r>
              <w:rPr>
                <w:rFonts w:ascii="Arial" w:cs="Arial" w:eastAsia="Arial" w:hAnsi="Arial"/>
                <w:sz w:val="12"/>
                <w:szCs w:val="12"/>
                <w:color w:val="auto"/>
              </w:rPr>
              <w:t>by-case*</w:t>
            </w:r>
          </w:p>
        </w:tc>
        <w:tc>
          <w:tcPr>
            <w:tcW w:w="3320" w:type="dxa"/>
            <w:vAlign w:val="bottom"/>
            <w:shd w:val="clear" w:color="auto" w:fill="C0C0C0"/>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259320" cy="8401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9320" cy="840105"/>
                    </a:xfrm>
                    <a:prstGeom prst="rect">
                      <a:avLst/>
                    </a:prstGeom>
                    <a:noFill/>
                  </pic:spPr>
                </pic:pic>
              </a:graphicData>
            </a:graphic>
          </wp:anchor>
        </w:drawing>
      </w:r>
    </w:p>
    <w:p>
      <w:pPr>
        <w:sectPr>
          <w:pgSz w:w="11900" w:h="16872" w:orient="portrait"/>
          <w:cols w:equalWidth="0" w:num="1">
            <w:col w:w="11422"/>
          </w:cols>
          <w:pgMar w:left="238" w:top="140" w:right="239" w:bottom="0" w:gutter="0" w:footer="0" w:header="0"/>
        </w:sectPr>
      </w:pPr>
    </w:p>
    <w:p>
      <w:pPr>
        <w:spacing w:after="0" w:line="281" w:lineRule="exact"/>
        <w:rPr>
          <w:sz w:val="20"/>
          <w:szCs w:val="20"/>
          <w:color w:val="auto"/>
        </w:rPr>
      </w:pPr>
    </w:p>
    <w:tbl>
      <w:tblPr>
        <w:tblLayout w:type="fixed"/>
        <w:tblInd w:w="2" w:type="dxa"/>
        <w:tblCellMar>
          <w:top w:w="0" w:type="dxa"/>
          <w:left w:w="0" w:type="dxa"/>
          <w:bottom w:w="0" w:type="dxa"/>
          <w:right w:w="0" w:type="dxa"/>
        </w:tblCellMar>
      </w:tblPr>
      <w:tr>
        <w:trPr>
          <w:trHeight w:val="147"/>
        </w:trPr>
        <w:tc>
          <w:tcPr>
            <w:tcW w:w="2000" w:type="dxa"/>
            <w:vAlign w:val="bottom"/>
          </w:tcPr>
          <w:p>
            <w:pPr>
              <w:spacing w:after="0"/>
              <w:rPr>
                <w:sz w:val="20"/>
                <w:szCs w:val="20"/>
                <w:color w:val="auto"/>
              </w:rPr>
            </w:pPr>
            <w:r>
              <w:rPr>
                <w:rFonts w:ascii="Arial" w:cs="Arial" w:eastAsia="Arial" w:hAnsi="Arial"/>
                <w:sz w:val="12"/>
                <w:szCs w:val="12"/>
                <w:color w:val="auto"/>
              </w:rPr>
              <w:t>On or after January 19, 2006</w:t>
            </w:r>
          </w:p>
        </w:tc>
        <w:tc>
          <w:tcPr>
            <w:tcW w:w="2040" w:type="dxa"/>
            <w:vAlign w:val="bottom"/>
          </w:tcPr>
          <w:p>
            <w:pPr>
              <w:ind w:left="440"/>
              <w:spacing w:after="0"/>
              <w:rPr>
                <w:sz w:val="20"/>
                <w:szCs w:val="20"/>
                <w:color w:val="auto"/>
              </w:rPr>
            </w:pPr>
            <w:r>
              <w:rPr>
                <w:rFonts w:ascii="Arial" w:cs="Arial" w:eastAsia="Arial" w:hAnsi="Arial"/>
                <w:sz w:val="12"/>
                <w:szCs w:val="12"/>
                <w:color w:val="auto"/>
                <w:w w:val="99"/>
              </w:rPr>
              <w:t>Vesting continues; shares are</w:t>
            </w:r>
          </w:p>
        </w:tc>
      </w:tr>
      <w:tr>
        <w:trPr>
          <w:trHeight w:val="221"/>
        </w:trPr>
        <w:tc>
          <w:tcPr>
            <w:tcW w:w="2000" w:type="dxa"/>
            <w:vAlign w:val="bottom"/>
          </w:tcPr>
          <w:p>
            <w:pPr>
              <w:spacing w:after="0"/>
              <w:rPr>
                <w:sz w:val="19"/>
                <w:szCs w:val="19"/>
                <w:color w:val="auto"/>
              </w:rPr>
            </w:pPr>
          </w:p>
        </w:tc>
        <w:tc>
          <w:tcPr>
            <w:tcW w:w="2040" w:type="dxa"/>
            <w:vAlign w:val="bottom"/>
          </w:tcPr>
          <w:p>
            <w:pPr>
              <w:ind w:left="440"/>
              <w:spacing w:after="0"/>
              <w:rPr>
                <w:sz w:val="20"/>
                <w:szCs w:val="20"/>
                <w:color w:val="auto"/>
              </w:rPr>
            </w:pPr>
            <w:r>
              <w:rPr>
                <w:rFonts w:ascii="Arial" w:cs="Arial" w:eastAsia="Arial" w:hAnsi="Arial"/>
                <w:sz w:val="12"/>
                <w:szCs w:val="12"/>
                <w:color w:val="auto"/>
              </w:rPr>
              <w:t>paid at the scheduled vesting</w:t>
            </w:r>
          </w:p>
        </w:tc>
      </w:tr>
      <w:tr>
        <w:trPr>
          <w:trHeight w:val="221"/>
        </w:trPr>
        <w:tc>
          <w:tcPr>
            <w:tcW w:w="2000" w:type="dxa"/>
            <w:vAlign w:val="bottom"/>
          </w:tcPr>
          <w:p>
            <w:pPr>
              <w:spacing w:after="0"/>
              <w:rPr>
                <w:sz w:val="19"/>
                <w:szCs w:val="19"/>
                <w:color w:val="auto"/>
              </w:rPr>
            </w:pPr>
          </w:p>
        </w:tc>
        <w:tc>
          <w:tcPr>
            <w:tcW w:w="2040" w:type="dxa"/>
            <w:vAlign w:val="bottom"/>
          </w:tcPr>
          <w:p>
            <w:pPr>
              <w:ind w:left="440"/>
              <w:spacing w:after="0"/>
              <w:rPr>
                <w:sz w:val="20"/>
                <w:szCs w:val="20"/>
                <w:color w:val="auto"/>
              </w:rPr>
            </w:pPr>
            <w:r>
              <w:rPr>
                <w:rFonts w:ascii="Arial" w:cs="Arial" w:eastAsia="Arial" w:hAnsi="Arial"/>
                <w:sz w:val="12"/>
                <w:szCs w:val="12"/>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
        <w:spacing w:after="0"/>
        <w:rPr>
          <w:sz w:val="20"/>
          <w:szCs w:val="20"/>
          <w:color w:val="auto"/>
        </w:rPr>
      </w:pPr>
      <w:r>
        <w:rPr>
          <w:rFonts w:ascii="Arial" w:cs="Arial" w:eastAsia="Arial" w:hAnsi="Arial"/>
          <w:sz w:val="20"/>
          <w:szCs w:val="20"/>
          <w:color w:val="auto"/>
        </w:rPr>
        <w:t>____________________</w:t>
      </w:r>
    </w:p>
    <w:p>
      <w:pPr>
        <w:spacing w:after="0" w:line="20" w:lineRule="exact"/>
        <w:rPr>
          <w:sz w:val="20"/>
          <w:szCs w:val="20"/>
          <w:color w:val="auto"/>
        </w:rPr>
      </w:pPr>
      <w:r>
        <w:rPr>
          <w:sz w:val="20"/>
          <w:szCs w:val="20"/>
          <w:color w:val="auto"/>
        </w:rPr>
        <w:br w:type="column"/>
      </w:r>
    </w:p>
    <w:p>
      <w:pPr>
        <w:spacing w:after="0" w:line="26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3280" w:type="dxa"/>
            <w:vAlign w:val="bottom"/>
          </w:tcPr>
          <w:p>
            <w:pPr>
              <w:ind w:left="400"/>
              <w:spacing w:after="0"/>
              <w:rPr>
                <w:sz w:val="20"/>
                <w:szCs w:val="20"/>
                <w:color w:val="auto"/>
              </w:rPr>
            </w:pPr>
            <w:r>
              <w:rPr>
                <w:rFonts w:ascii="Arial" w:cs="Arial" w:eastAsia="Arial" w:hAnsi="Arial"/>
                <w:sz w:val="12"/>
                <w:szCs w:val="12"/>
                <w:color w:val="auto"/>
              </w:rPr>
              <w:t>Grant stays in effect and pays</w:t>
            </w:r>
          </w:p>
        </w:tc>
        <w:tc>
          <w:tcPr>
            <w:tcW w:w="2840" w:type="dxa"/>
            <w:vAlign w:val="bottom"/>
          </w:tcPr>
          <w:p>
            <w:pPr>
              <w:ind w:left="420"/>
              <w:spacing w:after="0"/>
              <w:rPr>
                <w:sz w:val="20"/>
                <w:szCs w:val="20"/>
                <w:color w:val="auto"/>
              </w:rPr>
            </w:pPr>
            <w:r>
              <w:rPr>
                <w:rFonts w:ascii="Arial" w:cs="Arial" w:eastAsia="Arial" w:hAnsi="Arial"/>
                <w:sz w:val="12"/>
                <w:szCs w:val="12"/>
                <w:color w:val="auto"/>
              </w:rPr>
              <w:t>Grant cancels; no shares are</w:t>
            </w:r>
          </w:p>
        </w:tc>
      </w:tr>
      <w:tr>
        <w:trPr>
          <w:trHeight w:val="221"/>
        </w:trPr>
        <w:tc>
          <w:tcPr>
            <w:tcW w:w="3280" w:type="dxa"/>
            <w:vAlign w:val="bottom"/>
          </w:tcPr>
          <w:p>
            <w:pPr>
              <w:ind w:left="400"/>
              <w:spacing w:after="0"/>
              <w:rPr>
                <w:sz w:val="20"/>
                <w:szCs w:val="20"/>
                <w:color w:val="auto"/>
              </w:rPr>
            </w:pPr>
            <w:r>
              <w:rPr>
                <w:rFonts w:ascii="Arial" w:cs="Arial" w:eastAsia="Arial" w:hAnsi="Arial"/>
                <w:sz w:val="12"/>
                <w:szCs w:val="12"/>
                <w:color w:val="auto"/>
              </w:rPr>
              <w:t>out shares at the scheduled</w:t>
            </w:r>
          </w:p>
        </w:tc>
        <w:tc>
          <w:tcPr>
            <w:tcW w:w="2840" w:type="dxa"/>
            <w:vAlign w:val="bottom"/>
          </w:tcPr>
          <w:p>
            <w:pPr>
              <w:ind w:left="420"/>
              <w:spacing w:after="0"/>
              <w:rPr>
                <w:sz w:val="20"/>
                <w:szCs w:val="20"/>
                <w:color w:val="auto"/>
              </w:rPr>
            </w:pPr>
            <w:r>
              <w:rPr>
                <w:rFonts w:ascii="Arial" w:cs="Arial" w:eastAsia="Arial" w:hAnsi="Arial"/>
                <w:sz w:val="12"/>
                <w:szCs w:val="12"/>
                <w:color w:val="auto"/>
              </w:rPr>
              <w:t>issued</w:t>
            </w:r>
          </w:p>
        </w:tc>
      </w:tr>
      <w:tr>
        <w:trPr>
          <w:trHeight w:val="227"/>
        </w:trPr>
        <w:tc>
          <w:tcPr>
            <w:tcW w:w="3280" w:type="dxa"/>
            <w:vAlign w:val="bottom"/>
          </w:tcPr>
          <w:p>
            <w:pPr>
              <w:ind w:left="400"/>
              <w:spacing w:after="0"/>
              <w:rPr>
                <w:sz w:val="20"/>
                <w:szCs w:val="20"/>
                <w:color w:val="auto"/>
              </w:rPr>
            </w:pPr>
            <w:r>
              <w:rPr>
                <w:rFonts w:ascii="Arial" w:cs="Arial" w:eastAsia="Arial" w:hAnsi="Arial"/>
                <w:sz w:val="12"/>
                <w:szCs w:val="12"/>
                <w:color w:val="auto"/>
              </w:rPr>
              <w:t>vesting date. Number of</w:t>
            </w:r>
          </w:p>
        </w:tc>
        <w:tc>
          <w:tcPr>
            <w:tcW w:w="2840" w:type="dxa"/>
            <w:vAlign w:val="bottom"/>
          </w:tcPr>
          <w:p>
            <w:pPr>
              <w:spacing w:after="0"/>
              <w:rPr>
                <w:sz w:val="19"/>
                <w:szCs w:val="19"/>
                <w:color w:val="auto"/>
              </w:rPr>
            </w:pPr>
          </w:p>
        </w:tc>
      </w:tr>
      <w:tr>
        <w:trPr>
          <w:trHeight w:val="214"/>
        </w:trPr>
        <w:tc>
          <w:tcPr>
            <w:tcW w:w="3280" w:type="dxa"/>
            <w:vAlign w:val="bottom"/>
            <w:shd w:val="clear" w:color="auto" w:fill="C0C0C0"/>
          </w:tcPr>
          <w:p>
            <w:pPr>
              <w:ind w:left="400"/>
              <w:spacing w:after="0"/>
              <w:rPr>
                <w:sz w:val="20"/>
                <w:szCs w:val="20"/>
                <w:color w:val="auto"/>
              </w:rPr>
            </w:pPr>
            <w:r>
              <w:rPr>
                <w:rFonts w:ascii="Arial" w:cs="Arial" w:eastAsia="Arial" w:hAnsi="Arial"/>
                <w:sz w:val="12"/>
                <w:szCs w:val="12"/>
                <w:color w:val="auto"/>
              </w:rPr>
              <w:t>shares reduced according to</w:t>
            </w:r>
          </w:p>
        </w:tc>
        <w:tc>
          <w:tcPr>
            <w:tcW w:w="2840" w:type="dxa"/>
            <w:vAlign w:val="bottom"/>
            <w:shd w:val="clear" w:color="auto" w:fill="C0C0C0"/>
          </w:tcPr>
          <w:p>
            <w:pPr>
              <w:spacing w:after="0"/>
              <w:rPr>
                <w:sz w:val="18"/>
                <w:szCs w:val="18"/>
                <w:color w:val="auto"/>
              </w:rPr>
            </w:pPr>
          </w:p>
        </w:tc>
      </w:tr>
      <w:tr>
        <w:trPr>
          <w:trHeight w:val="221"/>
        </w:trPr>
        <w:tc>
          <w:tcPr>
            <w:tcW w:w="3280" w:type="dxa"/>
            <w:vAlign w:val="bottom"/>
            <w:shd w:val="clear" w:color="auto" w:fill="C0C0C0"/>
          </w:tcPr>
          <w:p>
            <w:pPr>
              <w:ind w:left="400"/>
              <w:spacing w:after="0"/>
              <w:rPr>
                <w:sz w:val="20"/>
                <w:szCs w:val="20"/>
                <w:color w:val="auto"/>
              </w:rPr>
            </w:pPr>
            <w:r>
              <w:rPr>
                <w:rFonts w:ascii="Arial" w:cs="Arial" w:eastAsia="Arial" w:hAnsi="Arial"/>
                <w:sz w:val="12"/>
                <w:szCs w:val="12"/>
                <w:color w:val="auto"/>
              </w:rPr>
              <w:t>the duration of employment</w:t>
            </w:r>
          </w:p>
        </w:tc>
        <w:tc>
          <w:tcPr>
            <w:tcW w:w="2840" w:type="dxa"/>
            <w:vAlign w:val="bottom"/>
            <w:shd w:val="clear" w:color="auto" w:fill="C0C0C0"/>
          </w:tcPr>
          <w:p>
            <w:pPr>
              <w:spacing w:after="0"/>
              <w:rPr>
                <w:sz w:val="19"/>
                <w:szCs w:val="19"/>
                <w:color w:val="auto"/>
              </w:rPr>
            </w:pPr>
          </w:p>
        </w:tc>
      </w:tr>
      <w:tr>
        <w:trPr>
          <w:trHeight w:val="234"/>
        </w:trPr>
        <w:tc>
          <w:tcPr>
            <w:tcW w:w="3280" w:type="dxa"/>
            <w:vAlign w:val="bottom"/>
            <w:shd w:val="clear" w:color="auto" w:fill="C0C0C0"/>
          </w:tcPr>
          <w:p>
            <w:pPr>
              <w:ind w:left="400"/>
              <w:spacing w:after="0"/>
              <w:rPr>
                <w:sz w:val="20"/>
                <w:szCs w:val="20"/>
                <w:color w:val="auto"/>
              </w:rPr>
            </w:pPr>
            <w:r>
              <w:rPr>
                <w:rFonts w:ascii="Arial" w:cs="Arial" w:eastAsia="Arial" w:hAnsi="Arial"/>
                <w:sz w:val="12"/>
                <w:szCs w:val="12"/>
                <w:color w:val="auto"/>
              </w:rPr>
              <w:t>over the vesting period**</w:t>
            </w:r>
          </w:p>
        </w:tc>
        <w:tc>
          <w:tcPr>
            <w:tcW w:w="2840" w:type="dxa"/>
            <w:vAlign w:val="bottom"/>
            <w:shd w:val="clear" w:color="auto" w:fill="C0C0C0"/>
          </w:tcPr>
          <w:p>
            <w:pPr>
              <w:spacing w:after="0"/>
              <w:rPr>
                <w:sz w:val="20"/>
                <w:szCs w:val="20"/>
                <w:color w:val="auto"/>
              </w:rPr>
            </w:pPr>
          </w:p>
        </w:tc>
      </w:tr>
    </w:tbl>
    <w:p>
      <w:pPr>
        <w:spacing w:after="0" w:line="410" w:lineRule="exact"/>
        <w:rPr>
          <w:sz w:val="20"/>
          <w:szCs w:val="20"/>
          <w:color w:val="auto"/>
        </w:rPr>
      </w:pPr>
    </w:p>
    <w:p>
      <w:pPr>
        <w:sectPr>
          <w:pgSz w:w="11900" w:h="16872" w:orient="portrait"/>
          <w:cols w:equalWidth="0" w:num="2">
            <w:col w:w="4582" w:space="720"/>
            <w:col w:w="6120"/>
          </w:cols>
          <w:pgMar w:left="238" w:top="140" w:right="239" w:bottom="0" w:gutter="0" w:footer="0" w:header="0"/>
          <w:type w:val="continuous"/>
        </w:sectPr>
      </w:pPr>
    </w:p>
    <w:p>
      <w:pPr>
        <w:spacing w:after="0" w:line="45" w:lineRule="exact"/>
        <w:rPr>
          <w:sz w:val="20"/>
          <w:szCs w:val="20"/>
          <w:color w:val="auto"/>
        </w:rPr>
      </w:pPr>
    </w:p>
    <w:p>
      <w:pPr>
        <w:ind w:left="382" w:hanging="382"/>
        <w:spacing w:after="0"/>
        <w:tabs>
          <w:tab w:leader="none" w:pos="382" w:val="left"/>
        </w:tabs>
        <w:numPr>
          <w:ilvl w:val="0"/>
          <w:numId w:val="31"/>
        </w:numPr>
        <w:rPr>
          <w:rFonts w:ascii="Arial" w:cs="Arial" w:eastAsia="Arial" w:hAnsi="Arial"/>
          <w:sz w:val="16"/>
          <w:szCs w:val="16"/>
          <w:color w:val="auto"/>
        </w:rPr>
      </w:pPr>
      <w:r>
        <w:rPr>
          <w:rFonts w:ascii="Arial" w:cs="Arial" w:eastAsia="Arial" w:hAnsi="Arial"/>
          <w:sz w:val="16"/>
          <w:szCs w:val="16"/>
          <w:color w:val="auto"/>
        </w:rPr>
        <w:t>To date, the Compensation Committee has made no such determination for any of the named executive officers.</w:t>
      </w:r>
    </w:p>
    <w:p>
      <w:pPr>
        <w:spacing w:after="0" w:line="245" w:lineRule="exact"/>
        <w:rPr>
          <w:sz w:val="20"/>
          <w:szCs w:val="20"/>
          <w:color w:val="auto"/>
        </w:rPr>
      </w:pPr>
    </w:p>
    <w:p>
      <w:pPr>
        <w:ind w:left="382" w:right="20" w:hanging="382"/>
        <w:spacing w:after="0" w:line="250" w:lineRule="auto"/>
        <w:tabs>
          <w:tab w:leader="none" w:pos="382" w:val="left"/>
        </w:tabs>
        <w:numPr>
          <w:ilvl w:val="0"/>
          <w:numId w:val="32"/>
        </w:numPr>
        <w:rPr>
          <w:rFonts w:ascii="Arial" w:cs="Arial" w:eastAsia="Arial" w:hAnsi="Arial"/>
          <w:sz w:val="16"/>
          <w:szCs w:val="16"/>
          <w:color w:val="auto"/>
        </w:rPr>
      </w:pPr>
      <w:r>
        <w:rPr>
          <w:rFonts w:ascii="Arial" w:cs="Arial" w:eastAsia="Arial" w:hAnsi="Arial"/>
          <w:sz w:val="16"/>
          <w:szCs w:val="16"/>
          <w:color w:val="auto"/>
        </w:rPr>
        <w:t>Calculated by multiplying the number of RSUs by a fraction equal to the number of whole 365-day periods from the grant date to the employment termination date (or first day of any bridge leave of absence leading to retirement), divided by the number years in the vesting period.</w:t>
      </w:r>
    </w:p>
    <w:p>
      <w:pPr>
        <w:spacing w:after="0" w:line="180" w:lineRule="exact"/>
        <w:rPr>
          <w:sz w:val="20"/>
          <w:szCs w:val="20"/>
          <w:color w:val="auto"/>
        </w:rPr>
      </w:pPr>
    </w:p>
    <w:p>
      <w:pPr>
        <w:ind w:left="2" w:right="40"/>
        <w:spacing w:after="0" w:line="241" w:lineRule="auto"/>
        <w:rPr>
          <w:sz w:val="20"/>
          <w:szCs w:val="20"/>
          <w:color w:val="auto"/>
        </w:rPr>
      </w:pPr>
      <w:r>
        <w:rPr>
          <w:rFonts w:ascii="Arial" w:cs="Arial" w:eastAsia="Arial" w:hAnsi="Arial"/>
          <w:sz w:val="16"/>
          <w:szCs w:val="16"/>
          <w:color w:val="auto"/>
        </w:rPr>
        <w:t>These termination provisions are intended to promote retention. RSU awards made after 2005 contain cancellation and “claw back” provisions, like those described above for stock options, in case of competition with TI or disclosure of TI trade secrets. The terms of awards after 2005 also provide for full vesting of the award upon a change in control of TI. Change in control is the standard definition unless the grant is subject to Section 409A of the Internal Revenue Code, in which event the definition under Section 409A applies. Section 409A defines a change in control as a change in the ownership or effective control of a corporation or a change in the ownership of a substantial portion of the assets of a corporation. These cancellation, “claw back” and change-in-control terms were added after 2005 to conform RSU terms with those of stock options (to the extent permitted by the Internal Revenue Code) and to achieve the objectives described above in the discussion of stock options.</w:t>
      </w:r>
    </w:p>
    <w:p>
      <w:pPr>
        <w:spacing w:after="0" w:line="189" w:lineRule="exact"/>
        <w:rPr>
          <w:sz w:val="20"/>
          <w:szCs w:val="20"/>
          <w:color w:val="auto"/>
        </w:rPr>
      </w:pPr>
    </w:p>
    <w:p>
      <w:pPr>
        <w:ind w:left="2" w:right="80"/>
        <w:spacing w:after="0" w:line="242" w:lineRule="auto"/>
        <w:rPr>
          <w:sz w:val="20"/>
          <w:szCs w:val="20"/>
          <w:color w:val="auto"/>
        </w:rPr>
      </w:pPr>
      <w:r>
        <w:rPr>
          <w:rFonts w:ascii="Arial" w:cs="Arial" w:eastAsia="Arial" w:hAnsi="Arial"/>
          <w:sz w:val="16"/>
          <w:szCs w:val="16"/>
          <w:color w:val="auto"/>
        </w:rPr>
        <w:t>In addition to the “Stock Awards” shown in the Outstanding Equity Awards at Fiscal Year-End 2007 table above, Mr. Templeton holds an award of RSUs that was granted in 1995. The award, for 120,000 shares of TI common stock, vested in 2000. Under the award terms, the shares will be issued to Mr. Templeton in March of the year after his termination of employment for any reason. These terms were designed to provide a tax benefit to the company by postponing the related compensation expense until it was likely to be fully deductible. In accordance with SEC requirements, this award is reflected in the 2007 Nonqualified Deferred Compensation table on page 40.</w:t>
      </w:r>
    </w:p>
    <w:p>
      <w:pPr>
        <w:spacing w:after="0" w:line="167"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2007 Option Exercises and Stock Vested</w:t>
      </w:r>
    </w:p>
    <w:p>
      <w:pPr>
        <w:spacing w:after="0" w:line="216" w:lineRule="exact"/>
        <w:rPr>
          <w:sz w:val="20"/>
          <w:szCs w:val="20"/>
          <w:color w:val="auto"/>
        </w:rPr>
      </w:pPr>
    </w:p>
    <w:p>
      <w:pPr>
        <w:ind w:left="2" w:right="400"/>
        <w:spacing w:after="0" w:line="250" w:lineRule="auto"/>
        <w:rPr>
          <w:sz w:val="20"/>
          <w:szCs w:val="20"/>
          <w:color w:val="auto"/>
        </w:rPr>
      </w:pPr>
      <w:r>
        <w:rPr>
          <w:rFonts w:ascii="Arial" w:cs="Arial" w:eastAsia="Arial" w:hAnsi="Arial"/>
          <w:sz w:val="16"/>
          <w:szCs w:val="16"/>
          <w:color w:val="auto"/>
        </w:rPr>
        <w:t>The following table lists the number of shares acquired and the value realized as a result of option exercises by the named executive officers in 2007 and the value of any restricted stock units that vested in 2007.</w:t>
      </w:r>
    </w:p>
    <w:p>
      <w:pPr>
        <w:spacing w:after="0" w:line="236" w:lineRule="exact"/>
        <w:rPr>
          <w:sz w:val="20"/>
          <w:szCs w:val="20"/>
          <w:color w:val="auto"/>
        </w:rPr>
      </w:pPr>
    </w:p>
    <w:tbl>
      <w:tblPr>
        <w:tblLayout w:type="fixed"/>
        <w:tblInd w:w="2" w:type="dxa"/>
        <w:tblCellMar>
          <w:top w:w="0" w:type="dxa"/>
          <w:left w:w="0" w:type="dxa"/>
          <w:bottom w:w="0" w:type="dxa"/>
          <w:right w:w="0" w:type="dxa"/>
        </w:tblCellMar>
      </w:tblPr>
      <w:tr>
        <w:trPr>
          <w:trHeight w:val="149"/>
        </w:trPr>
        <w:tc>
          <w:tcPr>
            <w:tcW w:w="2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2720" w:type="dxa"/>
            <w:vAlign w:val="bottom"/>
            <w:tcBorders>
              <w:bottom w:val="single" w:sz="8" w:color="auto"/>
            </w:tcBorders>
            <w:gridSpan w:val="3"/>
          </w:tcPr>
          <w:p>
            <w:pPr>
              <w:ind w:left="160"/>
              <w:spacing w:after="0"/>
              <w:rPr>
                <w:sz w:val="20"/>
                <w:szCs w:val="20"/>
                <w:color w:val="auto"/>
              </w:rPr>
            </w:pPr>
            <w:r>
              <w:rPr>
                <w:rFonts w:ascii="Arial" w:cs="Arial" w:eastAsia="Arial" w:hAnsi="Arial"/>
                <w:sz w:val="12"/>
                <w:szCs w:val="12"/>
                <w:b w:val="1"/>
                <w:bCs w:val="1"/>
                <w:color w:val="auto"/>
              </w:rPr>
              <w:t>Option Awards</w:t>
            </w:r>
          </w:p>
        </w:tc>
        <w:tc>
          <w:tcPr>
            <w:tcW w:w="340" w:type="dxa"/>
            <w:vAlign w:val="bottom"/>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460" w:type="dxa"/>
            <w:vAlign w:val="bottom"/>
            <w:tcBorders>
              <w:bottom w:val="single" w:sz="8" w:color="auto"/>
            </w:tcBorders>
            <w:gridSpan w:val="3"/>
          </w:tcPr>
          <w:p>
            <w:pPr>
              <w:ind w:left="120"/>
              <w:spacing w:after="0"/>
              <w:rPr>
                <w:sz w:val="20"/>
                <w:szCs w:val="20"/>
                <w:color w:val="auto"/>
              </w:rPr>
            </w:pPr>
            <w:r>
              <w:rPr>
                <w:rFonts w:ascii="Arial" w:cs="Arial" w:eastAsia="Arial" w:hAnsi="Arial"/>
                <w:sz w:val="12"/>
                <w:szCs w:val="12"/>
                <w:b w:val="1"/>
                <w:bCs w:val="1"/>
                <w:color w:val="auto"/>
              </w:rPr>
              <w:t>Stock Awards</w:t>
            </w:r>
          </w:p>
        </w:tc>
      </w:tr>
      <w:tr>
        <w:trPr>
          <w:trHeight w:val="200"/>
        </w:trPr>
        <w:tc>
          <w:tcPr>
            <w:tcW w:w="2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Pr>
          <w:p>
            <w:pPr>
              <w:jc w:val="center"/>
              <w:ind w:left="259"/>
              <w:spacing w:after="0"/>
              <w:rPr>
                <w:sz w:val="20"/>
                <w:szCs w:val="20"/>
                <w:color w:val="auto"/>
              </w:rPr>
            </w:pPr>
            <w:r>
              <w:rPr>
                <w:rFonts w:ascii="Arial" w:cs="Arial" w:eastAsia="Arial" w:hAnsi="Arial"/>
                <w:sz w:val="12"/>
                <w:szCs w:val="12"/>
                <w:b w:val="1"/>
                <w:bCs w:val="1"/>
                <w:color w:val="auto"/>
                <w:w w:val="99"/>
              </w:rPr>
              <w:t>Number of</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jc w:val="center"/>
              <w:ind w:left="339"/>
              <w:spacing w:after="0"/>
              <w:rPr>
                <w:sz w:val="20"/>
                <w:szCs w:val="20"/>
                <w:color w:val="auto"/>
              </w:rPr>
            </w:pPr>
            <w:r>
              <w:rPr>
                <w:rFonts w:ascii="Arial" w:cs="Arial" w:eastAsia="Arial" w:hAnsi="Arial"/>
                <w:sz w:val="12"/>
                <w:szCs w:val="12"/>
                <w:b w:val="1"/>
                <w:bCs w:val="1"/>
                <w:color w:val="auto"/>
              </w:rPr>
              <w:t>Number of</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21"/>
        </w:trPr>
        <w:tc>
          <w:tcPr>
            <w:tcW w:w="2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center"/>
              <w:ind w:left="259"/>
              <w:spacing w:after="0"/>
              <w:rPr>
                <w:sz w:val="20"/>
                <w:szCs w:val="20"/>
                <w:color w:val="auto"/>
              </w:rPr>
            </w:pPr>
            <w:r>
              <w:rPr>
                <w:rFonts w:ascii="Arial" w:cs="Arial" w:eastAsia="Arial" w:hAnsi="Arial"/>
                <w:sz w:val="12"/>
                <w:szCs w:val="12"/>
                <w:b w:val="1"/>
                <w:bCs w:val="1"/>
                <w:color w:val="auto"/>
                <w:w w:val="99"/>
              </w:rPr>
              <w:t>Shares</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center"/>
              <w:ind w:left="339"/>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1"/>
        </w:trPr>
        <w:tc>
          <w:tcPr>
            <w:tcW w:w="26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tcPr>
          <w:p>
            <w:pPr>
              <w:jc w:val="center"/>
              <w:ind w:left="259"/>
              <w:spacing w:after="0"/>
              <w:rPr>
                <w:sz w:val="20"/>
                <w:szCs w:val="20"/>
                <w:color w:val="auto"/>
              </w:rPr>
            </w:pPr>
            <w:r>
              <w:rPr>
                <w:rFonts w:ascii="Arial" w:cs="Arial" w:eastAsia="Arial" w:hAnsi="Arial"/>
                <w:sz w:val="12"/>
                <w:szCs w:val="12"/>
                <w:b w:val="1"/>
                <w:bCs w:val="1"/>
                <w:color w:val="auto"/>
                <w:w w:val="99"/>
              </w:rPr>
              <w:t>Acquired</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Pr>
          <w:p>
            <w:pPr>
              <w:ind w:left="540"/>
              <w:spacing w:after="0"/>
              <w:rPr>
                <w:sz w:val="20"/>
                <w:szCs w:val="20"/>
                <w:color w:val="auto"/>
              </w:rPr>
            </w:pPr>
            <w:r>
              <w:rPr>
                <w:rFonts w:ascii="Arial" w:cs="Arial" w:eastAsia="Arial" w:hAnsi="Arial"/>
                <w:sz w:val="12"/>
                <w:szCs w:val="12"/>
                <w:b w:val="1"/>
                <w:bCs w:val="1"/>
                <w:color w:val="auto"/>
              </w:rPr>
              <w:t>Value Realized</w:t>
            </w:r>
          </w:p>
        </w:tc>
        <w:tc>
          <w:tcPr>
            <w:tcW w:w="340" w:type="dxa"/>
            <w:vAlign w:val="bottom"/>
          </w:tcPr>
          <w:p>
            <w:pPr>
              <w:spacing w:after="0"/>
              <w:rPr>
                <w:sz w:val="19"/>
                <w:szCs w:val="19"/>
                <w:color w:val="auto"/>
              </w:rPr>
            </w:pPr>
          </w:p>
        </w:tc>
        <w:tc>
          <w:tcPr>
            <w:tcW w:w="1420" w:type="dxa"/>
            <w:vAlign w:val="bottom"/>
          </w:tcPr>
          <w:p>
            <w:pPr>
              <w:jc w:val="center"/>
              <w:ind w:left="339"/>
              <w:spacing w:after="0"/>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Arial" w:cs="Arial" w:eastAsia="Arial" w:hAnsi="Arial"/>
                <w:sz w:val="12"/>
                <w:szCs w:val="12"/>
                <w:b w:val="1"/>
                <w:bCs w:val="1"/>
                <w:color w:val="auto"/>
              </w:rPr>
              <w:t>Value Realized</w:t>
            </w:r>
          </w:p>
        </w:tc>
      </w:tr>
      <w:tr>
        <w:trPr>
          <w:trHeight w:val="227"/>
        </w:trPr>
        <w:tc>
          <w:tcPr>
            <w:tcW w:w="2620" w:type="dxa"/>
            <w:vAlign w:val="bottom"/>
            <w:tcBorders>
              <w:bottom w:val="single" w:sz="8" w:color="auto"/>
            </w:tcBorders>
          </w:tcPr>
          <w:p>
            <w:pPr>
              <w:ind w:left="1120"/>
              <w:spacing w:after="0"/>
              <w:rPr>
                <w:sz w:val="20"/>
                <w:szCs w:val="20"/>
                <w:color w:val="auto"/>
              </w:rPr>
            </w:pPr>
            <w:r>
              <w:rPr>
                <w:rFonts w:ascii="Arial" w:cs="Arial" w:eastAsia="Arial" w:hAnsi="Arial"/>
                <w:sz w:val="12"/>
                <w:szCs w:val="12"/>
                <w:b w:val="1"/>
                <w:bCs w:val="1"/>
                <w:color w:val="auto"/>
              </w:rPr>
              <w:t>Name</w:t>
            </w:r>
          </w:p>
        </w:tc>
        <w:tc>
          <w:tcPr>
            <w:tcW w:w="340" w:type="dxa"/>
            <w:vAlign w:val="bottom"/>
          </w:tcPr>
          <w:p>
            <w:pPr>
              <w:spacing w:after="0"/>
              <w:rPr>
                <w:sz w:val="19"/>
                <w:szCs w:val="19"/>
                <w:color w:val="auto"/>
              </w:rPr>
            </w:pPr>
          </w:p>
        </w:tc>
        <w:tc>
          <w:tcPr>
            <w:tcW w:w="1520" w:type="dxa"/>
            <w:vAlign w:val="bottom"/>
            <w:tcBorders>
              <w:bottom w:val="single" w:sz="8" w:color="auto"/>
            </w:tcBorders>
          </w:tcPr>
          <w:p>
            <w:pPr>
              <w:jc w:val="center"/>
              <w:ind w:left="259"/>
              <w:spacing w:after="0"/>
              <w:rPr>
                <w:sz w:val="20"/>
                <w:szCs w:val="20"/>
                <w:color w:val="auto"/>
              </w:rPr>
            </w:pPr>
            <w:r>
              <w:rPr>
                <w:rFonts w:ascii="Arial" w:cs="Arial" w:eastAsia="Arial" w:hAnsi="Arial"/>
                <w:sz w:val="12"/>
                <w:szCs w:val="12"/>
                <w:b w:val="1"/>
                <w:bCs w:val="1"/>
                <w:color w:val="auto"/>
              </w:rPr>
              <w:t>on Exercise (#)</w:t>
            </w:r>
          </w:p>
        </w:tc>
        <w:tc>
          <w:tcPr>
            <w:tcW w:w="3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Borders>
              <w:bottom w:val="single" w:sz="8" w:color="auto"/>
            </w:tcBorders>
          </w:tcPr>
          <w:p>
            <w:pPr>
              <w:ind w:left="540"/>
              <w:spacing w:after="0"/>
              <w:rPr>
                <w:sz w:val="20"/>
                <w:szCs w:val="20"/>
                <w:color w:val="auto"/>
              </w:rPr>
            </w:pPr>
            <w:r>
              <w:rPr>
                <w:rFonts w:ascii="Arial" w:cs="Arial" w:eastAsia="Arial" w:hAnsi="Arial"/>
                <w:sz w:val="12"/>
                <w:szCs w:val="12"/>
                <w:b w:val="1"/>
                <w:bCs w:val="1"/>
                <w:color w:val="auto"/>
              </w:rPr>
              <w:t>on Exercise ($)</w:t>
            </w:r>
          </w:p>
        </w:tc>
        <w:tc>
          <w:tcPr>
            <w:tcW w:w="340" w:type="dxa"/>
            <w:vAlign w:val="bottom"/>
          </w:tcPr>
          <w:p>
            <w:pPr>
              <w:spacing w:after="0"/>
              <w:rPr>
                <w:sz w:val="19"/>
                <w:szCs w:val="19"/>
                <w:color w:val="auto"/>
              </w:rPr>
            </w:pPr>
          </w:p>
        </w:tc>
        <w:tc>
          <w:tcPr>
            <w:tcW w:w="1420" w:type="dxa"/>
            <w:vAlign w:val="bottom"/>
            <w:tcBorders>
              <w:bottom w:val="single" w:sz="8" w:color="auto"/>
            </w:tcBorders>
          </w:tcPr>
          <w:p>
            <w:pPr>
              <w:jc w:val="center"/>
              <w:ind w:left="359"/>
              <w:spacing w:after="0"/>
              <w:rPr>
                <w:sz w:val="20"/>
                <w:szCs w:val="20"/>
                <w:color w:val="auto"/>
              </w:rPr>
            </w:pPr>
            <w:r>
              <w:rPr>
                <w:rFonts w:ascii="Arial" w:cs="Arial" w:eastAsia="Arial" w:hAnsi="Arial"/>
                <w:sz w:val="12"/>
                <w:szCs w:val="12"/>
                <w:b w:val="1"/>
                <w:bCs w:val="1"/>
                <w:color w:val="auto"/>
              </w:rPr>
              <w:t>on Vesting (#)</w:t>
            </w:r>
          </w:p>
        </w:tc>
        <w:tc>
          <w:tcPr>
            <w:tcW w:w="46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on Vesting ($)</w:t>
            </w:r>
          </w:p>
        </w:tc>
      </w:tr>
      <w:tr>
        <w:trPr>
          <w:trHeight w:val="219"/>
        </w:trPr>
        <w:tc>
          <w:tcPr>
            <w:tcW w:w="2960" w:type="dxa"/>
            <w:vAlign w:val="bottom"/>
            <w:gridSpan w:val="2"/>
            <w:shd w:val="clear" w:color="auto" w:fill="C0C0C0"/>
          </w:tcPr>
          <w:p>
            <w:pPr>
              <w:spacing w:after="0"/>
              <w:rPr>
                <w:sz w:val="20"/>
                <w:szCs w:val="20"/>
                <w:color w:val="auto"/>
              </w:rPr>
            </w:pPr>
            <w:r>
              <w:rPr>
                <w:rFonts w:ascii="Arial" w:cs="Arial" w:eastAsia="Arial" w:hAnsi="Arial"/>
                <w:sz w:val="12"/>
                <w:szCs w:val="12"/>
                <w:color w:val="auto"/>
              </w:rPr>
              <w:t>R. K. Templeton</w:t>
            </w:r>
          </w:p>
        </w:tc>
        <w:tc>
          <w:tcPr>
            <w:tcW w:w="1520" w:type="dxa"/>
            <w:vAlign w:val="bottom"/>
            <w:shd w:val="clear" w:color="auto" w:fill="C0C0C0"/>
          </w:tcPr>
          <w:p>
            <w:pPr>
              <w:jc w:val="center"/>
              <w:ind w:left="259"/>
              <w:spacing w:after="0"/>
              <w:rPr>
                <w:sz w:val="20"/>
                <w:szCs w:val="20"/>
                <w:color w:val="auto"/>
              </w:rPr>
            </w:pPr>
            <w:r>
              <w:rPr>
                <w:rFonts w:ascii="Arial" w:cs="Arial" w:eastAsia="Arial" w:hAnsi="Arial"/>
                <w:sz w:val="12"/>
                <w:szCs w:val="12"/>
                <w:color w:val="auto"/>
              </w:rPr>
              <w:t>–</w:t>
            </w:r>
          </w:p>
        </w:tc>
        <w:tc>
          <w:tcPr>
            <w:tcW w:w="38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200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0C0C0"/>
          </w:tcPr>
          <w:p>
            <w:pPr>
              <w:spacing w:after="0"/>
              <w:rPr>
                <w:sz w:val="19"/>
                <w:szCs w:val="19"/>
                <w:color w:val="auto"/>
              </w:rPr>
            </w:pPr>
          </w:p>
        </w:tc>
        <w:tc>
          <w:tcPr>
            <w:tcW w:w="1420" w:type="dxa"/>
            <w:vAlign w:val="bottom"/>
            <w:shd w:val="clear" w:color="auto" w:fill="C0C0C0"/>
          </w:tcPr>
          <w:p>
            <w:pPr>
              <w:jc w:val="center"/>
              <w:ind w:left="339"/>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166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w:t>
            </w:r>
          </w:p>
        </w:tc>
      </w:tr>
      <w:tr>
        <w:trPr>
          <w:trHeight w:val="214"/>
        </w:trPr>
        <w:tc>
          <w:tcPr>
            <w:tcW w:w="2960" w:type="dxa"/>
            <w:vAlign w:val="bottom"/>
            <w:gridSpan w:val="2"/>
          </w:tcPr>
          <w:p>
            <w:pPr>
              <w:spacing w:after="0"/>
              <w:rPr>
                <w:sz w:val="20"/>
                <w:szCs w:val="20"/>
                <w:color w:val="auto"/>
              </w:rPr>
            </w:pPr>
            <w:r>
              <w:rPr>
                <w:rFonts w:ascii="Arial" w:cs="Arial" w:eastAsia="Arial" w:hAnsi="Arial"/>
                <w:sz w:val="12"/>
                <w:szCs w:val="12"/>
                <w:color w:val="auto"/>
              </w:rPr>
              <w:t>K. P. March</w:t>
            </w:r>
          </w:p>
        </w:tc>
        <w:tc>
          <w:tcPr>
            <w:tcW w:w="1520" w:type="dxa"/>
            <w:vAlign w:val="bottom"/>
          </w:tcPr>
          <w:p>
            <w:pPr>
              <w:jc w:val="center"/>
              <w:ind w:left="259"/>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Arial" w:cs="Arial" w:eastAsia="Arial" w:hAnsi="Arial"/>
                <w:sz w:val="12"/>
                <w:szCs w:val="12"/>
                <w:color w:val="auto"/>
                <w:w w:val="89"/>
              </w:rPr>
              <w:t>–</w:t>
            </w:r>
          </w:p>
        </w:tc>
        <w:tc>
          <w:tcPr>
            <w:tcW w:w="1760" w:type="dxa"/>
            <w:vAlign w:val="bottom"/>
            <w:gridSpan w:val="2"/>
          </w:tcPr>
          <w:p>
            <w:pPr>
              <w:jc w:val="center"/>
              <w:ind w:left="679"/>
              <w:spacing w:after="0"/>
              <w:rPr>
                <w:sz w:val="20"/>
                <w:szCs w:val="20"/>
                <w:color w:val="auto"/>
              </w:rPr>
            </w:pPr>
            <w:r>
              <w:rPr>
                <w:rFonts w:ascii="Arial" w:cs="Arial" w:eastAsia="Arial" w:hAnsi="Arial"/>
                <w:sz w:val="12"/>
                <w:szCs w:val="12"/>
                <w:color w:val="auto"/>
              </w:rPr>
              <w:t>30,000</w:t>
            </w:r>
          </w:p>
        </w:tc>
        <w:tc>
          <w:tcPr>
            <w:tcW w:w="2460" w:type="dxa"/>
            <w:vAlign w:val="bottom"/>
            <w:gridSpan w:val="3"/>
          </w:tcPr>
          <w:p>
            <w:pPr>
              <w:jc w:val="center"/>
              <w:ind w:left="699"/>
              <w:spacing w:after="0"/>
              <w:rPr>
                <w:sz w:val="20"/>
                <w:szCs w:val="20"/>
                <w:color w:val="auto"/>
              </w:rPr>
            </w:pPr>
            <w:r>
              <w:rPr>
                <w:rFonts w:ascii="Arial" w:cs="Arial" w:eastAsia="Arial" w:hAnsi="Arial"/>
                <w:sz w:val="12"/>
                <w:szCs w:val="12"/>
                <w:color w:val="auto"/>
              </w:rPr>
              <w:t>$1,027,400</w:t>
            </w:r>
          </w:p>
        </w:tc>
      </w:tr>
      <w:tr>
        <w:trPr>
          <w:trHeight w:val="227"/>
        </w:trPr>
        <w:tc>
          <w:tcPr>
            <w:tcW w:w="2960" w:type="dxa"/>
            <w:vAlign w:val="bottom"/>
            <w:gridSpan w:val="2"/>
            <w:shd w:val="clear" w:color="auto" w:fill="C0C0C0"/>
          </w:tcPr>
          <w:p>
            <w:pPr>
              <w:spacing w:after="0"/>
              <w:rPr>
                <w:sz w:val="20"/>
                <w:szCs w:val="20"/>
                <w:color w:val="auto"/>
              </w:rPr>
            </w:pPr>
            <w:r>
              <w:rPr>
                <w:rFonts w:ascii="Arial" w:cs="Arial" w:eastAsia="Arial" w:hAnsi="Arial"/>
                <w:sz w:val="12"/>
                <w:szCs w:val="12"/>
                <w:color w:val="auto"/>
              </w:rPr>
              <w:t>T. J. Engibous</w:t>
            </w:r>
          </w:p>
        </w:tc>
        <w:tc>
          <w:tcPr>
            <w:tcW w:w="1520" w:type="dxa"/>
            <w:vAlign w:val="bottom"/>
            <w:shd w:val="clear" w:color="auto" w:fill="C0C0C0"/>
          </w:tcPr>
          <w:p>
            <w:pPr>
              <w:jc w:val="center"/>
              <w:ind w:left="259"/>
              <w:spacing w:after="0"/>
              <w:rPr>
                <w:sz w:val="20"/>
                <w:szCs w:val="20"/>
                <w:color w:val="auto"/>
              </w:rPr>
            </w:pPr>
            <w:r>
              <w:rPr>
                <w:rFonts w:ascii="Arial" w:cs="Arial" w:eastAsia="Arial" w:hAnsi="Arial"/>
                <w:sz w:val="12"/>
                <w:szCs w:val="12"/>
                <w:color w:val="auto"/>
              </w:rPr>
              <w:t>–</w:t>
            </w:r>
          </w:p>
        </w:tc>
        <w:tc>
          <w:tcPr>
            <w:tcW w:w="38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200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w:t>
            </w:r>
          </w:p>
        </w:tc>
        <w:tc>
          <w:tcPr>
            <w:tcW w:w="340" w:type="dxa"/>
            <w:vAlign w:val="bottom"/>
            <w:shd w:val="clear" w:color="auto" w:fill="C0C0C0"/>
          </w:tcPr>
          <w:p>
            <w:pPr>
              <w:spacing w:after="0"/>
              <w:rPr>
                <w:sz w:val="19"/>
                <w:szCs w:val="19"/>
                <w:color w:val="auto"/>
              </w:rPr>
            </w:pPr>
          </w:p>
        </w:tc>
        <w:tc>
          <w:tcPr>
            <w:tcW w:w="1420" w:type="dxa"/>
            <w:vAlign w:val="bottom"/>
            <w:shd w:val="clear" w:color="auto" w:fill="C0C0C0"/>
          </w:tcPr>
          <w:p>
            <w:pPr>
              <w:jc w:val="center"/>
              <w:ind w:left="339"/>
              <w:spacing w:after="0"/>
              <w:rPr>
                <w:sz w:val="20"/>
                <w:szCs w:val="20"/>
                <w:color w:val="auto"/>
              </w:rPr>
            </w:pPr>
            <w:r>
              <w:rPr>
                <w:rFonts w:ascii="Arial" w:cs="Arial" w:eastAsia="Arial" w:hAnsi="Arial"/>
                <w:sz w:val="12"/>
                <w:szCs w:val="12"/>
                <w:color w:val="auto"/>
                <w:w w:val="89"/>
              </w:rPr>
              <w:t>–</w:t>
            </w:r>
          </w:p>
        </w:tc>
        <w:tc>
          <w:tcPr>
            <w:tcW w:w="46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1660" w:type="dxa"/>
            <w:vAlign w:val="bottom"/>
            <w:shd w:val="clear" w:color="auto" w:fill="C0C0C0"/>
          </w:tcPr>
          <w:p>
            <w:pPr>
              <w:jc w:val="center"/>
              <w:spacing w:after="0"/>
              <w:rPr>
                <w:sz w:val="20"/>
                <w:szCs w:val="20"/>
                <w:color w:val="auto"/>
              </w:rPr>
            </w:pPr>
            <w:r>
              <w:rPr>
                <w:rFonts w:ascii="Arial" w:cs="Arial" w:eastAsia="Arial" w:hAnsi="Arial"/>
                <w:sz w:val="12"/>
                <w:szCs w:val="12"/>
                <w:color w:val="auto"/>
                <w:w w:val="89"/>
              </w:rPr>
              <w:t>–</w:t>
            </w:r>
          </w:p>
        </w:tc>
      </w:tr>
      <w:tr>
        <w:trPr>
          <w:trHeight w:val="214"/>
        </w:trPr>
        <w:tc>
          <w:tcPr>
            <w:tcW w:w="2960" w:type="dxa"/>
            <w:vAlign w:val="bottom"/>
            <w:gridSpan w:val="2"/>
          </w:tcPr>
          <w:p>
            <w:pPr>
              <w:spacing w:after="0"/>
              <w:rPr>
                <w:sz w:val="20"/>
                <w:szCs w:val="20"/>
                <w:color w:val="auto"/>
              </w:rPr>
            </w:pPr>
            <w:r>
              <w:rPr>
                <w:rFonts w:ascii="Arial" w:cs="Arial" w:eastAsia="Arial" w:hAnsi="Arial"/>
                <w:sz w:val="12"/>
                <w:szCs w:val="12"/>
                <w:color w:val="auto"/>
              </w:rPr>
              <w:t>G. A. Lowe</w:t>
            </w:r>
          </w:p>
        </w:tc>
        <w:tc>
          <w:tcPr>
            <w:tcW w:w="1520" w:type="dxa"/>
            <w:vAlign w:val="bottom"/>
          </w:tcPr>
          <w:p>
            <w:pPr>
              <w:jc w:val="center"/>
              <w:ind w:left="259"/>
              <w:spacing w:after="0"/>
              <w:rPr>
                <w:sz w:val="20"/>
                <w:szCs w:val="20"/>
                <w:color w:val="auto"/>
              </w:rPr>
            </w:pPr>
            <w:r>
              <w:rPr>
                <w:rFonts w:ascii="Arial" w:cs="Arial" w:eastAsia="Arial" w:hAnsi="Arial"/>
                <w:sz w:val="12"/>
                <w:szCs w:val="12"/>
                <w:color w:val="auto"/>
              </w:rPr>
              <w:t>200,000</w:t>
            </w:r>
          </w:p>
        </w:tc>
        <w:tc>
          <w:tcPr>
            <w:tcW w:w="2720" w:type="dxa"/>
            <w:vAlign w:val="bottom"/>
            <w:gridSpan w:val="3"/>
          </w:tcPr>
          <w:p>
            <w:pPr>
              <w:jc w:val="center"/>
              <w:ind w:left="599"/>
              <w:spacing w:after="0"/>
              <w:rPr>
                <w:sz w:val="20"/>
                <w:szCs w:val="20"/>
                <w:color w:val="auto"/>
              </w:rPr>
            </w:pPr>
            <w:r>
              <w:rPr>
                <w:rFonts w:ascii="Arial" w:cs="Arial" w:eastAsia="Arial" w:hAnsi="Arial"/>
                <w:sz w:val="12"/>
                <w:szCs w:val="12"/>
                <w:color w:val="auto"/>
              </w:rPr>
              <w:t>$3,030,000</w:t>
            </w:r>
          </w:p>
        </w:tc>
        <w:tc>
          <w:tcPr>
            <w:tcW w:w="1760" w:type="dxa"/>
            <w:vAlign w:val="bottom"/>
            <w:gridSpan w:val="2"/>
          </w:tcPr>
          <w:p>
            <w:pPr>
              <w:jc w:val="center"/>
              <w:ind w:left="679"/>
              <w:spacing w:after="0"/>
              <w:rPr>
                <w:sz w:val="20"/>
                <w:szCs w:val="20"/>
                <w:color w:val="auto"/>
              </w:rPr>
            </w:pPr>
            <w:r>
              <w:rPr>
                <w:rFonts w:ascii="Arial" w:cs="Arial" w:eastAsia="Arial" w:hAnsi="Arial"/>
                <w:sz w:val="12"/>
                <w:szCs w:val="12"/>
                <w:color w:val="auto"/>
              </w:rPr>
              <w:t>62,500</w:t>
            </w:r>
          </w:p>
        </w:tc>
        <w:tc>
          <w:tcPr>
            <w:tcW w:w="2460" w:type="dxa"/>
            <w:vAlign w:val="bottom"/>
            <w:gridSpan w:val="3"/>
          </w:tcPr>
          <w:p>
            <w:pPr>
              <w:jc w:val="center"/>
              <w:ind w:left="699"/>
              <w:spacing w:after="0"/>
              <w:rPr>
                <w:sz w:val="20"/>
                <w:szCs w:val="20"/>
                <w:color w:val="auto"/>
              </w:rPr>
            </w:pPr>
            <w:r>
              <w:rPr>
                <w:rFonts w:ascii="Arial" w:cs="Arial" w:eastAsia="Arial" w:hAnsi="Arial"/>
                <w:sz w:val="12"/>
                <w:szCs w:val="12"/>
                <w:color w:val="auto"/>
              </w:rPr>
              <w:t>$1,927,500</w:t>
            </w:r>
          </w:p>
        </w:tc>
      </w:tr>
      <w:tr>
        <w:trPr>
          <w:trHeight w:val="227"/>
        </w:trPr>
        <w:tc>
          <w:tcPr>
            <w:tcW w:w="2960" w:type="dxa"/>
            <w:vAlign w:val="bottom"/>
            <w:gridSpan w:val="2"/>
            <w:shd w:val="clear" w:color="auto" w:fill="C0C0C0"/>
          </w:tcPr>
          <w:p>
            <w:pPr>
              <w:spacing w:after="0"/>
              <w:rPr>
                <w:sz w:val="20"/>
                <w:szCs w:val="20"/>
                <w:color w:val="auto"/>
              </w:rPr>
            </w:pPr>
            <w:r>
              <w:rPr>
                <w:rFonts w:ascii="Arial" w:cs="Arial" w:eastAsia="Arial" w:hAnsi="Arial"/>
                <w:sz w:val="12"/>
                <w:szCs w:val="12"/>
                <w:color w:val="auto"/>
              </w:rPr>
              <w:t>M. J. Hames</w:t>
            </w:r>
          </w:p>
        </w:tc>
        <w:tc>
          <w:tcPr>
            <w:tcW w:w="1520" w:type="dxa"/>
            <w:vAlign w:val="bottom"/>
            <w:shd w:val="clear" w:color="auto" w:fill="C0C0C0"/>
          </w:tcPr>
          <w:p>
            <w:pPr>
              <w:jc w:val="center"/>
              <w:ind w:left="259"/>
              <w:spacing w:after="0"/>
              <w:rPr>
                <w:sz w:val="20"/>
                <w:szCs w:val="20"/>
                <w:color w:val="auto"/>
              </w:rPr>
            </w:pPr>
            <w:r>
              <w:rPr>
                <w:rFonts w:ascii="Arial" w:cs="Arial" w:eastAsia="Arial" w:hAnsi="Arial"/>
                <w:sz w:val="12"/>
                <w:szCs w:val="12"/>
                <w:color w:val="auto"/>
              </w:rPr>
              <w:t>120,000</w:t>
            </w:r>
          </w:p>
        </w:tc>
        <w:tc>
          <w:tcPr>
            <w:tcW w:w="2720" w:type="dxa"/>
            <w:vAlign w:val="bottom"/>
            <w:gridSpan w:val="3"/>
            <w:shd w:val="clear" w:color="auto" w:fill="C0C0C0"/>
          </w:tcPr>
          <w:p>
            <w:pPr>
              <w:jc w:val="center"/>
              <w:ind w:left="599"/>
              <w:spacing w:after="0"/>
              <w:rPr>
                <w:sz w:val="20"/>
                <w:szCs w:val="20"/>
                <w:color w:val="auto"/>
              </w:rPr>
            </w:pPr>
            <w:r>
              <w:rPr>
                <w:rFonts w:ascii="Arial" w:cs="Arial" w:eastAsia="Arial" w:hAnsi="Arial"/>
                <w:sz w:val="12"/>
                <w:szCs w:val="12"/>
                <w:color w:val="auto"/>
              </w:rPr>
              <w:t>$1,426,800</w:t>
            </w:r>
          </w:p>
        </w:tc>
        <w:tc>
          <w:tcPr>
            <w:tcW w:w="1760" w:type="dxa"/>
            <w:vAlign w:val="bottom"/>
            <w:gridSpan w:val="2"/>
            <w:shd w:val="clear" w:color="auto" w:fill="C0C0C0"/>
          </w:tcPr>
          <w:p>
            <w:pPr>
              <w:jc w:val="center"/>
              <w:ind w:left="679"/>
              <w:spacing w:after="0"/>
              <w:rPr>
                <w:sz w:val="20"/>
                <w:szCs w:val="20"/>
                <w:color w:val="auto"/>
              </w:rPr>
            </w:pPr>
            <w:r>
              <w:rPr>
                <w:rFonts w:ascii="Arial" w:cs="Arial" w:eastAsia="Arial" w:hAnsi="Arial"/>
                <w:sz w:val="12"/>
                <w:szCs w:val="12"/>
                <w:color w:val="auto"/>
              </w:rPr>
              <w:t>50,000</w:t>
            </w:r>
          </w:p>
        </w:tc>
        <w:tc>
          <w:tcPr>
            <w:tcW w:w="2460" w:type="dxa"/>
            <w:vAlign w:val="bottom"/>
            <w:gridSpan w:val="3"/>
            <w:shd w:val="clear" w:color="auto" w:fill="C0C0C0"/>
          </w:tcPr>
          <w:p>
            <w:pPr>
              <w:jc w:val="center"/>
              <w:ind w:left="699"/>
              <w:spacing w:after="0"/>
              <w:rPr>
                <w:sz w:val="20"/>
                <w:szCs w:val="20"/>
                <w:color w:val="auto"/>
              </w:rPr>
            </w:pPr>
            <w:r>
              <w:rPr>
                <w:rFonts w:ascii="Arial" w:cs="Arial" w:eastAsia="Arial" w:hAnsi="Arial"/>
                <w:sz w:val="12"/>
                <w:szCs w:val="12"/>
                <w:color w:val="auto"/>
              </w:rPr>
              <w:t>$1,542,000</w:t>
            </w:r>
          </w:p>
        </w:tc>
      </w:tr>
      <w:tr>
        <w:trPr>
          <w:trHeight w:val="208"/>
        </w:trPr>
        <w:tc>
          <w:tcPr>
            <w:tcW w:w="2960" w:type="dxa"/>
            <w:vAlign w:val="bottom"/>
            <w:gridSpan w:val="2"/>
          </w:tcPr>
          <w:p>
            <w:pPr>
              <w:spacing w:after="0"/>
              <w:rPr>
                <w:sz w:val="20"/>
                <w:szCs w:val="20"/>
                <w:color w:val="auto"/>
              </w:rPr>
            </w:pPr>
            <w:r>
              <w:rPr>
                <w:rFonts w:ascii="Arial" w:cs="Arial" w:eastAsia="Arial" w:hAnsi="Arial"/>
                <w:sz w:val="12"/>
                <w:szCs w:val="12"/>
                <w:color w:val="auto"/>
              </w:rPr>
              <w:t>G. Delfassy</w:t>
            </w:r>
          </w:p>
        </w:tc>
        <w:tc>
          <w:tcPr>
            <w:tcW w:w="1520" w:type="dxa"/>
            <w:vAlign w:val="bottom"/>
          </w:tcPr>
          <w:p>
            <w:pPr>
              <w:jc w:val="center"/>
              <w:ind w:left="259"/>
              <w:spacing w:after="0"/>
              <w:rPr>
                <w:sz w:val="20"/>
                <w:szCs w:val="20"/>
                <w:color w:val="auto"/>
              </w:rPr>
            </w:pPr>
            <w:r>
              <w:rPr>
                <w:rFonts w:ascii="Arial" w:cs="Arial" w:eastAsia="Arial" w:hAnsi="Arial"/>
                <w:sz w:val="12"/>
                <w:szCs w:val="12"/>
                <w:color w:val="auto"/>
              </w:rPr>
              <w:t>166,000</w:t>
            </w:r>
          </w:p>
        </w:tc>
        <w:tc>
          <w:tcPr>
            <w:tcW w:w="2720" w:type="dxa"/>
            <w:vAlign w:val="bottom"/>
            <w:gridSpan w:val="3"/>
          </w:tcPr>
          <w:p>
            <w:pPr>
              <w:jc w:val="center"/>
              <w:ind w:left="599"/>
              <w:spacing w:after="0"/>
              <w:rPr>
                <w:sz w:val="20"/>
                <w:szCs w:val="20"/>
                <w:color w:val="auto"/>
              </w:rPr>
            </w:pPr>
            <w:r>
              <w:rPr>
                <w:rFonts w:ascii="Arial" w:cs="Arial" w:eastAsia="Arial" w:hAnsi="Arial"/>
                <w:sz w:val="12"/>
                <w:szCs w:val="12"/>
                <w:color w:val="auto"/>
              </w:rPr>
              <w:t>$2,053,499</w:t>
            </w:r>
          </w:p>
        </w:tc>
        <w:tc>
          <w:tcPr>
            <w:tcW w:w="340" w:type="dxa"/>
            <w:vAlign w:val="bottom"/>
          </w:tcPr>
          <w:p>
            <w:pPr>
              <w:spacing w:after="0"/>
              <w:rPr>
                <w:sz w:val="18"/>
                <w:szCs w:val="18"/>
                <w:color w:val="auto"/>
              </w:rPr>
            </w:pPr>
          </w:p>
        </w:tc>
        <w:tc>
          <w:tcPr>
            <w:tcW w:w="1420" w:type="dxa"/>
            <w:vAlign w:val="bottom"/>
          </w:tcPr>
          <w:p>
            <w:pPr>
              <w:jc w:val="center"/>
              <w:ind w:left="339"/>
              <w:spacing w:after="0"/>
              <w:rPr>
                <w:sz w:val="20"/>
                <w:szCs w:val="20"/>
                <w:color w:val="auto"/>
              </w:rPr>
            </w:pPr>
            <w:r>
              <w:rPr>
                <w:rFonts w:ascii="Arial" w:cs="Arial" w:eastAsia="Arial" w:hAnsi="Arial"/>
                <w:sz w:val="12"/>
                <w:szCs w:val="12"/>
                <w:color w:val="auto"/>
                <w:w w:val="89"/>
              </w:rPr>
              <w:t>–</w:t>
            </w: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2"/>
                <w:szCs w:val="12"/>
                <w:color w:val="auto"/>
                <w:w w:val="89"/>
              </w:rPr>
              <w:t>–</w:t>
            </w:r>
          </w:p>
        </w:tc>
      </w:tr>
    </w:tbl>
    <w:p>
      <w:pPr>
        <w:spacing w:after="0" w:line="200" w:lineRule="exact"/>
        <w:rPr>
          <w:sz w:val="20"/>
          <w:szCs w:val="20"/>
          <w:color w:val="auto"/>
        </w:rPr>
      </w:pPr>
    </w:p>
    <w:p>
      <w:pPr>
        <w:spacing w:after="0" w:line="232"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7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2007 Pension Benefits</w:t>
      </w:r>
    </w:p>
    <w:p>
      <w:pPr>
        <w:spacing w:after="0" w:line="216" w:lineRule="exact"/>
        <w:rPr>
          <w:sz w:val="20"/>
          <w:szCs w:val="20"/>
          <w:color w:val="auto"/>
        </w:rPr>
      </w:pPr>
    </w:p>
    <w:p>
      <w:pPr>
        <w:ind w:left="2" w:right="180"/>
        <w:spacing w:after="0" w:line="250" w:lineRule="auto"/>
        <w:rPr>
          <w:sz w:val="20"/>
          <w:szCs w:val="20"/>
          <w:color w:val="auto"/>
        </w:rPr>
      </w:pPr>
      <w:r>
        <w:rPr>
          <w:rFonts w:ascii="Arial" w:cs="Arial" w:eastAsia="Arial" w:hAnsi="Arial"/>
          <w:sz w:val="16"/>
          <w:szCs w:val="16"/>
          <w:color w:val="auto"/>
        </w:rPr>
        <w:t>The following table shows the present value as of December 31, 2007, of the benefit of the named executive officers under our qualified defined benefit pension plan (TI Employees Pension Plan) and nonqualified defined benefit pension plan (TI Employees Non-Qualified Pension Plan).</w:t>
      </w:r>
    </w:p>
    <w:p>
      <w:pPr>
        <w:spacing w:after="0" w:line="249"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3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Payments</w:t>
            </w:r>
          </w:p>
        </w:tc>
      </w:tr>
      <w:tr>
        <w:trPr>
          <w:trHeight w:val="221"/>
        </w:trPr>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During</w:t>
            </w:r>
          </w:p>
        </w:tc>
      </w:tr>
      <w:tr>
        <w:trPr>
          <w:trHeight w:val="221"/>
        </w:trPr>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w w:val="97"/>
              </w:rPr>
              <w:t>of Years</w:t>
            </w:r>
          </w:p>
        </w:tc>
        <w:tc>
          <w:tcPr>
            <w:tcW w:w="28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Arial" w:cs="Arial" w:eastAsia="Arial" w:hAnsi="Arial"/>
                <w:sz w:val="12"/>
                <w:szCs w:val="12"/>
                <w:b w:val="1"/>
                <w:bCs w:val="1"/>
                <w:color w:val="auto"/>
              </w:rPr>
              <w:t>Present Value of</w:t>
            </w:r>
          </w:p>
        </w:tc>
        <w:tc>
          <w:tcPr>
            <w:tcW w:w="2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w w:val="97"/>
              </w:rPr>
              <w:t>Last</w:t>
            </w:r>
          </w:p>
        </w:tc>
      </w:tr>
      <w:tr>
        <w:trPr>
          <w:trHeight w:val="221"/>
        </w:trPr>
        <w:tc>
          <w:tcPr>
            <w:tcW w:w="3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2"/>
                <w:szCs w:val="12"/>
                <w:b w:val="1"/>
                <w:bCs w:val="1"/>
                <w:color w:val="auto"/>
              </w:rPr>
              <w:t>Credited</w:t>
            </w:r>
          </w:p>
        </w:tc>
        <w:tc>
          <w:tcPr>
            <w:tcW w:w="28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Arial" w:cs="Arial" w:eastAsia="Arial" w:hAnsi="Arial"/>
                <w:sz w:val="12"/>
                <w:szCs w:val="12"/>
                <w:b w:val="1"/>
                <w:bCs w:val="1"/>
                <w:color w:val="auto"/>
              </w:rPr>
              <w:t>Accumulated</w:t>
            </w:r>
          </w:p>
        </w:tc>
        <w:tc>
          <w:tcPr>
            <w:tcW w:w="28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2"/>
                <w:szCs w:val="12"/>
                <w:b w:val="1"/>
                <w:bCs w:val="1"/>
                <w:color w:val="auto"/>
              </w:rPr>
              <w:t>Fiscal</w:t>
            </w:r>
          </w:p>
        </w:tc>
      </w:tr>
      <w:tr>
        <w:trPr>
          <w:trHeight w:val="209"/>
        </w:trPr>
        <w:tc>
          <w:tcPr>
            <w:tcW w:w="3120" w:type="dxa"/>
            <w:vAlign w:val="bottom"/>
            <w:tcBorders>
              <w:bottom w:val="single" w:sz="8" w:color="auto"/>
            </w:tcBorders>
          </w:tcPr>
          <w:p>
            <w:pPr>
              <w:ind w:left="1300"/>
              <w:spacing w:after="0"/>
              <w:rPr>
                <w:sz w:val="20"/>
                <w:szCs w:val="20"/>
                <w:color w:val="auto"/>
              </w:rPr>
            </w:pPr>
            <w:r>
              <w:rPr>
                <w:rFonts w:ascii="Arial" w:cs="Arial" w:eastAsia="Arial" w:hAnsi="Arial"/>
                <w:sz w:val="12"/>
                <w:szCs w:val="12"/>
                <w:b w:val="1"/>
                <w:bCs w:val="1"/>
                <w:color w:val="auto"/>
              </w:rPr>
              <w:t>Name (1)</w:t>
            </w:r>
          </w:p>
        </w:tc>
        <w:tc>
          <w:tcPr>
            <w:tcW w:w="280" w:type="dxa"/>
            <w:vAlign w:val="bottom"/>
          </w:tcPr>
          <w:p>
            <w:pPr>
              <w:spacing w:after="0"/>
              <w:rPr>
                <w:sz w:val="18"/>
                <w:szCs w:val="18"/>
                <w:color w:val="auto"/>
              </w:rPr>
            </w:pPr>
          </w:p>
        </w:tc>
        <w:tc>
          <w:tcPr>
            <w:tcW w:w="3720" w:type="dxa"/>
            <w:vAlign w:val="bottom"/>
            <w:tcBorders>
              <w:bottom w:val="single" w:sz="8" w:color="auto"/>
            </w:tcBorders>
          </w:tcPr>
          <w:p>
            <w:pPr>
              <w:ind w:left="1540"/>
              <w:spacing w:after="0"/>
              <w:rPr>
                <w:sz w:val="20"/>
                <w:szCs w:val="20"/>
                <w:color w:val="auto"/>
              </w:rPr>
            </w:pPr>
            <w:r>
              <w:rPr>
                <w:rFonts w:ascii="Arial" w:cs="Arial" w:eastAsia="Arial" w:hAnsi="Arial"/>
                <w:sz w:val="12"/>
                <w:szCs w:val="12"/>
                <w:b w:val="1"/>
                <w:bCs w:val="1"/>
                <w:color w:val="auto"/>
              </w:rPr>
              <w:t>Plan Name</w:t>
            </w:r>
          </w:p>
        </w:tc>
        <w:tc>
          <w:tcPr>
            <w:tcW w:w="30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Service (#)(3)</w:t>
            </w:r>
          </w:p>
        </w:tc>
        <w:tc>
          <w:tcPr>
            <w:tcW w:w="280" w:type="dxa"/>
            <w:vAlign w:val="bottom"/>
          </w:tcPr>
          <w:p>
            <w:pPr>
              <w:spacing w:after="0"/>
              <w:rPr>
                <w:sz w:val="18"/>
                <w:szCs w:val="18"/>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rPr>
              <w:t>Benefit ($)(4)</w:t>
            </w:r>
          </w:p>
        </w:tc>
        <w:tc>
          <w:tcPr>
            <w:tcW w:w="28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Year ($)</w:t>
            </w:r>
          </w:p>
        </w:tc>
      </w:tr>
      <w:tr>
        <w:trPr>
          <w:trHeight w:val="213"/>
        </w:trPr>
        <w:tc>
          <w:tcPr>
            <w:tcW w:w="3120" w:type="dxa"/>
            <w:vAlign w:val="bottom"/>
            <w:shd w:val="clear" w:color="auto" w:fill="C0C0C0"/>
          </w:tcPr>
          <w:p>
            <w:pPr>
              <w:spacing w:after="0"/>
              <w:rPr>
                <w:sz w:val="20"/>
                <w:szCs w:val="20"/>
                <w:color w:val="auto"/>
              </w:rPr>
            </w:pPr>
            <w:r>
              <w:rPr>
                <w:rFonts w:ascii="Arial" w:cs="Arial" w:eastAsia="Arial" w:hAnsi="Arial"/>
                <w:sz w:val="12"/>
                <w:szCs w:val="12"/>
                <w:color w:val="auto"/>
              </w:rPr>
              <w:t>R. K. Templeton (2)</w:t>
            </w:r>
          </w:p>
        </w:tc>
        <w:tc>
          <w:tcPr>
            <w:tcW w:w="280" w:type="dxa"/>
            <w:vAlign w:val="bottom"/>
            <w:shd w:val="clear" w:color="auto" w:fill="C0C0C0"/>
          </w:tcPr>
          <w:p>
            <w:pPr>
              <w:spacing w:after="0"/>
              <w:rPr>
                <w:sz w:val="18"/>
                <w:szCs w:val="18"/>
                <w:color w:val="auto"/>
              </w:rPr>
            </w:pPr>
          </w:p>
        </w:tc>
        <w:tc>
          <w:tcPr>
            <w:tcW w:w="3720" w:type="dxa"/>
            <w:vAlign w:val="bottom"/>
            <w:shd w:val="clear" w:color="auto" w:fill="C0C0C0"/>
          </w:tcPr>
          <w:p>
            <w:pPr>
              <w:spacing w:after="0"/>
              <w:rPr>
                <w:sz w:val="20"/>
                <w:szCs w:val="20"/>
                <w:color w:val="auto"/>
              </w:rPr>
            </w:pPr>
            <w:r>
              <w:rPr>
                <w:rFonts w:ascii="Arial" w:cs="Arial" w:eastAsia="Arial" w:hAnsi="Arial"/>
                <w:sz w:val="12"/>
                <w:szCs w:val="12"/>
                <w:color w:val="auto"/>
              </w:rPr>
              <w:t>TI Employees Pension Plan</w:t>
            </w:r>
          </w:p>
        </w:tc>
        <w:tc>
          <w:tcPr>
            <w:tcW w:w="1660" w:type="dxa"/>
            <w:vAlign w:val="bottom"/>
            <w:gridSpan w:val="2"/>
            <w:shd w:val="clear" w:color="auto" w:fill="C0C0C0"/>
          </w:tcPr>
          <w:p>
            <w:pPr>
              <w:jc w:val="right"/>
              <w:ind w:right="579"/>
              <w:spacing w:after="0"/>
              <w:rPr>
                <w:sz w:val="20"/>
                <w:szCs w:val="20"/>
                <w:color w:val="auto"/>
              </w:rPr>
            </w:pPr>
            <w:r>
              <w:rPr>
                <w:rFonts w:ascii="Arial" w:cs="Arial" w:eastAsia="Arial" w:hAnsi="Arial"/>
                <w:sz w:val="12"/>
                <w:szCs w:val="12"/>
                <w:color w:val="auto"/>
              </w:rPr>
              <w:t>16</w:t>
            </w:r>
          </w:p>
        </w:tc>
        <w:tc>
          <w:tcPr>
            <w:tcW w:w="660" w:type="dxa"/>
            <w:vAlign w:val="bottom"/>
            <w:gridSpan w:val="2"/>
            <w:shd w:val="clear" w:color="auto" w:fill="C0C0C0"/>
          </w:tcPr>
          <w:p>
            <w:pPr>
              <w:ind w:left="5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305,494</w:t>
            </w:r>
          </w:p>
        </w:tc>
        <w:tc>
          <w:tcPr>
            <w:tcW w:w="24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40" w:type="dxa"/>
            <w:vAlign w:val="bottom"/>
            <w:shd w:val="clear" w:color="auto" w:fill="C0C0C0"/>
          </w:tcPr>
          <w:p>
            <w:pPr>
              <w:ind w:left="420"/>
              <w:spacing w:after="0"/>
              <w:rPr>
                <w:sz w:val="20"/>
                <w:szCs w:val="20"/>
                <w:color w:val="auto"/>
              </w:rPr>
            </w:pPr>
            <w:r>
              <w:rPr>
                <w:rFonts w:ascii="Arial" w:cs="Arial" w:eastAsia="Arial" w:hAnsi="Arial"/>
                <w:sz w:val="12"/>
                <w:szCs w:val="12"/>
                <w:color w:val="auto"/>
              </w:rPr>
              <w:t>–</w:t>
            </w:r>
          </w:p>
        </w:tc>
      </w:tr>
      <w:tr>
        <w:trPr>
          <w:trHeight w:val="221"/>
        </w:trPr>
        <w:tc>
          <w:tcPr>
            <w:tcW w:w="312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3720" w:type="dxa"/>
            <w:vAlign w:val="bottom"/>
            <w:shd w:val="clear" w:color="auto" w:fill="C0C0C0"/>
          </w:tcPr>
          <w:p>
            <w:pPr>
              <w:spacing w:after="0"/>
              <w:rPr>
                <w:sz w:val="20"/>
                <w:szCs w:val="20"/>
                <w:color w:val="auto"/>
              </w:rPr>
            </w:pPr>
            <w:r>
              <w:rPr>
                <w:rFonts w:ascii="Arial" w:cs="Arial" w:eastAsia="Arial" w:hAnsi="Arial"/>
                <w:sz w:val="12"/>
                <w:szCs w:val="12"/>
                <w:color w:val="auto"/>
              </w:rPr>
              <w:t>TI Employees Non-Qualified Pension Plan</w:t>
            </w:r>
          </w:p>
        </w:tc>
        <w:tc>
          <w:tcPr>
            <w:tcW w:w="1660" w:type="dxa"/>
            <w:vAlign w:val="bottom"/>
            <w:gridSpan w:val="2"/>
            <w:shd w:val="clear" w:color="auto" w:fill="C0C0C0"/>
          </w:tcPr>
          <w:p>
            <w:pPr>
              <w:jc w:val="right"/>
              <w:ind w:right="579"/>
              <w:spacing w:after="0"/>
              <w:rPr>
                <w:sz w:val="20"/>
                <w:szCs w:val="20"/>
                <w:color w:val="auto"/>
              </w:rPr>
            </w:pPr>
            <w:r>
              <w:rPr>
                <w:rFonts w:ascii="Arial" w:cs="Arial" w:eastAsia="Arial" w:hAnsi="Arial"/>
                <w:sz w:val="12"/>
                <w:szCs w:val="12"/>
                <w:color w:val="auto"/>
              </w:rPr>
              <w:t>16</w:t>
            </w:r>
          </w:p>
        </w:tc>
        <w:tc>
          <w:tcPr>
            <w:tcW w:w="660" w:type="dxa"/>
            <w:vAlign w:val="bottom"/>
            <w:gridSpan w:val="2"/>
            <w:shd w:val="clear" w:color="auto" w:fill="C0C0C0"/>
          </w:tcPr>
          <w:p>
            <w:pPr>
              <w:ind w:left="5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224,388</w:t>
            </w:r>
          </w:p>
        </w:tc>
        <w:tc>
          <w:tcPr>
            <w:tcW w:w="24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940" w:type="dxa"/>
            <w:vAlign w:val="bottom"/>
            <w:shd w:val="clear" w:color="auto" w:fill="C0C0C0"/>
          </w:tcPr>
          <w:p>
            <w:pPr>
              <w:ind w:left="420"/>
              <w:spacing w:after="0"/>
              <w:rPr>
                <w:sz w:val="20"/>
                <w:szCs w:val="20"/>
                <w:color w:val="auto"/>
              </w:rPr>
            </w:pPr>
            <w:r>
              <w:rPr>
                <w:rFonts w:ascii="Arial" w:cs="Arial" w:eastAsia="Arial" w:hAnsi="Arial"/>
                <w:sz w:val="12"/>
                <w:szCs w:val="12"/>
                <w:color w:val="auto"/>
              </w:rPr>
              <w:t>–</w:t>
            </w:r>
          </w:p>
        </w:tc>
      </w:tr>
      <w:tr>
        <w:trPr>
          <w:trHeight w:val="232"/>
        </w:trPr>
        <w:tc>
          <w:tcPr>
            <w:tcW w:w="3120" w:type="dxa"/>
            <w:vAlign w:val="bottom"/>
          </w:tcPr>
          <w:p>
            <w:pPr>
              <w:spacing w:after="0"/>
              <w:rPr>
                <w:sz w:val="20"/>
                <w:szCs w:val="20"/>
                <w:color w:val="auto"/>
              </w:rPr>
            </w:pPr>
            <w:r>
              <w:rPr>
                <w:rFonts w:ascii="Arial" w:cs="Arial" w:eastAsia="Arial" w:hAnsi="Arial"/>
                <w:sz w:val="12"/>
                <w:szCs w:val="12"/>
                <w:color w:val="auto"/>
              </w:rPr>
              <w:t>K. P. March</w:t>
            </w:r>
          </w:p>
        </w:tc>
        <w:tc>
          <w:tcPr>
            <w:tcW w:w="28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2"/>
                <w:szCs w:val="12"/>
                <w:color w:val="auto"/>
              </w:rPr>
              <w:t>TI Employees Pension Plan</w:t>
            </w:r>
          </w:p>
        </w:tc>
        <w:tc>
          <w:tcPr>
            <w:tcW w:w="1660" w:type="dxa"/>
            <w:vAlign w:val="bottom"/>
            <w:gridSpan w:val="2"/>
          </w:tcPr>
          <w:p>
            <w:pPr>
              <w:jc w:val="right"/>
              <w:ind w:right="579"/>
              <w:spacing w:after="0"/>
              <w:rPr>
                <w:sz w:val="20"/>
                <w:szCs w:val="20"/>
                <w:color w:val="auto"/>
              </w:rPr>
            </w:pPr>
            <w:r>
              <w:rPr>
                <w:rFonts w:ascii="Arial" w:cs="Arial" w:eastAsia="Arial" w:hAnsi="Arial"/>
                <w:sz w:val="12"/>
                <w:szCs w:val="12"/>
                <w:color w:val="auto"/>
              </w:rPr>
              <w:t>22</w:t>
            </w:r>
          </w:p>
        </w:tc>
        <w:tc>
          <w:tcPr>
            <w:tcW w:w="66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271,388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ind w:left="420"/>
              <w:spacing w:after="0"/>
              <w:rPr>
                <w:sz w:val="20"/>
                <w:szCs w:val="20"/>
                <w:color w:val="auto"/>
              </w:rPr>
            </w:pPr>
            <w:r>
              <w:rPr>
                <w:rFonts w:ascii="Arial" w:cs="Arial" w:eastAsia="Arial" w:hAnsi="Arial"/>
                <w:sz w:val="12"/>
                <w:szCs w:val="12"/>
                <w:color w:val="auto"/>
              </w:rPr>
              <w:t>–</w:t>
            </w:r>
          </w:p>
        </w:tc>
      </w:tr>
      <w:tr>
        <w:trPr>
          <w:trHeight w:val="209"/>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2"/>
                <w:szCs w:val="12"/>
                <w:color w:val="auto"/>
              </w:rPr>
              <w:t>TI Employees Non-Qualified Pension Plan</w:t>
            </w:r>
          </w:p>
        </w:tc>
        <w:tc>
          <w:tcPr>
            <w:tcW w:w="1660" w:type="dxa"/>
            <w:vAlign w:val="bottom"/>
            <w:gridSpan w:val="2"/>
          </w:tcPr>
          <w:p>
            <w:pPr>
              <w:jc w:val="right"/>
              <w:ind w:right="579"/>
              <w:spacing w:after="0"/>
              <w:rPr>
                <w:sz w:val="20"/>
                <w:szCs w:val="20"/>
                <w:color w:val="auto"/>
              </w:rPr>
            </w:pPr>
            <w:r>
              <w:rPr>
                <w:rFonts w:ascii="Arial" w:cs="Arial" w:eastAsia="Arial" w:hAnsi="Arial"/>
                <w:sz w:val="12"/>
                <w:szCs w:val="12"/>
                <w:color w:val="auto"/>
              </w:rPr>
              <w:t>22</w:t>
            </w:r>
          </w:p>
        </w:tc>
        <w:tc>
          <w:tcPr>
            <w:tcW w:w="66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724,521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ind w:left="420"/>
              <w:spacing w:after="0"/>
              <w:rPr>
                <w:sz w:val="20"/>
                <w:szCs w:val="20"/>
                <w:color w:val="auto"/>
              </w:rPr>
            </w:pPr>
            <w:r>
              <w:rPr>
                <w:rFonts w:ascii="Arial" w:cs="Arial" w:eastAsia="Arial" w:hAnsi="Arial"/>
                <w:sz w:val="12"/>
                <w:szCs w:val="12"/>
                <w:color w:val="auto"/>
              </w:rPr>
              <w:t>–</w:t>
            </w:r>
          </w:p>
        </w:tc>
      </w:tr>
      <w:tr>
        <w:trPr>
          <w:trHeight w:val="221"/>
        </w:trPr>
        <w:tc>
          <w:tcPr>
            <w:tcW w:w="3120" w:type="dxa"/>
            <w:vAlign w:val="bottom"/>
            <w:shd w:val="clear" w:color="auto" w:fill="C0C0C0"/>
          </w:tcPr>
          <w:p>
            <w:pPr>
              <w:spacing w:after="0"/>
              <w:rPr>
                <w:sz w:val="20"/>
                <w:szCs w:val="20"/>
                <w:color w:val="auto"/>
              </w:rPr>
            </w:pPr>
            <w:r>
              <w:rPr>
                <w:rFonts w:ascii="Arial" w:cs="Arial" w:eastAsia="Arial" w:hAnsi="Arial"/>
                <w:sz w:val="12"/>
                <w:szCs w:val="12"/>
                <w:color w:val="auto"/>
              </w:rPr>
              <w:t>T. J. Engibous</w:t>
            </w:r>
          </w:p>
        </w:tc>
        <w:tc>
          <w:tcPr>
            <w:tcW w:w="280" w:type="dxa"/>
            <w:vAlign w:val="bottom"/>
            <w:shd w:val="clear" w:color="auto" w:fill="C0C0C0"/>
          </w:tcPr>
          <w:p>
            <w:pPr>
              <w:spacing w:after="0"/>
              <w:rPr>
                <w:sz w:val="19"/>
                <w:szCs w:val="19"/>
                <w:color w:val="auto"/>
              </w:rPr>
            </w:pPr>
          </w:p>
        </w:tc>
        <w:tc>
          <w:tcPr>
            <w:tcW w:w="3720" w:type="dxa"/>
            <w:vAlign w:val="bottom"/>
            <w:shd w:val="clear" w:color="auto" w:fill="C0C0C0"/>
          </w:tcPr>
          <w:p>
            <w:pPr>
              <w:spacing w:after="0"/>
              <w:rPr>
                <w:sz w:val="20"/>
                <w:szCs w:val="20"/>
                <w:color w:val="auto"/>
              </w:rPr>
            </w:pPr>
            <w:r>
              <w:rPr>
                <w:rFonts w:ascii="Arial" w:cs="Arial" w:eastAsia="Arial" w:hAnsi="Arial"/>
                <w:sz w:val="12"/>
                <w:szCs w:val="12"/>
                <w:color w:val="auto"/>
              </w:rPr>
              <w:t>TI Employees Pension Plan</w:t>
            </w:r>
          </w:p>
        </w:tc>
        <w:tc>
          <w:tcPr>
            <w:tcW w:w="1660" w:type="dxa"/>
            <w:vAlign w:val="bottom"/>
            <w:gridSpan w:val="2"/>
            <w:shd w:val="clear" w:color="auto" w:fill="C0C0C0"/>
          </w:tcPr>
          <w:p>
            <w:pPr>
              <w:jc w:val="right"/>
              <w:ind w:right="579"/>
              <w:spacing w:after="0"/>
              <w:rPr>
                <w:sz w:val="20"/>
                <w:szCs w:val="20"/>
                <w:color w:val="auto"/>
              </w:rPr>
            </w:pPr>
            <w:r>
              <w:rPr>
                <w:rFonts w:ascii="Arial" w:cs="Arial" w:eastAsia="Arial" w:hAnsi="Arial"/>
                <w:sz w:val="12"/>
                <w:szCs w:val="12"/>
                <w:color w:val="auto"/>
              </w:rPr>
              <w:t>30</w:t>
            </w:r>
          </w:p>
        </w:tc>
        <w:tc>
          <w:tcPr>
            <w:tcW w:w="660" w:type="dxa"/>
            <w:vAlign w:val="bottom"/>
            <w:gridSpan w:val="2"/>
            <w:shd w:val="clear" w:color="auto" w:fill="C0C0C0"/>
          </w:tcPr>
          <w:p>
            <w:pPr>
              <w:ind w:left="5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692,523</w:t>
            </w:r>
          </w:p>
        </w:tc>
        <w:tc>
          <w:tcPr>
            <w:tcW w:w="2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(5)</w:t>
            </w:r>
          </w:p>
        </w:tc>
        <w:tc>
          <w:tcPr>
            <w:tcW w:w="280" w:type="dxa"/>
            <w:vAlign w:val="bottom"/>
            <w:shd w:val="clear" w:color="auto" w:fill="C0C0C0"/>
          </w:tcPr>
          <w:p>
            <w:pPr>
              <w:spacing w:after="0"/>
              <w:rPr>
                <w:sz w:val="19"/>
                <w:szCs w:val="19"/>
                <w:color w:val="auto"/>
              </w:rPr>
            </w:pPr>
          </w:p>
        </w:tc>
        <w:tc>
          <w:tcPr>
            <w:tcW w:w="940" w:type="dxa"/>
            <w:vAlign w:val="bottom"/>
            <w:shd w:val="clear" w:color="auto" w:fill="C0C0C0"/>
          </w:tcPr>
          <w:p>
            <w:pPr>
              <w:ind w:left="420"/>
              <w:spacing w:after="0"/>
              <w:rPr>
                <w:sz w:val="20"/>
                <w:szCs w:val="20"/>
                <w:color w:val="auto"/>
              </w:rPr>
            </w:pPr>
            <w:r>
              <w:rPr>
                <w:rFonts w:ascii="Arial" w:cs="Arial" w:eastAsia="Arial" w:hAnsi="Arial"/>
                <w:sz w:val="12"/>
                <w:szCs w:val="12"/>
                <w:color w:val="auto"/>
              </w:rPr>
              <w:t>–</w:t>
            </w:r>
          </w:p>
        </w:tc>
      </w:tr>
      <w:tr>
        <w:trPr>
          <w:trHeight w:val="221"/>
        </w:trPr>
        <w:tc>
          <w:tcPr>
            <w:tcW w:w="312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3720" w:type="dxa"/>
            <w:vAlign w:val="bottom"/>
            <w:shd w:val="clear" w:color="auto" w:fill="C0C0C0"/>
          </w:tcPr>
          <w:p>
            <w:pPr>
              <w:spacing w:after="0"/>
              <w:rPr>
                <w:sz w:val="20"/>
                <w:szCs w:val="20"/>
                <w:color w:val="auto"/>
              </w:rPr>
            </w:pPr>
            <w:r>
              <w:rPr>
                <w:rFonts w:ascii="Arial" w:cs="Arial" w:eastAsia="Arial" w:hAnsi="Arial"/>
                <w:sz w:val="12"/>
                <w:szCs w:val="12"/>
                <w:color w:val="auto"/>
              </w:rPr>
              <w:t>TI Employees Non-Qualified Pension Plan</w:t>
            </w:r>
          </w:p>
        </w:tc>
        <w:tc>
          <w:tcPr>
            <w:tcW w:w="1660" w:type="dxa"/>
            <w:vAlign w:val="bottom"/>
            <w:gridSpan w:val="2"/>
            <w:shd w:val="clear" w:color="auto" w:fill="C0C0C0"/>
          </w:tcPr>
          <w:p>
            <w:pPr>
              <w:jc w:val="right"/>
              <w:ind w:right="579"/>
              <w:spacing w:after="0"/>
              <w:rPr>
                <w:sz w:val="20"/>
                <w:szCs w:val="20"/>
                <w:color w:val="auto"/>
              </w:rPr>
            </w:pPr>
            <w:r>
              <w:rPr>
                <w:rFonts w:ascii="Arial" w:cs="Arial" w:eastAsia="Arial" w:hAnsi="Arial"/>
                <w:sz w:val="12"/>
                <w:szCs w:val="12"/>
                <w:color w:val="auto"/>
              </w:rPr>
              <w:t>30</w:t>
            </w:r>
          </w:p>
        </w:tc>
        <w:tc>
          <w:tcPr>
            <w:tcW w:w="1420" w:type="dxa"/>
            <w:vAlign w:val="bottom"/>
            <w:gridSpan w:val="4"/>
            <w:shd w:val="clear" w:color="auto" w:fill="C0C0C0"/>
          </w:tcPr>
          <w:p>
            <w:pPr>
              <w:ind w:left="540"/>
              <w:spacing w:after="0" w:line="22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 xml:space="preserve">5,100,096 </w:t>
            </w:r>
            <w:r>
              <w:rPr>
                <w:rFonts w:ascii="Arial" w:cs="Arial" w:eastAsia="Arial" w:hAnsi="Arial"/>
                <w:sz w:val="24"/>
                <w:szCs w:val="24"/>
                <w:color w:val="auto"/>
                <w:vertAlign w:val="superscript"/>
              </w:rPr>
              <w:t>(5)</w:t>
            </w:r>
          </w:p>
        </w:tc>
        <w:tc>
          <w:tcPr>
            <w:tcW w:w="280" w:type="dxa"/>
            <w:vAlign w:val="bottom"/>
            <w:shd w:val="clear" w:color="auto" w:fill="C0C0C0"/>
          </w:tcPr>
          <w:p>
            <w:pPr>
              <w:spacing w:after="0"/>
              <w:rPr>
                <w:sz w:val="19"/>
                <w:szCs w:val="19"/>
                <w:color w:val="auto"/>
              </w:rPr>
            </w:pPr>
          </w:p>
        </w:tc>
        <w:tc>
          <w:tcPr>
            <w:tcW w:w="940" w:type="dxa"/>
            <w:vAlign w:val="bottom"/>
            <w:shd w:val="clear" w:color="auto" w:fill="C0C0C0"/>
          </w:tcPr>
          <w:p>
            <w:pPr>
              <w:ind w:left="420"/>
              <w:spacing w:after="0"/>
              <w:rPr>
                <w:sz w:val="20"/>
                <w:szCs w:val="20"/>
                <w:color w:val="auto"/>
              </w:rPr>
            </w:pPr>
            <w:r>
              <w:rPr>
                <w:rFonts w:ascii="Arial" w:cs="Arial" w:eastAsia="Arial" w:hAnsi="Arial"/>
                <w:sz w:val="12"/>
                <w:szCs w:val="12"/>
                <w:color w:val="auto"/>
              </w:rPr>
              <w:t>–</w:t>
            </w:r>
          </w:p>
        </w:tc>
      </w:tr>
      <w:tr>
        <w:trPr>
          <w:trHeight w:val="232"/>
        </w:trPr>
        <w:tc>
          <w:tcPr>
            <w:tcW w:w="3120" w:type="dxa"/>
            <w:vAlign w:val="bottom"/>
          </w:tcPr>
          <w:p>
            <w:pPr>
              <w:spacing w:after="0"/>
              <w:rPr>
                <w:sz w:val="20"/>
                <w:szCs w:val="20"/>
                <w:color w:val="auto"/>
              </w:rPr>
            </w:pPr>
            <w:r>
              <w:rPr>
                <w:rFonts w:ascii="Arial" w:cs="Arial" w:eastAsia="Arial" w:hAnsi="Arial"/>
                <w:sz w:val="12"/>
                <w:szCs w:val="12"/>
                <w:color w:val="auto"/>
              </w:rPr>
              <w:t>G. A. Lowe</w:t>
            </w:r>
          </w:p>
        </w:tc>
        <w:tc>
          <w:tcPr>
            <w:tcW w:w="28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2"/>
                <w:szCs w:val="12"/>
                <w:color w:val="auto"/>
              </w:rPr>
              <w:t>TI Employees Pension Plan</w:t>
            </w:r>
          </w:p>
        </w:tc>
        <w:tc>
          <w:tcPr>
            <w:tcW w:w="1660" w:type="dxa"/>
            <w:vAlign w:val="bottom"/>
            <w:gridSpan w:val="2"/>
          </w:tcPr>
          <w:p>
            <w:pPr>
              <w:jc w:val="right"/>
              <w:ind w:right="579"/>
              <w:spacing w:after="0"/>
              <w:rPr>
                <w:sz w:val="20"/>
                <w:szCs w:val="20"/>
                <w:color w:val="auto"/>
              </w:rPr>
            </w:pPr>
            <w:r>
              <w:rPr>
                <w:rFonts w:ascii="Arial" w:cs="Arial" w:eastAsia="Arial" w:hAnsi="Arial"/>
                <w:sz w:val="12"/>
                <w:szCs w:val="12"/>
                <w:color w:val="auto"/>
              </w:rPr>
              <w:t>22</w:t>
            </w:r>
          </w:p>
        </w:tc>
        <w:tc>
          <w:tcPr>
            <w:tcW w:w="66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291,236</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ind w:left="420"/>
              <w:spacing w:after="0"/>
              <w:rPr>
                <w:sz w:val="20"/>
                <w:szCs w:val="20"/>
                <w:color w:val="auto"/>
              </w:rPr>
            </w:pPr>
            <w:r>
              <w:rPr>
                <w:rFonts w:ascii="Arial" w:cs="Arial" w:eastAsia="Arial" w:hAnsi="Arial"/>
                <w:sz w:val="12"/>
                <w:szCs w:val="12"/>
                <w:color w:val="auto"/>
              </w:rPr>
              <w:t>–</w:t>
            </w:r>
          </w:p>
        </w:tc>
      </w:tr>
      <w:tr>
        <w:trPr>
          <w:trHeight w:val="209"/>
        </w:trPr>
        <w:tc>
          <w:tcPr>
            <w:tcW w:w="3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2"/>
                <w:szCs w:val="12"/>
                <w:color w:val="auto"/>
              </w:rPr>
              <w:t>TI Employees Non-Qualified Pension Plan</w:t>
            </w:r>
          </w:p>
        </w:tc>
        <w:tc>
          <w:tcPr>
            <w:tcW w:w="1660" w:type="dxa"/>
            <w:vAlign w:val="bottom"/>
            <w:gridSpan w:val="2"/>
          </w:tcPr>
          <w:p>
            <w:pPr>
              <w:jc w:val="right"/>
              <w:ind w:right="579"/>
              <w:spacing w:after="0"/>
              <w:rPr>
                <w:sz w:val="20"/>
                <w:szCs w:val="20"/>
                <w:color w:val="auto"/>
              </w:rPr>
            </w:pPr>
            <w:r>
              <w:rPr>
                <w:rFonts w:ascii="Arial" w:cs="Arial" w:eastAsia="Arial" w:hAnsi="Arial"/>
                <w:sz w:val="12"/>
                <w:szCs w:val="12"/>
                <w:color w:val="auto"/>
              </w:rPr>
              <w:t>22</w:t>
            </w:r>
          </w:p>
        </w:tc>
        <w:tc>
          <w:tcPr>
            <w:tcW w:w="660" w:type="dxa"/>
            <w:vAlign w:val="bottom"/>
            <w:gridSpan w:val="2"/>
          </w:tcPr>
          <w:p>
            <w:pPr>
              <w:ind w:left="54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797,249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ind w:left="420"/>
              <w:spacing w:after="0"/>
              <w:rPr>
                <w:sz w:val="20"/>
                <w:szCs w:val="20"/>
                <w:color w:val="auto"/>
              </w:rPr>
            </w:pPr>
            <w:r>
              <w:rPr>
                <w:rFonts w:ascii="Arial" w:cs="Arial" w:eastAsia="Arial" w:hAnsi="Arial"/>
                <w:sz w:val="12"/>
                <w:szCs w:val="12"/>
                <w:color w:val="auto"/>
              </w:rPr>
              <w:t>–</w:t>
            </w:r>
          </w:p>
        </w:tc>
      </w:tr>
      <w:tr>
        <w:trPr>
          <w:trHeight w:val="221"/>
        </w:trPr>
        <w:tc>
          <w:tcPr>
            <w:tcW w:w="3120" w:type="dxa"/>
            <w:vAlign w:val="bottom"/>
            <w:shd w:val="clear" w:color="auto" w:fill="C0C0C0"/>
          </w:tcPr>
          <w:p>
            <w:pPr>
              <w:spacing w:after="0"/>
              <w:rPr>
                <w:sz w:val="20"/>
                <w:szCs w:val="20"/>
                <w:color w:val="auto"/>
              </w:rPr>
            </w:pPr>
            <w:r>
              <w:rPr>
                <w:rFonts w:ascii="Arial" w:cs="Arial" w:eastAsia="Arial" w:hAnsi="Arial"/>
                <w:sz w:val="12"/>
                <w:szCs w:val="12"/>
                <w:color w:val="auto"/>
              </w:rPr>
              <w:t>M. J. Hames</w:t>
            </w:r>
          </w:p>
        </w:tc>
        <w:tc>
          <w:tcPr>
            <w:tcW w:w="280" w:type="dxa"/>
            <w:vAlign w:val="bottom"/>
            <w:shd w:val="clear" w:color="auto" w:fill="C0C0C0"/>
          </w:tcPr>
          <w:p>
            <w:pPr>
              <w:spacing w:after="0"/>
              <w:rPr>
                <w:sz w:val="19"/>
                <w:szCs w:val="19"/>
                <w:color w:val="auto"/>
              </w:rPr>
            </w:pPr>
          </w:p>
        </w:tc>
        <w:tc>
          <w:tcPr>
            <w:tcW w:w="3720" w:type="dxa"/>
            <w:vAlign w:val="bottom"/>
            <w:shd w:val="clear" w:color="auto" w:fill="C0C0C0"/>
          </w:tcPr>
          <w:p>
            <w:pPr>
              <w:spacing w:after="0"/>
              <w:rPr>
                <w:sz w:val="20"/>
                <w:szCs w:val="20"/>
                <w:color w:val="auto"/>
              </w:rPr>
            </w:pPr>
            <w:r>
              <w:rPr>
                <w:rFonts w:ascii="Arial" w:cs="Arial" w:eastAsia="Arial" w:hAnsi="Arial"/>
                <w:sz w:val="12"/>
                <w:szCs w:val="12"/>
                <w:color w:val="auto"/>
              </w:rPr>
              <w:t>TI Employees Pension Plan</w:t>
            </w:r>
          </w:p>
        </w:tc>
        <w:tc>
          <w:tcPr>
            <w:tcW w:w="1660" w:type="dxa"/>
            <w:vAlign w:val="bottom"/>
            <w:gridSpan w:val="2"/>
            <w:shd w:val="clear" w:color="auto" w:fill="C0C0C0"/>
          </w:tcPr>
          <w:p>
            <w:pPr>
              <w:jc w:val="right"/>
              <w:ind w:right="579"/>
              <w:spacing w:after="0"/>
              <w:rPr>
                <w:sz w:val="20"/>
                <w:szCs w:val="20"/>
                <w:color w:val="auto"/>
              </w:rPr>
            </w:pPr>
            <w:r>
              <w:rPr>
                <w:rFonts w:ascii="Arial" w:cs="Arial" w:eastAsia="Arial" w:hAnsi="Arial"/>
                <w:sz w:val="12"/>
                <w:szCs w:val="12"/>
                <w:color w:val="auto"/>
              </w:rPr>
              <w:t>26</w:t>
            </w:r>
          </w:p>
        </w:tc>
        <w:tc>
          <w:tcPr>
            <w:tcW w:w="660" w:type="dxa"/>
            <w:vAlign w:val="bottom"/>
            <w:gridSpan w:val="2"/>
            <w:shd w:val="clear" w:color="auto" w:fill="C0C0C0"/>
          </w:tcPr>
          <w:p>
            <w:pPr>
              <w:ind w:left="5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426,134</w:t>
            </w:r>
          </w:p>
        </w:tc>
        <w:tc>
          <w:tcPr>
            <w:tcW w:w="24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940" w:type="dxa"/>
            <w:vAlign w:val="bottom"/>
            <w:shd w:val="clear" w:color="auto" w:fill="C0C0C0"/>
          </w:tcPr>
          <w:p>
            <w:pPr>
              <w:ind w:left="420"/>
              <w:spacing w:after="0"/>
              <w:rPr>
                <w:sz w:val="20"/>
                <w:szCs w:val="20"/>
                <w:color w:val="auto"/>
              </w:rPr>
            </w:pPr>
            <w:r>
              <w:rPr>
                <w:rFonts w:ascii="Arial" w:cs="Arial" w:eastAsia="Arial" w:hAnsi="Arial"/>
                <w:sz w:val="12"/>
                <w:szCs w:val="12"/>
                <w:color w:val="auto"/>
              </w:rPr>
              <w:t>–</w:t>
            </w:r>
          </w:p>
        </w:tc>
      </w:tr>
      <w:tr>
        <w:trPr>
          <w:trHeight w:val="221"/>
        </w:trPr>
        <w:tc>
          <w:tcPr>
            <w:tcW w:w="312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3720" w:type="dxa"/>
            <w:vAlign w:val="bottom"/>
            <w:shd w:val="clear" w:color="auto" w:fill="C0C0C0"/>
          </w:tcPr>
          <w:p>
            <w:pPr>
              <w:spacing w:after="0"/>
              <w:rPr>
                <w:sz w:val="20"/>
                <w:szCs w:val="20"/>
                <w:color w:val="auto"/>
              </w:rPr>
            </w:pPr>
            <w:r>
              <w:rPr>
                <w:rFonts w:ascii="Arial" w:cs="Arial" w:eastAsia="Arial" w:hAnsi="Arial"/>
                <w:sz w:val="12"/>
                <w:szCs w:val="12"/>
                <w:color w:val="auto"/>
              </w:rPr>
              <w:t>TI Employees Non-Qualified Pension Plan</w:t>
            </w:r>
          </w:p>
        </w:tc>
        <w:tc>
          <w:tcPr>
            <w:tcW w:w="1660" w:type="dxa"/>
            <w:vAlign w:val="bottom"/>
            <w:gridSpan w:val="2"/>
            <w:shd w:val="clear" w:color="auto" w:fill="C0C0C0"/>
          </w:tcPr>
          <w:p>
            <w:pPr>
              <w:jc w:val="right"/>
              <w:ind w:right="579"/>
              <w:spacing w:after="0"/>
              <w:rPr>
                <w:sz w:val="20"/>
                <w:szCs w:val="20"/>
                <w:color w:val="auto"/>
              </w:rPr>
            </w:pPr>
            <w:r>
              <w:rPr>
                <w:rFonts w:ascii="Arial" w:cs="Arial" w:eastAsia="Arial" w:hAnsi="Arial"/>
                <w:sz w:val="12"/>
                <w:szCs w:val="12"/>
                <w:color w:val="auto"/>
              </w:rPr>
              <w:t>26</w:t>
            </w:r>
          </w:p>
        </w:tc>
        <w:tc>
          <w:tcPr>
            <w:tcW w:w="660" w:type="dxa"/>
            <w:vAlign w:val="bottom"/>
            <w:gridSpan w:val="2"/>
            <w:shd w:val="clear" w:color="auto" w:fill="C0C0C0"/>
          </w:tcPr>
          <w:p>
            <w:pPr>
              <w:ind w:left="540"/>
              <w:spacing w:after="0"/>
              <w:rPr>
                <w:sz w:val="20"/>
                <w:szCs w:val="20"/>
                <w:color w:val="auto"/>
              </w:rPr>
            </w:pPr>
            <w:r>
              <w:rPr>
                <w:rFonts w:ascii="Arial" w:cs="Arial" w:eastAsia="Arial" w:hAnsi="Arial"/>
                <w:sz w:val="12"/>
                <w:szCs w:val="12"/>
                <w:color w:val="auto"/>
              </w:rPr>
              <w:t>$</w:t>
            </w:r>
          </w:p>
        </w:tc>
        <w:tc>
          <w:tcPr>
            <w:tcW w:w="5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982,880</w:t>
            </w:r>
          </w:p>
        </w:tc>
        <w:tc>
          <w:tcPr>
            <w:tcW w:w="24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940" w:type="dxa"/>
            <w:vAlign w:val="bottom"/>
            <w:shd w:val="clear" w:color="auto" w:fill="C0C0C0"/>
          </w:tcPr>
          <w:p>
            <w:pPr>
              <w:ind w:left="420"/>
              <w:spacing w:after="0"/>
              <w:rPr>
                <w:sz w:val="20"/>
                <w:szCs w:val="20"/>
                <w:color w:val="auto"/>
              </w:rPr>
            </w:pPr>
            <w:r>
              <w:rPr>
                <w:rFonts w:ascii="Arial" w:cs="Arial" w:eastAsia="Arial" w:hAnsi="Arial"/>
                <w:sz w:val="12"/>
                <w:szCs w:val="12"/>
                <w:color w:val="auto"/>
              </w:rPr>
              <w:t>–</w:t>
            </w:r>
          </w:p>
        </w:tc>
      </w:tr>
      <w:tr>
        <w:trPr>
          <w:trHeight w:val="249"/>
        </w:trPr>
        <w:tc>
          <w:tcPr>
            <w:tcW w:w="3120" w:type="dxa"/>
            <w:vAlign w:val="bottom"/>
          </w:tcPr>
          <w:p>
            <w:pPr>
              <w:spacing w:after="0"/>
              <w:rPr>
                <w:sz w:val="20"/>
                <w:szCs w:val="20"/>
                <w:color w:val="auto"/>
              </w:rPr>
            </w:pPr>
            <w:r>
              <w:rPr>
                <w:rFonts w:ascii="Arial" w:cs="Arial" w:eastAsia="Arial" w:hAnsi="Arial"/>
                <w:sz w:val="20"/>
                <w:szCs w:val="20"/>
                <w:color w:val="auto"/>
              </w:rPr>
              <w:t>____________________</w:t>
            </w:r>
          </w:p>
        </w:tc>
        <w:tc>
          <w:tcPr>
            <w:tcW w:w="28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195" w:lineRule="exact"/>
        <w:rPr>
          <w:sz w:val="20"/>
          <w:szCs w:val="20"/>
          <w:color w:val="auto"/>
        </w:rPr>
      </w:pPr>
    </w:p>
    <w:p>
      <w:pPr>
        <w:ind w:left="442" w:right="260" w:hanging="442"/>
        <w:spacing w:after="0" w:line="245" w:lineRule="auto"/>
        <w:tabs>
          <w:tab w:leader="none" w:pos="442" w:val="left"/>
        </w:tabs>
        <w:numPr>
          <w:ilvl w:val="0"/>
          <w:numId w:val="33"/>
        </w:numPr>
        <w:rPr>
          <w:rFonts w:ascii="Arial" w:cs="Arial" w:eastAsia="Arial" w:hAnsi="Arial"/>
          <w:sz w:val="16"/>
          <w:szCs w:val="16"/>
          <w:color w:val="auto"/>
        </w:rPr>
      </w:pPr>
      <w:r>
        <w:rPr>
          <w:rFonts w:ascii="Arial" w:cs="Arial" w:eastAsia="Arial" w:hAnsi="Arial"/>
          <w:sz w:val="16"/>
          <w:szCs w:val="16"/>
          <w:color w:val="auto"/>
        </w:rPr>
        <w:t>Mr. Delfassy transferred to the company’s U.S. payroll in 1999. As a result, he does not participate in the defined benefit pension plans; instead he participates in the company’s enhanced defined contribution retirement plan. Contributions to that plan for Mr. Delfassy’s benefit are included in the 2007 Summary Compensation Table.</w:t>
      </w:r>
    </w:p>
    <w:p>
      <w:pPr>
        <w:spacing w:after="0" w:line="208" w:lineRule="exact"/>
        <w:rPr>
          <w:rFonts w:ascii="Arial" w:cs="Arial" w:eastAsia="Arial" w:hAnsi="Arial"/>
          <w:sz w:val="16"/>
          <w:szCs w:val="16"/>
          <w:color w:val="auto"/>
        </w:rPr>
      </w:pPr>
    </w:p>
    <w:p>
      <w:pPr>
        <w:ind w:left="442" w:hanging="442"/>
        <w:spacing w:after="0"/>
        <w:tabs>
          <w:tab w:leader="none" w:pos="442"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1997, TI’s U.S. employees were given the choice between continuing to participate in the defined benefit pension plans or participating in a new</w:t>
      </w:r>
    </w:p>
    <w:p>
      <w:pPr>
        <w:sectPr>
          <w:pgSz w:w="11900" w:h="16872" w:orient="portrait"/>
          <w:cols w:equalWidth="0" w:num="1">
            <w:col w:w="11422"/>
          </w:cols>
          <w:pgMar w:left="238" w:top="140" w:right="239" w:bottom="0" w:gutter="0" w:footer="0" w:header="0"/>
          <w:type w:val="continuous"/>
        </w:sectPr>
      </w:pPr>
    </w:p>
    <w:bookmarkStart w:id="25" w:name="page26"/>
    <w:bookmarkEnd w:id="25"/>
    <w:p>
      <w:pPr>
        <w:spacing w:after="0" w:line="110" w:lineRule="exact"/>
        <w:rPr>
          <w:sz w:val="20"/>
          <w:szCs w:val="20"/>
          <w:color w:val="auto"/>
        </w:rPr>
      </w:pPr>
    </w:p>
    <w:p>
      <w:pPr>
        <w:ind w:left="442"/>
        <w:spacing w:after="0" w:line="245" w:lineRule="auto"/>
        <w:rPr>
          <w:sz w:val="20"/>
          <w:szCs w:val="20"/>
          <w:color w:val="auto"/>
        </w:rPr>
      </w:pPr>
      <w:r>
        <w:rPr>
          <w:rFonts w:ascii="Arial" w:cs="Arial" w:eastAsia="Arial" w:hAnsi="Arial"/>
          <w:sz w:val="16"/>
          <w:szCs w:val="16"/>
          <w:color w:val="auto"/>
        </w:rPr>
        <w:t>enhanced defined contribution retirement plan. Mr. Templeton chose to participate in the defined contribution plan. Accordingly, his accrued pension benefits were frozen as of December 31, 1997. Contributions to the defined contribution plan for Mr. Templeton’s benefit are included in the 2007 Summary Compensation Table.</w:t>
      </w:r>
    </w:p>
    <w:p>
      <w:pPr>
        <w:spacing w:after="0" w:line="208" w:lineRule="exact"/>
        <w:rPr>
          <w:sz w:val="20"/>
          <w:szCs w:val="20"/>
          <w:color w:val="auto"/>
        </w:rPr>
      </w:pPr>
    </w:p>
    <w:p>
      <w:pPr>
        <w:ind w:left="442" w:right="60" w:hanging="442"/>
        <w:spacing w:after="0" w:line="243" w:lineRule="auto"/>
        <w:tabs>
          <w:tab w:leader="none" w:pos="442" w:val="left"/>
        </w:tabs>
        <w:numPr>
          <w:ilvl w:val="0"/>
          <w:numId w:val="34"/>
        </w:numPr>
        <w:rPr>
          <w:rFonts w:ascii="Arial" w:cs="Arial" w:eastAsia="Arial" w:hAnsi="Arial"/>
          <w:sz w:val="16"/>
          <w:szCs w:val="16"/>
          <w:color w:val="auto"/>
        </w:rPr>
      </w:pPr>
      <w:r>
        <w:rPr>
          <w:rFonts w:ascii="Arial" w:cs="Arial" w:eastAsia="Arial" w:hAnsi="Arial"/>
          <w:sz w:val="16"/>
          <w:szCs w:val="16"/>
          <w:color w:val="auto"/>
        </w:rPr>
        <w:t>Credited service began on the date the officer became eligible to participate in the plan. Eligibility to participate began on the earlier of 18 months of employment, or January 1 following the completion of one year of employment. Accordingly, each of the named executive officers has been employed by TI for longer than the years of credited service shown above. Because Mr. Templeton’s benefits were frozen as of December 31, 1997, he accumulates no additional years of credited service beyond that date.</w:t>
      </w:r>
    </w:p>
    <w:p>
      <w:pPr>
        <w:spacing w:after="0" w:line="210" w:lineRule="exact"/>
        <w:rPr>
          <w:rFonts w:ascii="Arial" w:cs="Arial" w:eastAsia="Arial" w:hAnsi="Arial"/>
          <w:sz w:val="16"/>
          <w:szCs w:val="16"/>
          <w:color w:val="auto"/>
        </w:rPr>
      </w:pPr>
    </w:p>
    <w:p>
      <w:pPr>
        <w:ind w:left="442" w:hanging="442"/>
        <w:spacing w:after="0" w:line="241" w:lineRule="auto"/>
        <w:tabs>
          <w:tab w:leader="none" w:pos="442"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assumptions and valuation methods used to calculate the present value of the accumulated pension benefits shown are the same as those used by TI for financial reporting purposes and are described in note 10 to Exhibit 13 to TI’s annual report on Form 10-K for the year ended December 31, 2007, except that a named executive officer’s retirement is assumed (in accordance with SEC rules) for purposes of this table to occur at age 65 and no assumption for termination prior to that date is used. The amount of the lump sum benefit earned as of December 31, 2007, is determined using either the Pension Benefit Guaranty Corporation (PBGC) interest assumption of 3.75 percent or the Pension Protection Act of 2006 (PPA) corporate bond yield interest assumption of 6 percent, whichever rate produces the higher lump sum amount. A discount rate assumption of 6.26 percent for the TI Employees Pension Plan and 6.30 percent for the TI Employees Non-Qualified Pension Plan are used to determine the present value of the lump sum.</w:t>
      </w:r>
    </w:p>
    <w:p>
      <w:pPr>
        <w:spacing w:after="0" w:line="213" w:lineRule="exact"/>
        <w:rPr>
          <w:rFonts w:ascii="Arial" w:cs="Arial" w:eastAsia="Arial" w:hAnsi="Arial"/>
          <w:sz w:val="16"/>
          <w:szCs w:val="16"/>
          <w:color w:val="auto"/>
        </w:rPr>
      </w:pPr>
    </w:p>
    <w:p>
      <w:pPr>
        <w:ind w:left="442" w:right="220" w:hanging="442"/>
        <w:spacing w:after="0" w:line="262" w:lineRule="auto"/>
        <w:tabs>
          <w:tab w:leader="none" w:pos="442" w:val="left"/>
        </w:tabs>
        <w:numPr>
          <w:ilvl w:val="0"/>
          <w:numId w:val="34"/>
        </w:numPr>
        <w:rPr>
          <w:rFonts w:ascii="Arial" w:cs="Arial" w:eastAsia="Arial" w:hAnsi="Arial"/>
          <w:sz w:val="15"/>
          <w:szCs w:val="15"/>
          <w:color w:val="auto"/>
        </w:rPr>
      </w:pPr>
      <w:r>
        <w:rPr>
          <w:rFonts w:ascii="Arial" w:cs="Arial" w:eastAsia="Arial" w:hAnsi="Arial"/>
          <w:sz w:val="15"/>
          <w:szCs w:val="15"/>
          <w:color w:val="auto"/>
        </w:rPr>
        <w:t>Mr. Engibous became eligible for early retirement in January 2008. He will retire as chairman immediately after TI’s 2008 annual meeting of stockholders. The estimated lump sum value of his early-retirement benefits as of his retirement date will be $1,135,924 under the TI Employees Pension Plan and $8,183,019 under the TI Employees Non-Qualified Pension Plan. These lump sum amounts are the present value of the annual annuity payments he otherwise would be entitled to receive, based on his actuarial life expectancy and the interest rate specified in the plans. The plans’ early retirement formulas use different factors than those used (pursuant to SEC requirements) to determine the amounts shown in the table above.</w:t>
      </w:r>
    </w:p>
    <w:p>
      <w:pPr>
        <w:spacing w:after="0" w:line="174"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96"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TI Employees Pension Plan</w:t>
      </w:r>
    </w:p>
    <w:p>
      <w:pPr>
        <w:spacing w:after="0" w:line="196" w:lineRule="exact"/>
        <w:rPr>
          <w:sz w:val="20"/>
          <w:szCs w:val="20"/>
          <w:color w:val="auto"/>
        </w:rPr>
      </w:pPr>
    </w:p>
    <w:p>
      <w:pPr>
        <w:ind w:left="2" w:right="100"/>
        <w:spacing w:after="0" w:line="245" w:lineRule="auto"/>
        <w:rPr>
          <w:sz w:val="20"/>
          <w:szCs w:val="20"/>
          <w:color w:val="auto"/>
        </w:rPr>
      </w:pPr>
      <w:r>
        <w:rPr>
          <w:rFonts w:ascii="Arial" w:cs="Arial" w:eastAsia="Arial" w:hAnsi="Arial"/>
          <w:sz w:val="16"/>
          <w:szCs w:val="16"/>
          <w:color w:val="auto"/>
        </w:rPr>
        <w:t>The TI Employees Pension Plan is a qualified defined benefit pension plan. Please see page 27 under the Benefits heading of the Compensation Discussion and Analysis for a discussion of the origin and purpose of the plan. Employees who joined the U.S. payroll after November 30, 1997, are not eligible to participate in this plan.</w:t>
      </w:r>
    </w:p>
    <w:p>
      <w:pPr>
        <w:spacing w:after="0" w:line="184" w:lineRule="exact"/>
        <w:rPr>
          <w:sz w:val="20"/>
          <w:szCs w:val="20"/>
          <w:color w:val="auto"/>
        </w:rPr>
      </w:pPr>
    </w:p>
    <w:p>
      <w:pPr>
        <w:ind w:left="2" w:right="160"/>
        <w:spacing w:after="0" w:line="245" w:lineRule="auto"/>
        <w:rPr>
          <w:sz w:val="20"/>
          <w:szCs w:val="20"/>
          <w:color w:val="auto"/>
        </w:rPr>
      </w:pPr>
      <w:r>
        <w:rPr>
          <w:rFonts w:ascii="Arial" w:cs="Arial" w:eastAsia="Arial" w:hAnsi="Arial"/>
          <w:sz w:val="16"/>
          <w:szCs w:val="16"/>
          <w:color w:val="auto"/>
        </w:rPr>
        <w:t>A plan participant is eligible for normal retirement under the terms of the plan if he is at least 65 years of age with one year of credited service. A participant is eligible for early retirement if he is at least 55 years of age with 20 years of employment or 60 years of age with five years of employment. In 2008, Mr. Engibous became eligible for early retirement. None of the other named executive officers are currently eligible for early or normal retirement.</w:t>
      </w:r>
    </w:p>
    <w:p>
      <w:pPr>
        <w:spacing w:after="0" w:line="184" w:lineRule="exact"/>
        <w:rPr>
          <w:sz w:val="20"/>
          <w:szCs w:val="20"/>
          <w:color w:val="auto"/>
        </w:rPr>
      </w:pPr>
    </w:p>
    <w:p>
      <w:pPr>
        <w:ind w:left="2"/>
        <w:spacing w:after="0" w:line="242" w:lineRule="auto"/>
        <w:rPr>
          <w:sz w:val="20"/>
          <w:szCs w:val="20"/>
          <w:color w:val="auto"/>
        </w:rPr>
      </w:pPr>
      <w:r>
        <w:rPr>
          <w:rFonts w:ascii="Arial" w:cs="Arial" w:eastAsia="Arial" w:hAnsi="Arial"/>
          <w:sz w:val="16"/>
          <w:szCs w:val="16"/>
          <w:color w:val="auto"/>
        </w:rPr>
        <w:t>A participant may request payment of his accrued benefit at termination or any time thereafter. Participants may choose a lump sum payment or one of six forms of annuity. In order of largest to smallest periodic payment, the forms of annuity are: (i) single life annuity, (ii) 5-year certain and life annuity, (iii) 10-year certain and life annuity, (iv) qualified joint and 50 percent survivor annuity, (v) qualified joint and 75 percent survivor annuity, and (vi) qualified joint and 100 percent survivor annuity. If the participant does not request payment, he will begin to receive his benefit in April of the year after he reaches the age of 70½ in the form of annuity required under the IRC.</w:t>
      </w:r>
    </w:p>
    <w:p>
      <w:pPr>
        <w:spacing w:after="0" w:line="187" w:lineRule="exact"/>
        <w:rPr>
          <w:sz w:val="20"/>
          <w:szCs w:val="20"/>
          <w:color w:val="auto"/>
        </w:rPr>
      </w:pPr>
    </w:p>
    <w:p>
      <w:pPr>
        <w:ind w:left="2" w:right="20"/>
        <w:spacing w:after="0" w:line="243" w:lineRule="auto"/>
        <w:rPr>
          <w:sz w:val="20"/>
          <w:szCs w:val="20"/>
          <w:color w:val="auto"/>
        </w:rPr>
      </w:pPr>
      <w:r>
        <w:rPr>
          <w:rFonts w:ascii="Arial" w:cs="Arial" w:eastAsia="Arial" w:hAnsi="Arial"/>
          <w:sz w:val="16"/>
          <w:szCs w:val="16"/>
          <w:color w:val="auto"/>
        </w:rPr>
        <w:t>The pension formula for the qualified plan is intended to provide a named executive officer with an annual retirement benefit equal to 1.5% multiplied by the product of (i) years of credited service and (ii) the average of the five highest consecutive years of his base salary plus bonus up to a limit imposed by the IRS, less a percentage (based on his year of birth, when he elects to retire and his years of service with TI) of the amount of compensation on which his Social Security benefit is based.</w:t>
      </w:r>
    </w:p>
    <w:p>
      <w:pPr>
        <w:spacing w:after="0" w:line="186" w:lineRule="exact"/>
        <w:rPr>
          <w:sz w:val="20"/>
          <w:szCs w:val="20"/>
          <w:color w:val="auto"/>
        </w:rPr>
      </w:pPr>
    </w:p>
    <w:p>
      <w:pPr>
        <w:ind w:left="2" w:right="400"/>
        <w:spacing w:after="0" w:line="250" w:lineRule="auto"/>
        <w:rPr>
          <w:sz w:val="20"/>
          <w:szCs w:val="20"/>
          <w:color w:val="auto"/>
        </w:rPr>
      </w:pPr>
      <w:r>
        <w:rPr>
          <w:rFonts w:ascii="Arial" w:cs="Arial" w:eastAsia="Arial" w:hAnsi="Arial"/>
          <w:sz w:val="16"/>
          <w:szCs w:val="16"/>
          <w:color w:val="auto"/>
        </w:rPr>
        <w:t>If an individual takes early retirement and chooses to begin receiving his annual retirement benefit at that time, such benefit is reduced by an early retirement factor. As a result, the annual benefit is lower than the one he would have received at age 65.</w:t>
      </w:r>
    </w:p>
    <w:p>
      <w:pPr>
        <w:spacing w:after="0" w:line="180" w:lineRule="exact"/>
        <w:rPr>
          <w:sz w:val="20"/>
          <w:szCs w:val="20"/>
          <w:color w:val="auto"/>
        </w:rPr>
      </w:pPr>
    </w:p>
    <w:p>
      <w:pPr>
        <w:jc w:val="both"/>
        <w:ind w:left="2" w:right="20"/>
        <w:spacing w:after="0" w:line="245" w:lineRule="auto"/>
        <w:rPr>
          <w:sz w:val="20"/>
          <w:szCs w:val="20"/>
          <w:color w:val="auto"/>
        </w:rPr>
      </w:pPr>
      <w:r>
        <w:rPr>
          <w:rFonts w:ascii="Arial" w:cs="Arial" w:eastAsia="Arial" w:hAnsi="Arial"/>
          <w:sz w:val="16"/>
          <w:szCs w:val="16"/>
          <w:color w:val="auto"/>
        </w:rPr>
        <w:t>If the participant’s employment terminates due to disability, the participant may choose to receive his accrued benefit at any time prior to age 65. Alternatively, the participant may choose to defer receipt of the accrued benefit until reaching age 65 and then take a disability benefit. The disability benefit paid at age 65 is based on salary and bonus, years of credited service the executive would have accrued to age 65 had he not become disabled and disabled status.</w:t>
      </w:r>
    </w:p>
    <w:p>
      <w:pPr>
        <w:spacing w:after="0" w:line="184" w:lineRule="exact"/>
        <w:rPr>
          <w:sz w:val="20"/>
          <w:szCs w:val="20"/>
          <w:color w:val="auto"/>
        </w:rPr>
      </w:pPr>
    </w:p>
    <w:p>
      <w:pPr>
        <w:ind w:left="2" w:right="160"/>
        <w:spacing w:after="0" w:line="250" w:lineRule="auto"/>
        <w:rPr>
          <w:sz w:val="20"/>
          <w:szCs w:val="20"/>
          <w:color w:val="auto"/>
        </w:rPr>
      </w:pPr>
      <w:r>
        <w:rPr>
          <w:rFonts w:ascii="Arial" w:cs="Arial" w:eastAsia="Arial" w:hAnsi="Arial"/>
          <w:sz w:val="16"/>
          <w:szCs w:val="16"/>
          <w:color w:val="auto"/>
        </w:rPr>
        <w:t>The benefit payable in the event of death is based on salary and bonus, years of credited service and age at the time of death, and may be in the form of a lump sum or annuity at the election of the beneficiary. The earliest date of payment is the first day of the second calendar month following the month of death.</w:t>
      </w:r>
    </w:p>
    <w:p>
      <w:pPr>
        <w:spacing w:after="0" w:line="180" w:lineRule="exact"/>
        <w:rPr>
          <w:sz w:val="20"/>
          <w:szCs w:val="20"/>
          <w:color w:val="auto"/>
        </w:rPr>
      </w:pPr>
    </w:p>
    <w:p>
      <w:pPr>
        <w:ind w:left="2" w:right="20"/>
        <w:spacing w:after="0" w:line="250" w:lineRule="auto"/>
        <w:rPr>
          <w:sz w:val="20"/>
          <w:szCs w:val="20"/>
          <w:color w:val="auto"/>
        </w:rPr>
      </w:pPr>
      <w:r>
        <w:rPr>
          <w:rFonts w:ascii="Arial" w:cs="Arial" w:eastAsia="Arial" w:hAnsi="Arial"/>
          <w:sz w:val="16"/>
          <w:szCs w:val="16"/>
          <w:color w:val="auto"/>
        </w:rPr>
        <w:t>Leaves of absence, including a bridge to retirement, are credited to years of service under the qualified and nonqualified pension plans. Please see the discussion of leaves of absence on pages 46-47 below.</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TI Employees Non-Qualified Pension Plan</w:t>
      </w:r>
    </w:p>
    <w:p>
      <w:pPr>
        <w:spacing w:after="0" w:line="196" w:lineRule="exact"/>
        <w:rPr>
          <w:sz w:val="20"/>
          <w:szCs w:val="20"/>
          <w:color w:val="auto"/>
        </w:rPr>
      </w:pPr>
    </w:p>
    <w:p>
      <w:pPr>
        <w:ind w:left="2" w:right="80"/>
        <w:spacing w:after="0" w:line="243" w:lineRule="auto"/>
        <w:rPr>
          <w:sz w:val="20"/>
          <w:szCs w:val="20"/>
          <w:color w:val="auto"/>
        </w:rPr>
      </w:pPr>
      <w:r>
        <w:rPr>
          <w:rFonts w:ascii="Arial" w:cs="Arial" w:eastAsia="Arial" w:hAnsi="Arial"/>
          <w:sz w:val="16"/>
          <w:szCs w:val="16"/>
          <w:color w:val="auto"/>
        </w:rPr>
        <w:t>The TI Employees Non-Qualified Pension Plan is a nonqualified defined benefit pension plan. Please see page 27 under the Benefits heading of the Compensation Discussion and Analysis for a discussion of the purpose of this plan. As with the qualified defined benefit pension plan, employees who joined the U.S. payroll after November 30, 1997, are not eligible to participate in this Plan. Eligibility for normal and early retirement under this plan is the same as under the qualified plan (please see page 27).</w:t>
      </w:r>
    </w:p>
    <w:p>
      <w:pPr>
        <w:spacing w:after="0" w:line="186" w:lineRule="exact"/>
        <w:rPr>
          <w:sz w:val="20"/>
          <w:szCs w:val="20"/>
          <w:color w:val="auto"/>
        </w:rPr>
      </w:pPr>
    </w:p>
    <w:p>
      <w:pPr>
        <w:ind w:left="2" w:right="180"/>
        <w:spacing w:after="0" w:line="243" w:lineRule="auto"/>
        <w:rPr>
          <w:sz w:val="20"/>
          <w:szCs w:val="20"/>
          <w:color w:val="auto"/>
        </w:rPr>
      </w:pPr>
      <w:r>
        <w:rPr>
          <w:rFonts w:ascii="Arial" w:cs="Arial" w:eastAsia="Arial" w:hAnsi="Arial"/>
          <w:sz w:val="16"/>
          <w:szCs w:val="16"/>
          <w:color w:val="auto"/>
        </w:rPr>
        <w:t>Benefits under this plan are paid in a lump sum. Participants may choose to defer receipt of their nonqualified pension benefit accrued before 2005 into their deferred compensation account. Participants had a onetime opportunity in 2004 to defer their nonqualified pension benefit accrued after 2004 into their deferred compensation account. The amounts so deferred will be distributed in accordance with the individual’s deferred compensation elections. Please see page 42 for the executive officers’ deferral elections.</w:t>
      </w:r>
    </w:p>
    <w:p>
      <w:pPr>
        <w:spacing w:after="0" w:line="18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96" w:lineRule="exact"/>
        <w:rPr>
          <w:sz w:val="20"/>
          <w:szCs w:val="20"/>
          <w:color w:val="auto"/>
        </w:rPr>
      </w:pPr>
    </w:p>
    <w:p>
      <w:pPr>
        <w:ind w:left="2" w:right="40"/>
        <w:spacing w:after="0" w:line="242" w:lineRule="auto"/>
        <w:rPr>
          <w:sz w:val="20"/>
          <w:szCs w:val="20"/>
          <w:color w:val="auto"/>
        </w:rPr>
      </w:pPr>
      <w:r>
        <w:rPr>
          <w:rFonts w:ascii="Arial" w:cs="Arial" w:eastAsia="Arial" w:hAnsi="Arial"/>
          <w:sz w:val="16"/>
          <w:szCs w:val="16"/>
          <w:color w:val="auto"/>
        </w:rPr>
        <w:t>A participant’s benefit under the nonqualified pension plan is calculated using the same formula as described above for the TI Employees Pension Plan. However, the IRS limit on the amount of compensation on which a qualified pension benefit may be calculated does not apply. Additionally, the IRS limit on the amount of qualified benefit the participant may receive does not apply to this plan. Once this nonqualified benefit amount has been determined using the formula described above, the individual’s qualified benefit is subtracted from it. The resulting difference is multiplied by an age-based factor to obtain the amount of the lump sum benefit payable to an individual under this nonqualified plan.</w:t>
      </w:r>
    </w:p>
    <w:p>
      <w:pPr>
        <w:spacing w:after="0" w:line="187" w:lineRule="exact"/>
        <w:rPr>
          <w:sz w:val="20"/>
          <w:szCs w:val="20"/>
          <w:color w:val="auto"/>
        </w:rPr>
      </w:pPr>
    </w:p>
    <w:p>
      <w:pPr>
        <w:ind w:left="2" w:right="260"/>
        <w:spacing w:after="0" w:line="243" w:lineRule="auto"/>
        <w:rPr>
          <w:sz w:val="20"/>
          <w:szCs w:val="20"/>
          <w:color w:val="auto"/>
        </w:rPr>
      </w:pPr>
      <w:r>
        <w:rPr>
          <w:rFonts w:ascii="Arial" w:cs="Arial" w:eastAsia="Arial" w:hAnsi="Arial"/>
          <w:sz w:val="16"/>
          <w:szCs w:val="16"/>
          <w:color w:val="auto"/>
        </w:rPr>
        <w:t>Amounts earned before 2005 and not deferred will be distributed when the participant’s benefit under the qualified pension plan is distributed. Amounts earned after 2004 and not deferred will be distributed subject to the requirements of Section 409A of the IRC. Because the named executive officers are among the 50 most highly compensated officers of the company, Section 409A of the IRC requires that they not receive any lump sum distribution payments under the nonqualified pension plan before the first day of the seventh month following termination of employment.</w:t>
      </w:r>
    </w:p>
    <w:p>
      <w:pPr>
        <w:spacing w:after="0" w:line="186" w:lineRule="exact"/>
        <w:rPr>
          <w:sz w:val="20"/>
          <w:szCs w:val="20"/>
          <w:color w:val="auto"/>
        </w:rPr>
      </w:pPr>
    </w:p>
    <w:p>
      <w:pPr>
        <w:ind w:left="2" w:right="20"/>
        <w:spacing w:after="0" w:line="283" w:lineRule="auto"/>
        <w:rPr>
          <w:sz w:val="20"/>
          <w:szCs w:val="20"/>
          <w:color w:val="auto"/>
        </w:rPr>
      </w:pPr>
      <w:r>
        <w:rPr>
          <w:rFonts w:ascii="Arial" w:cs="Arial" w:eastAsia="Arial" w:hAnsi="Arial"/>
          <w:sz w:val="15"/>
          <w:szCs w:val="15"/>
          <w:color w:val="auto"/>
        </w:rPr>
        <w:t>The effect of termination due to disability on a participant’s benefit is the same as discussed in the paragraph above, except that the participant may choose to defer receiving a payment under the plan until he reaches age 65 and then take a disability benefit. The disability benefit payable at age 65 is based on salary and</w:t>
      </w:r>
    </w:p>
    <w:p>
      <w:pPr>
        <w:sectPr>
          <w:pgSz w:w="11900" w:h="16948" w:orient="portrait"/>
          <w:cols w:equalWidth="0" w:num="1">
            <w:col w:w="11422"/>
          </w:cols>
          <w:pgMar w:left="238" w:top="142" w:right="239" w:bottom="0" w:gutter="0" w:footer="0" w:header="0"/>
        </w:sectPr>
      </w:pPr>
    </w:p>
    <w:bookmarkStart w:id="26" w:name="page27"/>
    <w:bookmarkEnd w:id="26"/>
    <w:p>
      <w:pPr>
        <w:ind w:left="2"/>
        <w:spacing w:after="0"/>
        <w:rPr>
          <w:sz w:val="20"/>
          <w:szCs w:val="20"/>
          <w:color w:val="auto"/>
        </w:rPr>
      </w:pPr>
      <w:r>
        <w:rPr>
          <w:rFonts w:ascii="Arial" w:cs="Arial" w:eastAsia="Arial" w:hAnsi="Arial"/>
          <w:sz w:val="16"/>
          <w:szCs w:val="16"/>
          <w:color w:val="auto"/>
        </w:rPr>
        <w:t>bonus, years of credited service the participant would have accrued to age 65 had he not become disabled and disabled status.</w:t>
      </w:r>
    </w:p>
    <w:p>
      <w:pPr>
        <w:spacing w:after="0" w:line="196" w:lineRule="exact"/>
        <w:rPr>
          <w:sz w:val="20"/>
          <w:szCs w:val="20"/>
          <w:color w:val="auto"/>
        </w:rPr>
      </w:pPr>
    </w:p>
    <w:p>
      <w:pPr>
        <w:ind w:left="2" w:right="300"/>
        <w:spacing w:after="0" w:line="250" w:lineRule="auto"/>
        <w:rPr>
          <w:sz w:val="20"/>
          <w:szCs w:val="20"/>
          <w:color w:val="auto"/>
        </w:rPr>
      </w:pPr>
      <w:r>
        <w:rPr>
          <w:rFonts w:ascii="Arial" w:cs="Arial" w:eastAsia="Arial" w:hAnsi="Arial"/>
          <w:sz w:val="16"/>
          <w:szCs w:val="16"/>
          <w:color w:val="auto"/>
        </w:rPr>
        <w:t>In the event of death, payment is based on salary and bonus, years of credited service and age at the time of death and will be in the form of a lump sum. The earliest date of payment is the first day of the second calendar month following the month of death.</w:t>
      </w:r>
    </w:p>
    <w:p>
      <w:pPr>
        <w:spacing w:after="0" w:line="180" w:lineRule="exact"/>
        <w:rPr>
          <w:sz w:val="20"/>
          <w:szCs w:val="20"/>
          <w:color w:val="auto"/>
        </w:rPr>
      </w:pPr>
    </w:p>
    <w:p>
      <w:pPr>
        <w:ind w:left="2"/>
        <w:spacing w:after="0" w:line="242" w:lineRule="auto"/>
        <w:rPr>
          <w:sz w:val="20"/>
          <w:szCs w:val="20"/>
          <w:color w:val="auto"/>
        </w:rPr>
      </w:pPr>
      <w:r>
        <w:rPr>
          <w:rFonts w:ascii="Arial" w:cs="Arial" w:eastAsia="Arial" w:hAnsi="Arial"/>
          <w:sz w:val="16"/>
          <w:szCs w:val="16"/>
          <w:color w:val="auto"/>
        </w:rPr>
        <w:t>Balances in this plan are unsecured obligations of the company. In the event of a change in control, the plan provides for payment of the present value of the individual’s benefit not later than the month following the month in which the change in control occurred. For amounts accrued under this plan prior to 2005, the standard definition of a change in control (please see page 36) applies. For amounts accrued under this plan after 2004, a change in control is defined as required by Section 409A of the IRC. For all amounts accrued under this plan, if there is a sale of substantially all of the assets of the company, the present value of the individual’s benefit will be distributed in a lump sum as soon as reasonably practicable following the sale of assets.</w:t>
      </w:r>
    </w:p>
    <w:p>
      <w:pPr>
        <w:spacing w:after="0" w:line="167"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color w:val="auto"/>
        </w:rPr>
        <w:t>2007 Nonqualified Deferred Compensation</w:t>
      </w:r>
    </w:p>
    <w:p>
      <w:pPr>
        <w:spacing w:after="0" w:line="216" w:lineRule="exact"/>
        <w:rPr>
          <w:sz w:val="20"/>
          <w:szCs w:val="20"/>
          <w:color w:val="auto"/>
        </w:rPr>
      </w:pPr>
    </w:p>
    <w:p>
      <w:pPr>
        <w:ind w:left="2" w:right="520"/>
        <w:spacing w:after="0" w:line="250" w:lineRule="auto"/>
        <w:rPr>
          <w:sz w:val="20"/>
          <w:szCs w:val="20"/>
          <w:color w:val="auto"/>
        </w:rPr>
      </w:pPr>
      <w:r>
        <w:rPr>
          <w:rFonts w:ascii="Arial" w:cs="Arial" w:eastAsia="Arial" w:hAnsi="Arial"/>
          <w:sz w:val="16"/>
          <w:szCs w:val="16"/>
          <w:color w:val="auto"/>
        </w:rPr>
        <w:t>The following table shows contributions to the named executive officer’s deferred compensation account in 2007 and the aggregate amount of his deferred compensation as of December 31, 2007.</w:t>
      </w:r>
    </w:p>
    <w:p>
      <w:pPr>
        <w:spacing w:after="0" w:line="249" w:lineRule="exact"/>
        <w:rPr>
          <w:sz w:val="20"/>
          <w:szCs w:val="20"/>
          <w:color w:val="auto"/>
        </w:rPr>
      </w:pPr>
    </w:p>
    <w:tbl>
      <w:tblPr>
        <w:tblLayout w:type="fixed"/>
        <w:tblInd w:w="282"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Executive</w:t>
            </w:r>
          </w:p>
        </w:tc>
        <w:tc>
          <w:tcPr>
            <w:tcW w:w="20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rPr>
              <w:t>Registrant</w:t>
            </w:r>
          </w:p>
        </w:tc>
        <w:tc>
          <w:tcPr>
            <w:tcW w:w="20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rPr>
              <w:t>Aggregate</w:t>
            </w:r>
          </w:p>
        </w:tc>
        <w:tc>
          <w:tcPr>
            <w:tcW w:w="20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Aggregate</w:t>
            </w:r>
          </w:p>
        </w:tc>
        <w:tc>
          <w:tcPr>
            <w:tcW w:w="2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rPr>
              <w:t>Aggregate</w:t>
            </w:r>
          </w:p>
        </w:tc>
      </w:tr>
      <w:tr>
        <w:trPr>
          <w:trHeight w:val="194"/>
        </w:trPr>
        <w:tc>
          <w:tcPr>
            <w:tcW w:w="2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Arial" w:cs="Arial" w:eastAsia="Arial" w:hAnsi="Arial"/>
                <w:sz w:val="12"/>
                <w:szCs w:val="12"/>
                <w:b w:val="1"/>
                <w:bCs w:val="1"/>
                <w:color w:val="auto"/>
              </w:rPr>
              <w:t>Contributions</w:t>
            </w:r>
          </w:p>
        </w:tc>
        <w:tc>
          <w:tcPr>
            <w:tcW w:w="20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2"/>
                <w:szCs w:val="12"/>
                <w:b w:val="1"/>
                <w:bCs w:val="1"/>
                <w:color w:val="auto"/>
              </w:rPr>
              <w:t>Contributions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center"/>
              <w:ind w:right="59"/>
              <w:spacing w:after="0"/>
              <w:rPr>
                <w:sz w:val="20"/>
                <w:szCs w:val="20"/>
                <w:color w:val="auto"/>
              </w:rPr>
            </w:pPr>
            <w:r>
              <w:rPr>
                <w:rFonts w:ascii="Arial" w:cs="Arial" w:eastAsia="Arial" w:hAnsi="Arial"/>
                <w:sz w:val="12"/>
                <w:szCs w:val="12"/>
                <w:b w:val="1"/>
                <w:bCs w:val="1"/>
                <w:color w:val="auto"/>
              </w:rPr>
              <w:t>Earnings</w:t>
            </w:r>
          </w:p>
        </w:tc>
        <w:tc>
          <w:tcPr>
            <w:tcW w:w="2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rPr>
              <w:t>Withdrawals/</w:t>
            </w:r>
          </w:p>
        </w:tc>
        <w:tc>
          <w:tcPr>
            <w:tcW w:w="2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9"/>
              </w:rPr>
              <w:t>Balance</w:t>
            </w:r>
          </w:p>
        </w:tc>
      </w:tr>
      <w:tr>
        <w:trPr>
          <w:trHeight w:val="149"/>
        </w:trPr>
        <w:tc>
          <w:tcPr>
            <w:tcW w:w="20" w:type="dxa"/>
            <w:vAlign w:val="bottom"/>
          </w:tcPr>
          <w:p>
            <w:pPr>
              <w:spacing w:after="0"/>
              <w:rPr>
                <w:sz w:val="12"/>
                <w:szCs w:val="12"/>
                <w:color w:val="auto"/>
              </w:rPr>
            </w:pPr>
          </w:p>
        </w:tc>
        <w:tc>
          <w:tcPr>
            <w:tcW w:w="5340" w:type="dxa"/>
            <w:vAlign w:val="bottom"/>
            <w:tcBorders>
              <w:bottom w:val="single" w:sz="8" w:color="auto"/>
            </w:tcBorders>
          </w:tcPr>
          <w:p>
            <w:pPr>
              <w:ind w:left="2500"/>
              <w:spacing w:after="0"/>
              <w:rPr>
                <w:sz w:val="20"/>
                <w:szCs w:val="20"/>
                <w:color w:val="auto"/>
              </w:rPr>
            </w:pPr>
            <w:r>
              <w:rPr>
                <w:rFonts w:ascii="Arial" w:cs="Arial" w:eastAsia="Arial" w:hAnsi="Arial"/>
                <w:sz w:val="12"/>
                <w:szCs w:val="12"/>
                <w:b w:val="1"/>
                <w:bCs w:val="1"/>
                <w:color w:val="auto"/>
              </w:rPr>
              <w:t>Name</w:t>
            </w:r>
          </w:p>
        </w:tc>
        <w:tc>
          <w:tcPr>
            <w:tcW w:w="200" w:type="dxa"/>
            <w:vAlign w:val="bottom"/>
          </w:tcPr>
          <w:p>
            <w:pPr>
              <w:spacing w:after="0"/>
              <w:rPr>
                <w:sz w:val="12"/>
                <w:szCs w:val="12"/>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in Last FY ($)</w:t>
            </w:r>
          </w:p>
        </w:tc>
        <w:tc>
          <w:tcPr>
            <w:tcW w:w="200" w:type="dxa"/>
            <w:vAlign w:val="bottom"/>
          </w:tcPr>
          <w:p>
            <w:pPr>
              <w:spacing w:after="0"/>
              <w:rPr>
                <w:sz w:val="12"/>
                <w:szCs w:val="12"/>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in Last FY ($)(3)</w:t>
            </w:r>
          </w:p>
        </w:tc>
        <w:tc>
          <w:tcPr>
            <w:tcW w:w="200" w:type="dxa"/>
            <w:vAlign w:val="bottom"/>
          </w:tcPr>
          <w:p>
            <w:pPr>
              <w:spacing w:after="0"/>
              <w:rPr>
                <w:sz w:val="12"/>
                <w:szCs w:val="12"/>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rPr>
              <w:t xml:space="preserve">in Last FY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200" w:type="dxa"/>
            <w:vAlign w:val="bottom"/>
          </w:tcPr>
          <w:p>
            <w:pPr>
              <w:spacing w:after="0"/>
              <w:rPr>
                <w:sz w:val="12"/>
                <w:szCs w:val="1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 xml:space="preserve">Distributions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c>
          <w:tcPr>
            <w:tcW w:w="200" w:type="dxa"/>
            <w:vAlign w:val="bottom"/>
          </w:tcPr>
          <w:p>
            <w:pPr>
              <w:spacing w:after="0"/>
              <w:rPr>
                <w:sz w:val="12"/>
                <w:szCs w:val="12"/>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 xml:space="preserve">at Last FYE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p>
        </w:tc>
      </w:tr>
      <w:tr>
        <w:trPr>
          <w:trHeight w:val="213"/>
        </w:trPr>
        <w:tc>
          <w:tcPr>
            <w:tcW w:w="20" w:type="dxa"/>
            <w:vAlign w:val="bottom"/>
          </w:tcPr>
          <w:p>
            <w:pPr>
              <w:spacing w:after="0"/>
              <w:rPr>
                <w:sz w:val="18"/>
                <w:szCs w:val="18"/>
                <w:color w:val="auto"/>
              </w:rPr>
            </w:pPr>
          </w:p>
        </w:tc>
        <w:tc>
          <w:tcPr>
            <w:tcW w:w="5340" w:type="dxa"/>
            <w:vAlign w:val="bottom"/>
            <w:shd w:val="clear" w:color="auto" w:fill="C0C0C0"/>
          </w:tcPr>
          <w:p>
            <w:pPr>
              <w:spacing w:after="0"/>
              <w:rPr>
                <w:sz w:val="20"/>
                <w:szCs w:val="20"/>
                <w:color w:val="auto"/>
              </w:rPr>
            </w:pPr>
            <w:r>
              <w:rPr>
                <w:rFonts w:ascii="Arial" w:cs="Arial" w:eastAsia="Arial" w:hAnsi="Arial"/>
                <w:sz w:val="12"/>
                <w:szCs w:val="12"/>
                <w:color w:val="auto"/>
              </w:rPr>
              <w:t>R. K. Templeton</w:t>
            </w:r>
          </w:p>
        </w:tc>
        <w:tc>
          <w:tcPr>
            <w:tcW w:w="1040" w:type="dxa"/>
            <w:vAlign w:val="bottom"/>
            <w:gridSpan w:val="2"/>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180" w:type="dxa"/>
            <w:vAlign w:val="bottom"/>
            <w:gridSpan w:val="2"/>
            <w:shd w:val="clear" w:color="auto" w:fill="C0C0C0"/>
          </w:tcPr>
          <w:p>
            <w:pPr>
              <w:jc w:val="right"/>
              <w:ind w:right="239"/>
              <w:spacing w:after="0"/>
              <w:rPr>
                <w:sz w:val="20"/>
                <w:szCs w:val="20"/>
                <w:color w:val="auto"/>
              </w:rPr>
            </w:pPr>
            <w:r>
              <w:rPr>
                <w:rFonts w:ascii="Arial" w:cs="Arial" w:eastAsia="Arial" w:hAnsi="Arial"/>
                <w:sz w:val="12"/>
                <w:szCs w:val="12"/>
                <w:color w:val="auto"/>
              </w:rPr>
              <w:t>$65,563</w:t>
            </w:r>
          </w:p>
        </w:tc>
        <w:tc>
          <w:tcPr>
            <w:tcW w:w="1000" w:type="dxa"/>
            <w:vAlign w:val="bottom"/>
            <w:gridSpan w:val="3"/>
            <w:shd w:val="clear" w:color="auto" w:fill="C0C0C0"/>
          </w:tcPr>
          <w:p>
            <w:pPr>
              <w:ind w:left="240"/>
              <w:spacing w:after="0" w:line="213" w:lineRule="exact"/>
              <w:rPr>
                <w:sz w:val="20"/>
                <w:szCs w:val="20"/>
                <w:color w:val="auto"/>
              </w:rPr>
            </w:pPr>
            <w:r>
              <w:rPr>
                <w:rFonts w:ascii="Arial" w:cs="Arial" w:eastAsia="Arial" w:hAnsi="Arial"/>
                <w:sz w:val="24"/>
                <w:szCs w:val="24"/>
                <w:color w:val="auto"/>
                <w:w w:val="98"/>
                <w:vertAlign w:val="superscript"/>
              </w:rPr>
              <w:t>$</w:t>
            </w:r>
            <w:r>
              <w:rPr>
                <w:rFonts w:ascii="Arial" w:cs="Arial" w:eastAsia="Arial" w:hAnsi="Arial"/>
                <w:sz w:val="12"/>
                <w:szCs w:val="12"/>
                <w:color w:val="auto"/>
                <w:w w:val="98"/>
              </w:rPr>
              <w:t xml:space="preserve">810,215 </w:t>
            </w:r>
            <w:r>
              <w:rPr>
                <w:rFonts w:ascii="Arial" w:cs="Arial" w:eastAsia="Arial" w:hAnsi="Arial"/>
                <w:sz w:val="24"/>
                <w:szCs w:val="24"/>
                <w:color w:val="auto"/>
                <w:w w:val="98"/>
                <w:vertAlign w:val="superscript"/>
              </w:rPr>
              <w:t>(4)</w:t>
            </w:r>
          </w:p>
        </w:tc>
        <w:tc>
          <w:tcPr>
            <w:tcW w:w="1200" w:type="dxa"/>
            <w:vAlign w:val="bottom"/>
            <w:gridSpan w:val="2"/>
            <w:shd w:val="clear" w:color="auto" w:fill="C0C0C0"/>
          </w:tcPr>
          <w:p>
            <w:pPr>
              <w:jc w:val="right"/>
              <w:ind w:right="79"/>
              <w:spacing w:after="0"/>
              <w:rPr>
                <w:sz w:val="20"/>
                <w:szCs w:val="20"/>
                <w:color w:val="auto"/>
              </w:rPr>
            </w:pPr>
            <w:r>
              <w:rPr>
                <w:rFonts w:ascii="Arial" w:cs="Arial" w:eastAsia="Arial" w:hAnsi="Arial"/>
                <w:sz w:val="12"/>
                <w:szCs w:val="12"/>
                <w:color w:val="auto"/>
              </w:rPr>
              <w:t>$40,800 (5)</w:t>
            </w:r>
          </w:p>
        </w:tc>
        <w:tc>
          <w:tcPr>
            <w:tcW w:w="1080" w:type="dxa"/>
            <w:vAlign w:val="bottom"/>
            <w:gridSpan w:val="2"/>
            <w:shd w:val="clear" w:color="auto" w:fill="C0C0C0"/>
          </w:tcPr>
          <w:p>
            <w:pPr>
              <w:ind w:left="220"/>
              <w:spacing w:after="0" w:line="213" w:lineRule="exact"/>
              <w:rPr>
                <w:sz w:val="20"/>
                <w:szCs w:val="20"/>
                <w:color w:val="auto"/>
              </w:rPr>
            </w:pPr>
            <w:r>
              <w:rPr>
                <w:rFonts w:ascii="Arial" w:cs="Arial" w:eastAsia="Arial" w:hAnsi="Arial"/>
                <w:sz w:val="12"/>
                <w:szCs w:val="12"/>
                <w:color w:val="auto"/>
              </w:rPr>
              <w:t xml:space="preserve">$7,302,862 </w:t>
            </w:r>
            <w:r>
              <w:rPr>
                <w:rFonts w:ascii="Arial" w:cs="Arial" w:eastAsia="Arial" w:hAnsi="Arial"/>
                <w:sz w:val="24"/>
                <w:szCs w:val="24"/>
                <w:color w:val="auto"/>
                <w:vertAlign w:val="superscript"/>
              </w:rPr>
              <w:t>(6)</w:t>
            </w:r>
          </w:p>
        </w:tc>
      </w:tr>
      <w:tr>
        <w:trPr>
          <w:trHeight w:val="221"/>
        </w:trPr>
        <w:tc>
          <w:tcPr>
            <w:tcW w:w="5360" w:type="dxa"/>
            <w:vAlign w:val="bottom"/>
            <w:gridSpan w:val="2"/>
          </w:tcPr>
          <w:p>
            <w:pPr>
              <w:spacing w:after="0"/>
              <w:rPr>
                <w:sz w:val="20"/>
                <w:szCs w:val="20"/>
                <w:color w:val="auto"/>
              </w:rPr>
            </w:pPr>
            <w:r>
              <w:rPr>
                <w:rFonts w:ascii="Arial" w:cs="Arial" w:eastAsia="Arial" w:hAnsi="Arial"/>
                <w:sz w:val="12"/>
                <w:szCs w:val="12"/>
                <w:color w:val="auto"/>
              </w:rPr>
              <w:t>K. P. March</w:t>
            </w:r>
          </w:p>
        </w:tc>
        <w:tc>
          <w:tcPr>
            <w:tcW w:w="1040" w:type="dxa"/>
            <w:vAlign w:val="bottom"/>
            <w:gridSpan w:val="2"/>
          </w:tcPr>
          <w:p>
            <w:pPr>
              <w:jc w:val="right"/>
              <w:ind w:right="219"/>
              <w:spacing w:after="0"/>
              <w:rPr>
                <w:sz w:val="20"/>
                <w:szCs w:val="20"/>
                <w:color w:val="auto"/>
              </w:rPr>
            </w:pPr>
            <w:r>
              <w:rPr>
                <w:rFonts w:ascii="Arial" w:cs="Arial" w:eastAsia="Arial" w:hAnsi="Arial"/>
                <w:sz w:val="12"/>
                <w:szCs w:val="12"/>
                <w:color w:val="auto"/>
              </w:rPr>
              <w:t>0</w:t>
            </w:r>
          </w:p>
        </w:tc>
        <w:tc>
          <w:tcPr>
            <w:tcW w:w="1180" w:type="dxa"/>
            <w:vAlign w:val="bottom"/>
            <w:gridSpan w:val="2"/>
          </w:tcPr>
          <w:p>
            <w:pPr>
              <w:jc w:val="right"/>
              <w:ind w:right="239"/>
              <w:spacing w:after="0"/>
              <w:rPr>
                <w:sz w:val="20"/>
                <w:szCs w:val="20"/>
                <w:color w:val="auto"/>
              </w:rPr>
            </w:pPr>
            <w:r>
              <w:rPr>
                <w:rFonts w:ascii="Arial" w:cs="Arial" w:eastAsia="Arial" w:hAnsi="Arial"/>
                <w:sz w:val="12"/>
                <w:szCs w:val="12"/>
                <w:color w:val="auto"/>
              </w:rPr>
              <w:t>0</w:t>
            </w:r>
          </w:p>
        </w:tc>
        <w:tc>
          <w:tcPr>
            <w:tcW w:w="320" w:type="dxa"/>
            <w:vAlign w:val="bottom"/>
            <w:gridSpan w:val="2"/>
          </w:tcPr>
          <w:p>
            <w:pPr>
              <w:ind w:left="24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159"/>
              <w:spacing w:after="0"/>
              <w:rPr>
                <w:sz w:val="20"/>
                <w:szCs w:val="20"/>
                <w:color w:val="auto"/>
              </w:rPr>
            </w:pPr>
            <w:r>
              <w:rPr>
                <w:rFonts w:ascii="Arial" w:cs="Arial" w:eastAsia="Arial" w:hAnsi="Arial"/>
                <w:sz w:val="12"/>
                <w:szCs w:val="12"/>
                <w:color w:val="auto"/>
              </w:rPr>
              <w:t>4,659</w:t>
            </w:r>
          </w:p>
        </w:tc>
        <w:tc>
          <w:tcPr>
            <w:tcW w:w="1200" w:type="dxa"/>
            <w:vAlign w:val="bottom"/>
            <w:gridSpan w:val="2"/>
          </w:tcPr>
          <w:p>
            <w:pPr>
              <w:jc w:val="right"/>
              <w:ind w:right="259"/>
              <w:spacing w:after="0"/>
              <w:rPr>
                <w:sz w:val="20"/>
                <w:szCs w:val="20"/>
                <w:color w:val="auto"/>
              </w:rPr>
            </w:pPr>
            <w:r>
              <w:rPr>
                <w:rFonts w:ascii="Arial" w:cs="Arial" w:eastAsia="Arial" w:hAnsi="Arial"/>
                <w:sz w:val="12"/>
                <w:szCs w:val="12"/>
                <w:color w:val="auto"/>
              </w:rPr>
              <w:t>0</w:t>
            </w:r>
          </w:p>
        </w:tc>
        <w:tc>
          <w:tcPr>
            <w:tcW w:w="1080" w:type="dxa"/>
            <w:vAlign w:val="bottom"/>
            <w:gridSpan w:val="2"/>
          </w:tcPr>
          <w:p>
            <w:pPr>
              <w:ind w:left="220"/>
              <w:spacing w:after="0"/>
              <w:rPr>
                <w:sz w:val="20"/>
                <w:szCs w:val="20"/>
                <w:color w:val="auto"/>
              </w:rPr>
            </w:pPr>
            <w:r>
              <w:rPr>
                <w:rFonts w:ascii="Arial" w:cs="Arial" w:eastAsia="Arial" w:hAnsi="Arial"/>
                <w:sz w:val="12"/>
                <w:szCs w:val="12"/>
                <w:color w:val="auto"/>
              </w:rPr>
              <w:t>$   90,410</w:t>
            </w:r>
          </w:p>
        </w:tc>
      </w:tr>
      <w:tr>
        <w:trPr>
          <w:trHeight w:val="221"/>
        </w:trPr>
        <w:tc>
          <w:tcPr>
            <w:tcW w:w="20" w:type="dxa"/>
            <w:vAlign w:val="bottom"/>
          </w:tcPr>
          <w:p>
            <w:pPr>
              <w:spacing w:after="0"/>
              <w:rPr>
                <w:sz w:val="19"/>
                <w:szCs w:val="19"/>
                <w:color w:val="auto"/>
              </w:rPr>
            </w:pPr>
          </w:p>
        </w:tc>
        <w:tc>
          <w:tcPr>
            <w:tcW w:w="5340" w:type="dxa"/>
            <w:vAlign w:val="bottom"/>
            <w:shd w:val="clear" w:color="auto" w:fill="C0C0C0"/>
          </w:tcPr>
          <w:p>
            <w:pPr>
              <w:spacing w:after="0"/>
              <w:rPr>
                <w:sz w:val="20"/>
                <w:szCs w:val="20"/>
                <w:color w:val="auto"/>
              </w:rPr>
            </w:pPr>
            <w:r>
              <w:rPr>
                <w:rFonts w:ascii="Arial" w:cs="Arial" w:eastAsia="Arial" w:hAnsi="Arial"/>
                <w:sz w:val="12"/>
                <w:szCs w:val="12"/>
                <w:color w:val="auto"/>
              </w:rPr>
              <w:t>T. J. Engibous</w:t>
            </w:r>
          </w:p>
        </w:tc>
        <w:tc>
          <w:tcPr>
            <w:tcW w:w="1040" w:type="dxa"/>
            <w:vAlign w:val="bottom"/>
            <w:gridSpan w:val="2"/>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180" w:type="dxa"/>
            <w:vAlign w:val="bottom"/>
            <w:gridSpan w:val="2"/>
            <w:shd w:val="clear" w:color="auto" w:fill="C0C0C0"/>
          </w:tcPr>
          <w:p>
            <w:pPr>
              <w:jc w:val="right"/>
              <w:ind w:right="239"/>
              <w:spacing w:after="0"/>
              <w:rPr>
                <w:sz w:val="20"/>
                <w:szCs w:val="20"/>
                <w:color w:val="auto"/>
              </w:rPr>
            </w:pPr>
            <w:r>
              <w:rPr>
                <w:rFonts w:ascii="Arial" w:cs="Arial" w:eastAsia="Arial" w:hAnsi="Arial"/>
                <w:sz w:val="12"/>
                <w:szCs w:val="12"/>
                <w:color w:val="auto"/>
              </w:rPr>
              <w:t>0</w:t>
            </w:r>
          </w:p>
        </w:tc>
        <w:tc>
          <w:tcPr>
            <w:tcW w:w="1000" w:type="dxa"/>
            <w:vAlign w:val="bottom"/>
            <w:gridSpan w:val="3"/>
            <w:shd w:val="clear" w:color="auto" w:fill="C0C0C0"/>
          </w:tcPr>
          <w:p>
            <w:pPr>
              <w:ind w:left="240"/>
              <w:spacing w:after="0" w:line="220"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149,591</w:t>
            </w:r>
          </w:p>
        </w:tc>
        <w:tc>
          <w:tcPr>
            <w:tcW w:w="1200" w:type="dxa"/>
            <w:vAlign w:val="bottom"/>
            <w:gridSpan w:val="2"/>
            <w:shd w:val="clear" w:color="auto" w:fill="C0C0C0"/>
          </w:tcPr>
          <w:p>
            <w:pPr>
              <w:jc w:val="right"/>
              <w:ind w:right="259"/>
              <w:spacing w:after="0"/>
              <w:rPr>
                <w:sz w:val="20"/>
                <w:szCs w:val="20"/>
                <w:color w:val="auto"/>
              </w:rPr>
            </w:pPr>
            <w:r>
              <w:rPr>
                <w:rFonts w:ascii="Arial" w:cs="Arial" w:eastAsia="Arial" w:hAnsi="Arial"/>
                <w:sz w:val="12"/>
                <w:szCs w:val="12"/>
                <w:color w:val="auto"/>
              </w:rPr>
              <w:t>0</w:t>
            </w:r>
          </w:p>
        </w:tc>
        <w:tc>
          <w:tcPr>
            <w:tcW w:w="1080" w:type="dxa"/>
            <w:vAlign w:val="bottom"/>
            <w:gridSpan w:val="2"/>
            <w:shd w:val="clear" w:color="auto" w:fill="C0C0C0"/>
          </w:tcPr>
          <w:p>
            <w:pPr>
              <w:ind w:left="220"/>
              <w:spacing w:after="0"/>
              <w:rPr>
                <w:sz w:val="20"/>
                <w:szCs w:val="20"/>
                <w:color w:val="auto"/>
              </w:rPr>
            </w:pPr>
            <w:r>
              <w:rPr>
                <w:rFonts w:ascii="Arial" w:cs="Arial" w:eastAsia="Arial" w:hAnsi="Arial"/>
                <w:sz w:val="12"/>
                <w:szCs w:val="12"/>
                <w:color w:val="auto"/>
              </w:rPr>
              <w:t>$1,637,942</w:t>
            </w:r>
          </w:p>
        </w:tc>
      </w:tr>
      <w:tr>
        <w:trPr>
          <w:trHeight w:val="221"/>
        </w:trPr>
        <w:tc>
          <w:tcPr>
            <w:tcW w:w="5360" w:type="dxa"/>
            <w:vAlign w:val="bottom"/>
            <w:gridSpan w:val="2"/>
          </w:tcPr>
          <w:p>
            <w:pPr>
              <w:spacing w:after="0"/>
              <w:rPr>
                <w:sz w:val="20"/>
                <w:szCs w:val="20"/>
                <w:color w:val="auto"/>
              </w:rPr>
            </w:pPr>
            <w:r>
              <w:rPr>
                <w:rFonts w:ascii="Arial" w:cs="Arial" w:eastAsia="Arial" w:hAnsi="Arial"/>
                <w:sz w:val="12"/>
                <w:szCs w:val="12"/>
                <w:color w:val="auto"/>
              </w:rPr>
              <w:t>G. A. Lowe</w:t>
            </w:r>
          </w:p>
        </w:tc>
        <w:tc>
          <w:tcPr>
            <w:tcW w:w="1040" w:type="dxa"/>
            <w:vAlign w:val="bottom"/>
            <w:gridSpan w:val="2"/>
          </w:tcPr>
          <w:p>
            <w:pPr>
              <w:jc w:val="right"/>
              <w:ind w:right="39"/>
              <w:spacing w:after="0" w:line="220" w:lineRule="exact"/>
              <w:rPr>
                <w:sz w:val="20"/>
                <w:szCs w:val="20"/>
                <w:color w:val="auto"/>
              </w:rPr>
            </w:pPr>
            <w:r>
              <w:rPr>
                <w:rFonts w:ascii="Arial" w:cs="Arial" w:eastAsia="Arial" w:hAnsi="Arial"/>
                <w:sz w:val="12"/>
                <w:szCs w:val="12"/>
                <w:color w:val="auto"/>
              </w:rPr>
              <w:t xml:space="preserve">$186,197 </w:t>
            </w:r>
            <w:r>
              <w:rPr>
                <w:rFonts w:ascii="Arial" w:cs="Arial" w:eastAsia="Arial" w:hAnsi="Arial"/>
                <w:sz w:val="24"/>
                <w:szCs w:val="24"/>
                <w:color w:val="auto"/>
                <w:vertAlign w:val="superscript"/>
              </w:rPr>
              <w:t>(1)</w:t>
            </w:r>
          </w:p>
        </w:tc>
        <w:tc>
          <w:tcPr>
            <w:tcW w:w="1180" w:type="dxa"/>
            <w:vAlign w:val="bottom"/>
            <w:gridSpan w:val="2"/>
          </w:tcPr>
          <w:p>
            <w:pPr>
              <w:jc w:val="right"/>
              <w:ind w:right="239"/>
              <w:spacing w:after="0"/>
              <w:rPr>
                <w:sz w:val="20"/>
                <w:szCs w:val="20"/>
                <w:color w:val="auto"/>
              </w:rPr>
            </w:pPr>
            <w:r>
              <w:rPr>
                <w:rFonts w:ascii="Arial" w:cs="Arial" w:eastAsia="Arial" w:hAnsi="Arial"/>
                <w:sz w:val="12"/>
                <w:szCs w:val="12"/>
                <w:color w:val="auto"/>
              </w:rPr>
              <w:t>0</w:t>
            </w:r>
          </w:p>
        </w:tc>
        <w:tc>
          <w:tcPr>
            <w:tcW w:w="320" w:type="dxa"/>
            <w:vAlign w:val="bottom"/>
            <w:gridSpan w:val="2"/>
          </w:tcPr>
          <w:p>
            <w:pPr>
              <w:ind w:left="240"/>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159"/>
              <w:spacing w:after="0"/>
              <w:rPr>
                <w:sz w:val="20"/>
                <w:szCs w:val="20"/>
                <w:color w:val="auto"/>
              </w:rPr>
            </w:pPr>
            <w:r>
              <w:rPr>
                <w:rFonts w:ascii="Arial" w:cs="Arial" w:eastAsia="Arial" w:hAnsi="Arial"/>
                <w:sz w:val="12"/>
                <w:szCs w:val="12"/>
                <w:color w:val="auto"/>
              </w:rPr>
              <w:t>77,209</w:t>
            </w:r>
          </w:p>
        </w:tc>
        <w:tc>
          <w:tcPr>
            <w:tcW w:w="1200" w:type="dxa"/>
            <w:vAlign w:val="bottom"/>
            <w:gridSpan w:val="2"/>
          </w:tcPr>
          <w:p>
            <w:pPr>
              <w:jc w:val="right"/>
              <w:ind w:right="259"/>
              <w:spacing w:after="0"/>
              <w:rPr>
                <w:sz w:val="20"/>
                <w:szCs w:val="20"/>
                <w:color w:val="auto"/>
              </w:rPr>
            </w:pPr>
            <w:r>
              <w:rPr>
                <w:rFonts w:ascii="Arial" w:cs="Arial" w:eastAsia="Arial" w:hAnsi="Arial"/>
                <w:sz w:val="12"/>
                <w:szCs w:val="12"/>
                <w:color w:val="auto"/>
              </w:rPr>
              <w:t>0</w:t>
            </w:r>
          </w:p>
        </w:tc>
        <w:tc>
          <w:tcPr>
            <w:tcW w:w="1080" w:type="dxa"/>
            <w:vAlign w:val="bottom"/>
            <w:gridSpan w:val="2"/>
          </w:tcPr>
          <w:p>
            <w:pPr>
              <w:ind w:left="220"/>
              <w:spacing w:after="0"/>
              <w:rPr>
                <w:sz w:val="20"/>
                <w:szCs w:val="20"/>
                <w:color w:val="auto"/>
              </w:rPr>
            </w:pPr>
            <w:r>
              <w:rPr>
                <w:rFonts w:ascii="Arial" w:cs="Arial" w:eastAsia="Arial" w:hAnsi="Arial"/>
                <w:sz w:val="12"/>
                <w:szCs w:val="12"/>
                <w:color w:val="auto"/>
              </w:rPr>
              <w:t>$1,707,941</w:t>
            </w:r>
          </w:p>
        </w:tc>
      </w:tr>
      <w:tr>
        <w:trPr>
          <w:trHeight w:val="221"/>
        </w:trPr>
        <w:tc>
          <w:tcPr>
            <w:tcW w:w="20" w:type="dxa"/>
            <w:vAlign w:val="bottom"/>
          </w:tcPr>
          <w:p>
            <w:pPr>
              <w:spacing w:after="0"/>
              <w:rPr>
                <w:sz w:val="19"/>
                <w:szCs w:val="19"/>
                <w:color w:val="auto"/>
              </w:rPr>
            </w:pPr>
          </w:p>
        </w:tc>
        <w:tc>
          <w:tcPr>
            <w:tcW w:w="5340" w:type="dxa"/>
            <w:vAlign w:val="bottom"/>
            <w:shd w:val="clear" w:color="auto" w:fill="C0C0C0"/>
          </w:tcPr>
          <w:p>
            <w:pPr>
              <w:spacing w:after="0"/>
              <w:rPr>
                <w:sz w:val="20"/>
                <w:szCs w:val="20"/>
                <w:color w:val="auto"/>
              </w:rPr>
            </w:pPr>
            <w:r>
              <w:rPr>
                <w:rFonts w:ascii="Arial" w:cs="Arial" w:eastAsia="Arial" w:hAnsi="Arial"/>
                <w:sz w:val="12"/>
                <w:szCs w:val="12"/>
                <w:color w:val="auto"/>
              </w:rPr>
              <w:t>M. J. Hames</w:t>
            </w:r>
          </w:p>
        </w:tc>
        <w:tc>
          <w:tcPr>
            <w:tcW w:w="1040" w:type="dxa"/>
            <w:vAlign w:val="bottom"/>
            <w:gridSpan w:val="2"/>
            <w:shd w:val="clear" w:color="auto" w:fill="C0C0C0"/>
          </w:tcPr>
          <w:p>
            <w:pPr>
              <w:jc w:val="right"/>
              <w:ind w:right="219"/>
              <w:spacing w:after="0"/>
              <w:rPr>
                <w:sz w:val="20"/>
                <w:szCs w:val="20"/>
                <w:color w:val="auto"/>
              </w:rPr>
            </w:pPr>
            <w:r>
              <w:rPr>
                <w:rFonts w:ascii="Arial" w:cs="Arial" w:eastAsia="Arial" w:hAnsi="Arial"/>
                <w:sz w:val="12"/>
                <w:szCs w:val="12"/>
                <w:color w:val="auto"/>
              </w:rPr>
              <w:t>0</w:t>
            </w:r>
          </w:p>
        </w:tc>
        <w:tc>
          <w:tcPr>
            <w:tcW w:w="1180" w:type="dxa"/>
            <w:vAlign w:val="bottom"/>
            <w:gridSpan w:val="2"/>
            <w:shd w:val="clear" w:color="auto" w:fill="C0C0C0"/>
          </w:tcPr>
          <w:p>
            <w:pPr>
              <w:jc w:val="right"/>
              <w:ind w:right="239"/>
              <w:spacing w:after="0"/>
              <w:rPr>
                <w:sz w:val="20"/>
                <w:szCs w:val="20"/>
                <w:color w:val="auto"/>
              </w:rPr>
            </w:pPr>
            <w:r>
              <w:rPr>
                <w:rFonts w:ascii="Arial" w:cs="Arial" w:eastAsia="Arial" w:hAnsi="Arial"/>
                <w:sz w:val="12"/>
                <w:szCs w:val="12"/>
                <w:color w:val="auto"/>
              </w:rPr>
              <w:t>0</w:t>
            </w:r>
          </w:p>
        </w:tc>
        <w:tc>
          <w:tcPr>
            <w:tcW w:w="320" w:type="dxa"/>
            <w:vAlign w:val="bottom"/>
            <w:gridSpan w:val="2"/>
            <w:shd w:val="clear" w:color="auto" w:fill="C0C0C0"/>
          </w:tcPr>
          <w:p>
            <w:pPr>
              <w:ind w:left="240"/>
              <w:spacing w:after="0"/>
              <w:rPr>
                <w:sz w:val="20"/>
                <w:szCs w:val="20"/>
                <w:color w:val="auto"/>
              </w:rPr>
            </w:pPr>
            <w:r>
              <w:rPr>
                <w:rFonts w:ascii="Arial" w:cs="Arial" w:eastAsia="Arial" w:hAnsi="Arial"/>
                <w:sz w:val="12"/>
                <w:szCs w:val="12"/>
                <w:color w:val="auto"/>
                <w:w w:val="89"/>
              </w:rPr>
              <w:t>$</w:t>
            </w:r>
          </w:p>
        </w:tc>
        <w:tc>
          <w:tcPr>
            <w:tcW w:w="680" w:type="dxa"/>
            <w:vAlign w:val="bottom"/>
            <w:shd w:val="clear" w:color="auto" w:fill="C0C0C0"/>
          </w:tcPr>
          <w:p>
            <w:pPr>
              <w:jc w:val="right"/>
              <w:ind w:right="159"/>
              <w:spacing w:after="0"/>
              <w:rPr>
                <w:sz w:val="20"/>
                <w:szCs w:val="20"/>
                <w:color w:val="auto"/>
              </w:rPr>
            </w:pPr>
            <w:r>
              <w:rPr>
                <w:rFonts w:ascii="Arial" w:cs="Arial" w:eastAsia="Arial" w:hAnsi="Arial"/>
                <w:sz w:val="12"/>
                <w:szCs w:val="12"/>
                <w:color w:val="auto"/>
              </w:rPr>
              <w:t>98,125</w:t>
            </w:r>
          </w:p>
        </w:tc>
        <w:tc>
          <w:tcPr>
            <w:tcW w:w="1200" w:type="dxa"/>
            <w:vAlign w:val="bottom"/>
            <w:gridSpan w:val="2"/>
            <w:shd w:val="clear" w:color="auto" w:fill="C0C0C0"/>
          </w:tcPr>
          <w:p>
            <w:pPr>
              <w:jc w:val="right"/>
              <w:ind w:right="259"/>
              <w:spacing w:after="0"/>
              <w:rPr>
                <w:sz w:val="20"/>
                <w:szCs w:val="20"/>
                <w:color w:val="auto"/>
              </w:rPr>
            </w:pPr>
            <w:r>
              <w:rPr>
                <w:rFonts w:ascii="Arial" w:cs="Arial" w:eastAsia="Arial" w:hAnsi="Arial"/>
                <w:sz w:val="12"/>
                <w:szCs w:val="12"/>
                <w:color w:val="auto"/>
              </w:rPr>
              <w:t>0</w:t>
            </w:r>
          </w:p>
        </w:tc>
        <w:tc>
          <w:tcPr>
            <w:tcW w:w="1080" w:type="dxa"/>
            <w:vAlign w:val="bottom"/>
            <w:gridSpan w:val="2"/>
            <w:shd w:val="clear" w:color="auto" w:fill="C0C0C0"/>
          </w:tcPr>
          <w:p>
            <w:pPr>
              <w:ind w:left="220"/>
              <w:spacing w:after="0"/>
              <w:rPr>
                <w:sz w:val="20"/>
                <w:szCs w:val="20"/>
                <w:color w:val="auto"/>
              </w:rPr>
            </w:pPr>
            <w:r>
              <w:rPr>
                <w:rFonts w:ascii="Arial" w:cs="Arial" w:eastAsia="Arial" w:hAnsi="Arial"/>
                <w:sz w:val="12"/>
                <w:szCs w:val="12"/>
                <w:color w:val="auto"/>
              </w:rPr>
              <w:t>$1,602,720</w:t>
            </w:r>
          </w:p>
        </w:tc>
      </w:tr>
      <w:tr>
        <w:trPr>
          <w:trHeight w:val="217"/>
        </w:trPr>
        <w:tc>
          <w:tcPr>
            <w:tcW w:w="5360" w:type="dxa"/>
            <w:vAlign w:val="bottom"/>
            <w:gridSpan w:val="2"/>
          </w:tcPr>
          <w:p>
            <w:pPr>
              <w:spacing w:after="0"/>
              <w:rPr>
                <w:sz w:val="20"/>
                <w:szCs w:val="20"/>
                <w:color w:val="auto"/>
              </w:rPr>
            </w:pPr>
            <w:r>
              <w:rPr>
                <w:rFonts w:ascii="Arial" w:cs="Arial" w:eastAsia="Arial" w:hAnsi="Arial"/>
                <w:sz w:val="12"/>
                <w:szCs w:val="12"/>
                <w:color w:val="auto"/>
              </w:rPr>
              <w:t>G. Delfassy</w:t>
            </w:r>
          </w:p>
        </w:tc>
        <w:tc>
          <w:tcPr>
            <w:tcW w:w="1040" w:type="dxa"/>
            <w:vAlign w:val="bottom"/>
            <w:gridSpan w:val="2"/>
          </w:tcPr>
          <w:p>
            <w:pPr>
              <w:jc w:val="right"/>
              <w:ind w:right="39"/>
              <w:spacing w:after="0"/>
              <w:rPr>
                <w:sz w:val="20"/>
                <w:szCs w:val="20"/>
                <w:color w:val="auto"/>
              </w:rPr>
            </w:pPr>
            <w:r>
              <w:rPr>
                <w:rFonts w:ascii="Arial" w:cs="Arial" w:eastAsia="Arial" w:hAnsi="Arial"/>
                <w:sz w:val="12"/>
                <w:szCs w:val="12"/>
                <w:color w:val="auto"/>
              </w:rPr>
              <w:t>$488,125 (2)</w:t>
            </w:r>
          </w:p>
        </w:tc>
        <w:tc>
          <w:tcPr>
            <w:tcW w:w="1180" w:type="dxa"/>
            <w:vAlign w:val="bottom"/>
            <w:gridSpan w:val="2"/>
          </w:tcPr>
          <w:p>
            <w:pPr>
              <w:jc w:val="right"/>
              <w:ind w:right="239"/>
              <w:spacing w:after="0"/>
              <w:rPr>
                <w:sz w:val="20"/>
                <w:szCs w:val="20"/>
                <w:color w:val="auto"/>
              </w:rPr>
            </w:pPr>
            <w:r>
              <w:rPr>
                <w:rFonts w:ascii="Arial" w:cs="Arial" w:eastAsia="Arial" w:hAnsi="Arial"/>
                <w:sz w:val="12"/>
                <w:szCs w:val="12"/>
                <w:color w:val="auto"/>
              </w:rPr>
              <w:t>$67,409</w:t>
            </w:r>
          </w:p>
        </w:tc>
        <w:tc>
          <w:tcPr>
            <w:tcW w:w="1000" w:type="dxa"/>
            <w:vAlign w:val="bottom"/>
            <w:gridSpan w:val="3"/>
          </w:tcPr>
          <w:p>
            <w:pPr>
              <w:ind w:left="240"/>
              <w:spacing w:after="0" w:line="218"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2"/>
                <w:szCs w:val="12"/>
                <w:color w:val="auto"/>
              </w:rPr>
              <w:t>106,655</w:t>
            </w:r>
          </w:p>
        </w:tc>
        <w:tc>
          <w:tcPr>
            <w:tcW w:w="1200" w:type="dxa"/>
            <w:vAlign w:val="bottom"/>
            <w:gridSpan w:val="2"/>
          </w:tcPr>
          <w:p>
            <w:pPr>
              <w:jc w:val="right"/>
              <w:ind w:right="259"/>
              <w:spacing w:after="0"/>
              <w:rPr>
                <w:sz w:val="20"/>
                <w:szCs w:val="20"/>
                <w:color w:val="auto"/>
              </w:rPr>
            </w:pPr>
            <w:r>
              <w:rPr>
                <w:rFonts w:ascii="Arial" w:cs="Arial" w:eastAsia="Arial" w:hAnsi="Arial"/>
                <w:sz w:val="12"/>
                <w:szCs w:val="12"/>
                <w:color w:val="auto"/>
              </w:rPr>
              <w:t>0</w:t>
            </w:r>
          </w:p>
        </w:tc>
        <w:tc>
          <w:tcPr>
            <w:tcW w:w="1080" w:type="dxa"/>
            <w:vAlign w:val="bottom"/>
            <w:gridSpan w:val="2"/>
          </w:tcPr>
          <w:p>
            <w:pPr>
              <w:ind w:left="220"/>
              <w:spacing w:after="0"/>
              <w:rPr>
                <w:sz w:val="20"/>
                <w:szCs w:val="20"/>
                <w:color w:val="auto"/>
              </w:rPr>
            </w:pPr>
            <w:r>
              <w:rPr>
                <w:rFonts w:ascii="Arial" w:cs="Arial" w:eastAsia="Arial" w:hAnsi="Arial"/>
                <w:sz w:val="12"/>
                <w:szCs w:val="12"/>
                <w:color w:val="auto"/>
              </w:rPr>
              <w:t>$2,466,398</w:t>
            </w:r>
          </w:p>
        </w:tc>
      </w:tr>
    </w:tbl>
    <w:p>
      <w:pPr>
        <w:ind w:left="2"/>
        <w:spacing w:after="0"/>
        <w:rPr>
          <w:sz w:val="20"/>
          <w:szCs w:val="20"/>
          <w:color w:val="auto"/>
        </w:rPr>
      </w:pPr>
      <w:r>
        <w:rPr>
          <w:rFonts w:ascii="Arial" w:cs="Arial" w:eastAsia="Arial" w:hAnsi="Arial"/>
          <w:sz w:val="20"/>
          <w:szCs w:val="20"/>
          <w:color w:val="auto"/>
        </w:rPr>
        <w:t>____________________</w:t>
      </w:r>
    </w:p>
    <w:p>
      <w:pPr>
        <w:spacing w:after="0" w:line="217" w:lineRule="exact"/>
        <w:rPr>
          <w:sz w:val="20"/>
          <w:szCs w:val="20"/>
          <w:color w:val="auto"/>
        </w:rPr>
      </w:pPr>
    </w:p>
    <w:p>
      <w:pPr>
        <w:jc w:val="both"/>
        <w:ind w:left="442" w:hanging="442"/>
        <w:spacing w:after="0" w:line="245" w:lineRule="auto"/>
        <w:tabs>
          <w:tab w:leader="none" w:pos="442"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Amount shown is (a) a portion of Mr. Lowe’s bonus and profit sharing for 2006, both of which were paid in 2007; and (b) a portion of his 2007 salary. The full amount of the bonus and profit sharing for 2006 was included in the Summary Compensation Table of the company’s proxy statement dated March 9, 2007. The full amount of his 2007 salary is included in the Salary column of the 2007 Summary Compensation Table on page 30.</w:t>
      </w:r>
    </w:p>
    <w:p>
      <w:pPr>
        <w:spacing w:after="0" w:line="208" w:lineRule="exact"/>
        <w:rPr>
          <w:rFonts w:ascii="Arial" w:cs="Arial" w:eastAsia="Arial" w:hAnsi="Arial"/>
          <w:sz w:val="16"/>
          <w:szCs w:val="16"/>
          <w:color w:val="auto"/>
        </w:rPr>
      </w:pPr>
    </w:p>
    <w:p>
      <w:pPr>
        <w:jc w:val="both"/>
        <w:ind w:left="442" w:right="180" w:hanging="442"/>
        <w:spacing w:after="0" w:line="245" w:lineRule="auto"/>
        <w:tabs>
          <w:tab w:leader="none" w:pos="442"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Amount shown is (a) a portion of Mr. Delfassy’s bonus for 2006, which was paid in 2007 and (b) a portion of his 2007 salary. The full amount of the bonus for 2006 was included in the Summary Compensation Table of the company’s proxy statement dated March 9, 2007. The full amount of his 2007 salary is included in the Salary column of the 2007 Summary Compensation Table on page 30.</w:t>
      </w:r>
    </w:p>
    <w:p>
      <w:pPr>
        <w:spacing w:after="0" w:line="184"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42" w:right="80" w:hanging="442"/>
        <w:spacing w:after="0" w:line="250" w:lineRule="auto"/>
        <w:tabs>
          <w:tab w:leader="none" w:pos="442"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Company matching contributions pursuant to the defined contribution plan. These amounts are included in the All Other Compensation column of the 2007 Summary Compensation table on page 30.</w:t>
      </w:r>
    </w:p>
    <w:p>
      <w:pPr>
        <w:spacing w:after="0" w:line="204" w:lineRule="exact"/>
        <w:rPr>
          <w:rFonts w:ascii="Arial" w:cs="Arial" w:eastAsia="Arial" w:hAnsi="Arial"/>
          <w:sz w:val="16"/>
          <w:szCs w:val="16"/>
          <w:color w:val="auto"/>
        </w:rPr>
      </w:pPr>
    </w:p>
    <w:p>
      <w:pPr>
        <w:ind w:left="442" w:right="80" w:hanging="442"/>
        <w:spacing w:after="0" w:line="242" w:lineRule="auto"/>
        <w:tabs>
          <w:tab w:leader="none" w:pos="442"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Consists of: (a) $40,800 in dividend equivalents paid under the 120,000-share 1995 RSU award discussed on page 37, settlement of which has been deferred until after termination of employment; (b) $552,000 increase in the value of the RSU award (calculated by subtracting $3,456,000 (the value of the award at year-end 2006) from $4,008,000 (the value of the award at year-end 2007) (in both cases, the number of RSUs is multiplied by the price of TI common stock on the last trading date of the year)); and (c) $217,415 earnings on Mr. Templeton’s deferred compensation account in 2007. Dividend equivalents are paid at the same rate as dividends on the company’s common stock.</w:t>
      </w:r>
    </w:p>
    <w:p>
      <w:pPr>
        <w:spacing w:after="0" w:line="211" w:lineRule="exact"/>
        <w:rPr>
          <w:rFonts w:ascii="Arial" w:cs="Arial" w:eastAsia="Arial" w:hAnsi="Arial"/>
          <w:sz w:val="16"/>
          <w:szCs w:val="16"/>
          <w:color w:val="auto"/>
        </w:rPr>
      </w:pPr>
    </w:p>
    <w:p>
      <w:pPr>
        <w:ind w:left="442" w:hanging="442"/>
        <w:spacing w:after="0"/>
        <w:tabs>
          <w:tab w:leader="none" w:pos="442"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Dividend equivalents paid on the RSUs discussed in note 4.</w:t>
      </w:r>
    </w:p>
    <w:p>
      <w:pPr>
        <w:spacing w:after="0" w:line="220" w:lineRule="exact"/>
        <w:rPr>
          <w:rFonts w:ascii="Arial" w:cs="Arial" w:eastAsia="Arial" w:hAnsi="Arial"/>
          <w:sz w:val="16"/>
          <w:szCs w:val="16"/>
          <w:color w:val="auto"/>
        </w:rPr>
      </w:pPr>
    </w:p>
    <w:p>
      <w:pPr>
        <w:ind w:left="442" w:right="480" w:hanging="442"/>
        <w:spacing w:after="0" w:line="250" w:lineRule="auto"/>
        <w:tabs>
          <w:tab w:leader="none" w:pos="442" w:val="left"/>
        </w:tabs>
        <w:numPr>
          <w:ilvl w:val="0"/>
          <w:numId w:val="36"/>
        </w:numPr>
        <w:rPr>
          <w:rFonts w:ascii="Arial" w:cs="Arial" w:eastAsia="Arial" w:hAnsi="Arial"/>
          <w:sz w:val="16"/>
          <w:szCs w:val="16"/>
          <w:color w:val="auto"/>
        </w:rPr>
      </w:pPr>
      <w:r>
        <w:rPr>
          <w:rFonts w:ascii="Arial" w:cs="Arial" w:eastAsia="Arial" w:hAnsi="Arial"/>
          <w:sz w:val="16"/>
          <w:szCs w:val="16"/>
          <w:color w:val="auto"/>
        </w:rPr>
        <w:t>Of this amount, $4,008,000 is attributable to Mr. Templeton’s 1995 RSU award, calculated as described in note 4. The remainder is the balance of his deferred compensation account.</w:t>
      </w:r>
    </w:p>
    <w:p>
      <w:pPr>
        <w:spacing w:after="0" w:line="180" w:lineRule="exact"/>
        <w:rPr>
          <w:sz w:val="20"/>
          <w:szCs w:val="20"/>
          <w:color w:val="auto"/>
        </w:rPr>
      </w:pPr>
    </w:p>
    <w:p>
      <w:pPr>
        <w:ind w:left="2" w:right="80"/>
        <w:spacing w:after="0" w:line="243" w:lineRule="auto"/>
        <w:rPr>
          <w:sz w:val="20"/>
          <w:szCs w:val="20"/>
          <w:color w:val="auto"/>
        </w:rPr>
      </w:pPr>
      <w:r>
        <w:rPr>
          <w:rFonts w:ascii="Arial" w:cs="Arial" w:eastAsia="Arial" w:hAnsi="Arial"/>
          <w:sz w:val="16"/>
          <w:szCs w:val="16"/>
          <w:color w:val="auto"/>
        </w:rPr>
        <w:t>Please see page 28 for a discussion of the purpose of the plan. An employee’s deferred compensation account contains eligible compensation the employee has elected to defer and contributions by the company that are in excess of the IRS limits on (i) contributions the company may make to the enhanced defined contribution plan and (ii) matching contributions the company may make related to compensation the executive officer deferred into his deferred compensation account.</w:t>
      </w:r>
    </w:p>
    <w:p>
      <w:pPr>
        <w:spacing w:after="0" w:line="186" w:lineRule="exact"/>
        <w:rPr>
          <w:sz w:val="20"/>
          <w:szCs w:val="20"/>
          <w:color w:val="auto"/>
        </w:rPr>
      </w:pPr>
    </w:p>
    <w:p>
      <w:pPr>
        <w:ind w:left="2"/>
        <w:spacing w:after="0"/>
        <w:rPr>
          <w:sz w:val="20"/>
          <w:szCs w:val="20"/>
          <w:color w:val="auto"/>
        </w:rPr>
      </w:pPr>
      <w:r>
        <w:rPr>
          <w:rFonts w:ascii="Arial" w:cs="Arial" w:eastAsia="Arial" w:hAnsi="Arial"/>
          <w:sz w:val="16"/>
          <w:szCs w:val="16"/>
          <w:color w:val="auto"/>
        </w:rPr>
        <w:t>TI employees whose base salary exceeds $130,000 are eligible to defer compensation. Participants may choose to defer up to (i) 25 percent of their base salary,</w:t>
      </w:r>
    </w:p>
    <w:p>
      <w:pPr>
        <w:ind w:left="2" w:right="40" w:hanging="2"/>
        <w:spacing w:after="0" w:line="245" w:lineRule="auto"/>
        <w:tabs>
          <w:tab w:leader="none" w:pos="223" w:val="left"/>
        </w:tabs>
        <w:numPr>
          <w:ilvl w:val="0"/>
          <w:numId w:val="37"/>
        </w:numPr>
        <w:rPr>
          <w:rFonts w:ascii="Arial" w:cs="Arial" w:eastAsia="Arial" w:hAnsi="Arial"/>
          <w:sz w:val="16"/>
          <w:szCs w:val="16"/>
          <w:color w:val="auto"/>
        </w:rPr>
      </w:pPr>
      <w:r>
        <w:rPr>
          <w:rFonts w:ascii="Arial" w:cs="Arial" w:eastAsia="Arial" w:hAnsi="Arial"/>
          <w:sz w:val="16"/>
          <w:szCs w:val="16"/>
          <w:color w:val="auto"/>
        </w:rPr>
        <w:t>90 percent of their performance bonus, and (iii) 90 percent of profit sharing. In addition, in 2004, participants had a one-time opportunity to defer up to 100 percent of their nonqualified pension benefit accrued after 2004. Elections to defer compensation must be made in the calendar year prior to the year in which the compensation will be earned.</w:t>
      </w:r>
    </w:p>
    <w:p>
      <w:pPr>
        <w:spacing w:after="0" w:line="184" w:lineRule="exact"/>
        <w:rPr>
          <w:sz w:val="20"/>
          <w:szCs w:val="20"/>
          <w:color w:val="auto"/>
        </w:rPr>
      </w:pPr>
    </w:p>
    <w:p>
      <w:pPr>
        <w:ind w:left="2" w:right="180"/>
        <w:spacing w:after="0" w:line="250" w:lineRule="auto"/>
        <w:rPr>
          <w:sz w:val="20"/>
          <w:szCs w:val="20"/>
          <w:color w:val="auto"/>
        </w:rPr>
      </w:pPr>
      <w:r>
        <w:rPr>
          <w:rFonts w:ascii="Arial" w:cs="Arial" w:eastAsia="Arial" w:hAnsi="Arial"/>
          <w:sz w:val="16"/>
          <w:szCs w:val="16"/>
          <w:color w:val="auto"/>
        </w:rPr>
        <w:t>The company has determined that the investment alternatives for deferred compensation balances should generally be the same as the investment alternatives available under the company’s defined contribution plan. These investment alternatives may be changed at any time.</w:t>
      </w:r>
    </w:p>
    <w:p>
      <w:pPr>
        <w:spacing w:after="0" w:line="180" w:lineRule="exact"/>
        <w:rPr>
          <w:sz w:val="20"/>
          <w:szCs w:val="20"/>
          <w:color w:val="auto"/>
        </w:rPr>
      </w:pPr>
    </w:p>
    <w:p>
      <w:pPr>
        <w:ind w:left="2" w:right="20"/>
        <w:spacing w:after="0" w:line="241" w:lineRule="auto"/>
        <w:rPr>
          <w:sz w:val="20"/>
          <w:szCs w:val="20"/>
          <w:color w:val="auto"/>
        </w:rPr>
      </w:pPr>
      <w:r>
        <w:rPr>
          <w:rFonts w:ascii="Arial" w:cs="Arial" w:eastAsia="Arial" w:hAnsi="Arial"/>
          <w:sz w:val="16"/>
          <w:szCs w:val="16"/>
          <w:color w:val="auto"/>
        </w:rPr>
        <w:t>During 2007, participants could choose to have their deferred compensation mirror the performance of one or more of the following mutual funds, each of which is managed by a third party (these alternatives are a subset of those offered to participants in the defined contribution plans): Northern Trust Short Term Investment Fund, Northern Trust Daily Aggregate Bond Fund Index, Barclays Global Investors Equity Index Fund, Northern Trust Russell 1000 Value Equity Index, Barclays Global Investors Russell 3000 Alpha Tilts, Northern Trust Russell 2000 Equity Index, Barclays Global Investors Active International Equity, Barclays Global Investors Lifepath Funds (Lifestyle 2010), Barclays Global Investors Lifepath Funds (Lifestyle 2020), Barclays Global Investors Lifepath Funds (Lifestyle 2030) and Barclays Global Investors Lifepath Funds (Lifestyle 2040). Prior to April 2005, participants could also choose to have their deferred compensation mirror the performance of TI’s common stock; that choice was eliminated for new deferrals beginning in April 2005.</w:t>
      </w:r>
    </w:p>
    <w:p>
      <w:pPr>
        <w:spacing w:after="0" w:line="189" w:lineRule="exact"/>
        <w:rPr>
          <w:sz w:val="20"/>
          <w:szCs w:val="20"/>
          <w:color w:val="auto"/>
        </w:rPr>
      </w:pPr>
    </w:p>
    <w:p>
      <w:pPr>
        <w:ind w:left="2" w:right="20"/>
        <w:spacing w:after="0" w:line="243" w:lineRule="auto"/>
        <w:rPr>
          <w:sz w:val="20"/>
          <w:szCs w:val="20"/>
          <w:color w:val="auto"/>
        </w:rPr>
      </w:pPr>
      <w:r>
        <w:rPr>
          <w:rFonts w:ascii="Arial" w:cs="Arial" w:eastAsia="Arial" w:hAnsi="Arial"/>
          <w:sz w:val="16"/>
          <w:szCs w:val="16"/>
          <w:color w:val="auto"/>
        </w:rPr>
        <w:t>From among the available alternatives, participants may change their instructions relating to their deferred compensation daily, except that instructions to move compensation out of the TI stock fund are subject to our policy regarding transactions in TI stock. Earnings on a participant’s balance are determined solely by the performance of the investments that the participant has chosen for his plan balance. The company does not guarantee any minimum return on investments. A third party administers the company’s deferred compensation program.</w:t>
      </w:r>
    </w:p>
    <w:p>
      <w:pPr>
        <w:spacing w:after="0" w:line="186" w:lineRule="exact"/>
        <w:rPr>
          <w:sz w:val="20"/>
          <w:szCs w:val="20"/>
          <w:color w:val="auto"/>
        </w:rPr>
      </w:pPr>
    </w:p>
    <w:p>
      <w:pPr>
        <w:ind w:left="2"/>
        <w:spacing w:after="0" w:line="243" w:lineRule="auto"/>
        <w:rPr>
          <w:sz w:val="20"/>
          <w:szCs w:val="20"/>
          <w:color w:val="auto"/>
        </w:rPr>
      </w:pPr>
      <w:r>
        <w:rPr>
          <w:rFonts w:ascii="Arial" w:cs="Arial" w:eastAsia="Arial" w:hAnsi="Arial"/>
          <w:sz w:val="16"/>
          <w:szCs w:val="16"/>
          <w:color w:val="auto"/>
        </w:rPr>
        <w:t>For compensation deferred before 2005, the participant while an employee may choose to receive a distribution at any time subject to a 10 percent reduction in the distribution. For compensation deferred after 2004, in the case of an unforeseen emergency, a plan participant may request a hardship withdrawal. To obtain a hardship withdrawal, a participant must meet the requirements of Section 409A of the IRC. Except for these circumstances, a participant’s balance is paid pursuant to his distribution election and is subject to applicable IRC limitations.</w:t>
      </w:r>
    </w:p>
    <w:p>
      <w:pPr>
        <w:sectPr>
          <w:pgSz w:w="11900" w:h="16838" w:orient="portrait"/>
          <w:cols w:equalWidth="0" w:num="1">
            <w:col w:w="11402"/>
          </w:cols>
          <w:pgMar w:left="238" w:top="142" w:right="259" w:bottom="0" w:gutter="0" w:footer="0" w:header="0"/>
        </w:sectPr>
      </w:pPr>
    </w:p>
    <w:p>
      <w:pPr>
        <w:spacing w:after="0" w:line="186"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1402"/>
          </w:cols>
          <w:pgMar w:left="238" w:top="142" w:right="259" w:bottom="0" w:gutter="0" w:footer="0" w:header="0"/>
          <w:type w:val="continuous"/>
        </w:sectPr>
      </w:pPr>
    </w:p>
    <w:bookmarkStart w:id="27" w:name="page28"/>
    <w:bookmarkEnd w:id="27"/>
    <w:p>
      <w:pPr>
        <w:ind w:left="2" w:right="40"/>
        <w:spacing w:after="0" w:line="255" w:lineRule="auto"/>
        <w:rPr>
          <w:sz w:val="20"/>
          <w:szCs w:val="20"/>
          <w:color w:val="auto"/>
        </w:rPr>
      </w:pPr>
      <w:r>
        <w:rPr>
          <w:rFonts w:ascii="Arial" w:cs="Arial" w:eastAsia="Arial" w:hAnsi="Arial"/>
          <w:sz w:val="15"/>
          <w:szCs w:val="15"/>
          <w:color w:val="auto"/>
        </w:rPr>
        <w:t>For amounts that were contributed by the company and amounts earned and deferred by the participant before 2005 and earnings on those amounts (collectively, pre-2005 amounts), termination of employment with the company triggers distribution of the amount in the participant’s account. If the participant has a valid</w:t>
      </w:r>
    </w:p>
    <w:p>
      <w:pPr>
        <w:spacing w:after="0" w:line="1" w:lineRule="exact"/>
        <w:rPr>
          <w:sz w:val="20"/>
          <w:szCs w:val="20"/>
          <w:color w:val="auto"/>
        </w:rPr>
      </w:pPr>
    </w:p>
    <w:p>
      <w:pPr>
        <w:ind w:left="2" w:right="40"/>
        <w:spacing w:after="0" w:line="222" w:lineRule="auto"/>
        <w:rPr>
          <w:sz w:val="20"/>
          <w:szCs w:val="20"/>
          <w:color w:val="auto"/>
        </w:rPr>
      </w:pPr>
      <w:r>
        <w:rPr>
          <w:rFonts w:ascii="Arial" w:cs="Arial" w:eastAsia="Arial" w:hAnsi="Arial"/>
          <w:sz w:val="16"/>
          <w:szCs w:val="16"/>
          <w:color w:val="auto"/>
        </w:rPr>
        <w:t>distribution election on file, TI will distribute the amount in his account according to his election.</w:t>
      </w:r>
      <w:r>
        <w:rPr>
          <w:rFonts w:ascii="Arial" w:cs="Arial" w:eastAsia="Arial" w:hAnsi="Arial"/>
          <w:sz w:val="31"/>
          <w:szCs w:val="31"/>
          <w:color w:val="auto"/>
          <w:vertAlign w:val="superscript"/>
        </w:rPr>
        <w:t>8</w:t>
      </w:r>
      <w:r>
        <w:rPr>
          <w:rFonts w:ascii="Arial" w:cs="Arial" w:eastAsia="Arial" w:hAnsi="Arial"/>
          <w:sz w:val="16"/>
          <w:szCs w:val="16"/>
          <w:color w:val="auto"/>
        </w:rPr>
        <w:t xml:space="preserve"> If there is no valid distribution election on file, TI will distribute the entire amount in the account as soon as possible following his termination of employment. For amounts that were contributed by TI and amounts earned and deferred by the executive officer after 2004 and earnings on those amounts (collectively, post-2004 amounts), if there is no valid distribution election on file, or if the participant elects to receive a lump sum distribution on retirement, TI will distribute the entire amount in the account on the first day of the seventh month following termination of employment. If a participant has elected installment payments, for post-2004 amounts, the first installment payment can be made no earlier than the first day of the seventh month following termination of employment.</w:t>
      </w:r>
    </w:p>
    <w:p>
      <w:pPr>
        <w:spacing w:after="0" w:line="192" w:lineRule="exact"/>
        <w:rPr>
          <w:sz w:val="20"/>
          <w:szCs w:val="20"/>
          <w:color w:val="auto"/>
        </w:rPr>
      </w:pPr>
    </w:p>
    <w:p>
      <w:pPr>
        <w:ind w:left="2" w:right="360"/>
        <w:spacing w:after="0" w:line="250" w:lineRule="auto"/>
        <w:rPr>
          <w:sz w:val="20"/>
          <w:szCs w:val="20"/>
          <w:color w:val="auto"/>
        </w:rPr>
      </w:pPr>
      <w:r>
        <w:rPr>
          <w:rFonts w:ascii="Arial" w:cs="Arial" w:eastAsia="Arial" w:hAnsi="Arial"/>
          <w:sz w:val="16"/>
          <w:szCs w:val="16"/>
          <w:color w:val="auto"/>
        </w:rPr>
        <w:t>In the event of the participant’s death, one-half of the amount in his account will be immediately paid to his beneficiaries. The remaining half will be paid to his beneficiaries on or about March 31 of the following year.</w:t>
      </w:r>
    </w:p>
    <w:p>
      <w:pPr>
        <w:spacing w:after="0" w:line="180" w:lineRule="exact"/>
        <w:rPr>
          <w:sz w:val="20"/>
          <w:szCs w:val="20"/>
          <w:color w:val="auto"/>
        </w:rPr>
      </w:pPr>
    </w:p>
    <w:p>
      <w:pPr>
        <w:ind w:left="2" w:right="40"/>
        <w:spacing w:after="0" w:line="243" w:lineRule="auto"/>
        <w:rPr>
          <w:sz w:val="20"/>
          <w:szCs w:val="20"/>
          <w:color w:val="auto"/>
        </w:rPr>
      </w:pPr>
      <w:r>
        <w:rPr>
          <w:rFonts w:ascii="Arial" w:cs="Arial" w:eastAsia="Arial" w:hAnsi="Arial"/>
          <w:sz w:val="16"/>
          <w:szCs w:val="16"/>
          <w:color w:val="auto"/>
        </w:rPr>
        <w:t>Like the balances under the nonqualified defined benefit pension plan, deferred compensation balances are unsecured obligations of the company. In the event of a change in control, amounts earned and deferred before 2005 will be paid to the individual not later than the month following the month in which the change in control has occurred. The standard definition of change in control applies. For amounts earned and deferred after 2004, the participant will receive payment of his balance not later than the month following the month in which the change in control as defined in Section 409A of the IRC has occurred.</w:t>
      </w:r>
    </w:p>
    <w:p>
      <w:pPr>
        <w:spacing w:after="0" w:line="16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Potential Payments upon Termination or Change in Control</w:t>
      </w:r>
    </w:p>
    <w:p>
      <w:pPr>
        <w:spacing w:after="0" w:line="216" w:lineRule="exact"/>
        <w:rPr>
          <w:sz w:val="20"/>
          <w:szCs w:val="20"/>
          <w:color w:val="auto"/>
        </w:rPr>
      </w:pPr>
    </w:p>
    <w:p>
      <w:pPr>
        <w:ind w:left="2" w:right="80"/>
        <w:spacing w:after="0" w:line="245" w:lineRule="auto"/>
        <w:rPr>
          <w:sz w:val="20"/>
          <w:szCs w:val="20"/>
          <w:color w:val="auto"/>
        </w:rPr>
      </w:pPr>
      <w:r>
        <w:rPr>
          <w:rFonts w:ascii="Arial" w:cs="Arial" w:eastAsia="Arial" w:hAnsi="Arial"/>
          <w:sz w:val="16"/>
          <w:szCs w:val="16"/>
          <w:color w:val="auto"/>
        </w:rPr>
        <w:t>None of the named executive officers has an employment contract with the company. They are eligible for benefits on generally the same terms as other U.S. employees upon termination of employment or change in control of the company. TI does not reimburse executive officers for any income or excise taxes that are payable by the executive as a result of payments relating to termination or change in control.</w:t>
      </w:r>
    </w:p>
    <w:p>
      <w:pPr>
        <w:spacing w:after="0" w:line="184"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Termination</w:t>
      </w:r>
    </w:p>
    <w:p>
      <w:pPr>
        <w:spacing w:after="0" w:line="196" w:lineRule="exact"/>
        <w:rPr>
          <w:sz w:val="20"/>
          <w:szCs w:val="20"/>
          <w:color w:val="auto"/>
        </w:rPr>
      </w:pPr>
    </w:p>
    <w:p>
      <w:pPr>
        <w:jc w:val="both"/>
        <w:ind w:left="2" w:right="60"/>
        <w:spacing w:after="0" w:line="245" w:lineRule="auto"/>
        <w:rPr>
          <w:sz w:val="20"/>
          <w:szCs w:val="20"/>
          <w:color w:val="auto"/>
        </w:rPr>
      </w:pPr>
      <w:r>
        <w:rPr>
          <w:rFonts w:ascii="Arial" w:cs="Arial" w:eastAsia="Arial" w:hAnsi="Arial"/>
          <w:sz w:val="16"/>
          <w:szCs w:val="16"/>
          <w:color w:val="auto"/>
        </w:rPr>
        <w:t>The following programs may result in payments to a named executive officer whose employment terminates. Most of these programs have been discussed above in the proxy statement. For a discussion of the impact of these programs on the compensation decisions for 2007, please see the Compensation Discussion and Analysis on page 29.</w:t>
      </w:r>
    </w:p>
    <w:p>
      <w:pPr>
        <w:spacing w:after="0" w:line="168" w:lineRule="exact"/>
        <w:rPr>
          <w:sz w:val="20"/>
          <w:szCs w:val="20"/>
          <w:color w:val="auto"/>
        </w:rPr>
      </w:pPr>
    </w:p>
    <w:p>
      <w:pPr>
        <w:ind w:left="2" w:right="160"/>
        <w:spacing w:after="0" w:line="255" w:lineRule="auto"/>
        <w:rPr>
          <w:sz w:val="20"/>
          <w:szCs w:val="20"/>
          <w:color w:val="auto"/>
        </w:rPr>
      </w:pPr>
      <w:r>
        <w:rPr>
          <w:rFonts w:ascii="Arial" w:cs="Arial" w:eastAsia="Arial" w:hAnsi="Arial"/>
          <w:sz w:val="16"/>
          <w:szCs w:val="16"/>
          <w:i w:val="1"/>
          <w:iCs w:val="1"/>
          <w:color w:val="auto"/>
        </w:rPr>
        <w:t xml:space="preserve">Bonus. </w:t>
      </w:r>
      <w:r>
        <w:rPr>
          <w:rFonts w:ascii="Arial" w:cs="Arial" w:eastAsia="Arial" w:hAnsi="Arial"/>
          <w:sz w:val="16"/>
          <w:szCs w:val="16"/>
          <w:color w:val="auto"/>
        </w:rPr>
        <w:t>Our policies concerning bonus and the timing of payments are described on page 19. Whether a bonus would be awarded, and in what amount, to an</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whose employment has terminated would depend on the circumstances of termination. It may be presumed that no bonus would be awarded in the event of a termination for cause. If awarded, bonuses are paid by the company.</w:t>
      </w:r>
    </w:p>
    <w:p>
      <w:pPr>
        <w:spacing w:after="0" w:line="161" w:lineRule="exact"/>
        <w:rPr>
          <w:sz w:val="20"/>
          <w:szCs w:val="20"/>
          <w:color w:val="auto"/>
        </w:rPr>
      </w:pPr>
    </w:p>
    <w:p>
      <w:pPr>
        <w:ind w:left="2"/>
        <w:spacing w:after="0" w:line="255" w:lineRule="auto"/>
        <w:rPr>
          <w:sz w:val="20"/>
          <w:szCs w:val="20"/>
          <w:color w:val="auto"/>
        </w:rPr>
      </w:pPr>
      <w:r>
        <w:rPr>
          <w:rFonts w:ascii="Arial" w:cs="Arial" w:eastAsia="Arial" w:hAnsi="Arial"/>
          <w:sz w:val="16"/>
          <w:szCs w:val="16"/>
          <w:i w:val="1"/>
          <w:iCs w:val="1"/>
          <w:color w:val="auto"/>
        </w:rPr>
        <w:t xml:space="preserve">Qualified and Nonqualified Defined Benefit Pension Plans. </w:t>
      </w:r>
      <w:r>
        <w:rPr>
          <w:rFonts w:ascii="Arial" w:cs="Arial" w:eastAsia="Arial" w:hAnsi="Arial"/>
          <w:sz w:val="16"/>
          <w:szCs w:val="16"/>
          <w:color w:val="auto"/>
        </w:rPr>
        <w:t>The purposes of these plans are described on page 27. The formula for determining benefits, the forms</w:t>
      </w:r>
      <w:r>
        <w:rPr>
          <w:rFonts w:ascii="Arial" w:cs="Arial" w:eastAsia="Arial" w:hAnsi="Arial"/>
          <w:sz w:val="16"/>
          <w:szCs w:val="16"/>
          <w:i w:val="1"/>
          <w:iCs w:val="1"/>
          <w:color w:val="auto"/>
        </w:rPr>
        <w:t xml:space="preserve"> </w:t>
      </w:r>
      <w:r>
        <w:rPr>
          <w:rFonts w:ascii="Arial" w:cs="Arial" w:eastAsia="Arial" w:hAnsi="Arial"/>
          <w:sz w:val="16"/>
          <w:szCs w:val="16"/>
          <w:color w:val="auto"/>
        </w:rPr>
        <w:t>of benefit and the timing of payments are described on pages 39-40. The amounts disbursed under the qualified and nonqualified plans are paid, respectively, by the TI Employees Pension Trust and the company.</w:t>
      </w:r>
    </w:p>
    <w:p>
      <w:pPr>
        <w:spacing w:after="0" w:line="161" w:lineRule="exact"/>
        <w:rPr>
          <w:sz w:val="20"/>
          <w:szCs w:val="20"/>
          <w:color w:val="auto"/>
        </w:rPr>
      </w:pPr>
    </w:p>
    <w:p>
      <w:pPr>
        <w:jc w:val="both"/>
        <w:ind w:left="2" w:right="540"/>
        <w:spacing w:after="0" w:line="255" w:lineRule="auto"/>
        <w:rPr>
          <w:sz w:val="20"/>
          <w:szCs w:val="20"/>
          <w:color w:val="auto"/>
        </w:rPr>
      </w:pPr>
      <w:r>
        <w:rPr>
          <w:rFonts w:ascii="Arial" w:cs="Arial" w:eastAsia="Arial" w:hAnsi="Arial"/>
          <w:sz w:val="16"/>
          <w:szCs w:val="16"/>
          <w:i w:val="1"/>
          <w:iCs w:val="1"/>
          <w:color w:val="auto"/>
        </w:rPr>
        <w:t xml:space="preserve">Deferred Compensation. </w:t>
      </w:r>
      <w:r>
        <w:rPr>
          <w:rFonts w:ascii="Arial" w:cs="Arial" w:eastAsia="Arial" w:hAnsi="Arial"/>
          <w:sz w:val="16"/>
          <w:szCs w:val="16"/>
          <w:color w:val="auto"/>
        </w:rPr>
        <w:t>The purpose of this plan is described on page 28. The amounts payable under this program depend solely on the performance of</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investments that the participant has chosen for his plan balance. The timing of payments is discussed on pages 41-42. Amounts distributed are paid by the company.</w:t>
      </w:r>
    </w:p>
    <w:p>
      <w:pPr>
        <w:spacing w:after="0" w:line="155" w:lineRule="exact"/>
        <w:rPr>
          <w:sz w:val="20"/>
          <w:szCs w:val="20"/>
          <w:color w:val="auto"/>
        </w:rPr>
      </w:pPr>
    </w:p>
    <w:p>
      <w:pPr>
        <w:ind w:left="2"/>
        <w:spacing w:after="0"/>
        <w:rPr>
          <w:sz w:val="20"/>
          <w:szCs w:val="20"/>
          <w:color w:val="auto"/>
        </w:rPr>
      </w:pPr>
      <w:r>
        <w:rPr>
          <w:rFonts w:ascii="Arial" w:cs="Arial" w:eastAsia="Arial" w:hAnsi="Arial"/>
          <w:sz w:val="20"/>
          <w:szCs w:val="20"/>
          <w:color w:val="auto"/>
        </w:rPr>
        <w:t>____________________</w:t>
      </w:r>
    </w:p>
    <w:p>
      <w:pPr>
        <w:spacing w:after="0" w:line="209" w:lineRule="exact"/>
        <w:rPr>
          <w:sz w:val="20"/>
          <w:szCs w:val="20"/>
          <w:color w:val="auto"/>
        </w:rPr>
      </w:pPr>
    </w:p>
    <w:p>
      <w:pPr>
        <w:ind w:left="322" w:right="40" w:hanging="322"/>
        <w:spacing w:after="0" w:line="217" w:lineRule="auto"/>
        <w:tabs>
          <w:tab w:leader="none" w:pos="322" w:val="left"/>
        </w:tabs>
        <w:numPr>
          <w:ilvl w:val="0"/>
          <w:numId w:val="38"/>
        </w:numPr>
        <w:rPr>
          <w:rFonts w:ascii="Arial" w:cs="Arial" w:eastAsia="Arial" w:hAnsi="Arial"/>
          <w:sz w:val="25"/>
          <w:szCs w:val="25"/>
          <w:color w:val="auto"/>
          <w:vertAlign w:val="superscript"/>
        </w:rPr>
      </w:pPr>
      <w:r>
        <w:rPr>
          <w:rFonts w:ascii="Arial" w:cs="Arial" w:eastAsia="Arial" w:hAnsi="Arial"/>
          <w:sz w:val="16"/>
          <w:szCs w:val="16"/>
          <w:color w:val="auto"/>
        </w:rPr>
        <w:t>The named executive officers have made the following distribution elections for the deferred compensation: Mr. Templeton, lump sum paid on termination; Mr. March, lump sum paid on termination; Mr. Engibous, lump sum paid on termination; Mr. Lowe, paid in ten annual installments starting at termination (for pre-2005 amounts) and five annual installments starting at termination (for post-2004 amounts); Mr. Hames, paid in five annual installments starting at termination; and Mr. Delfassy, paid in ten annual installments starting at termination (for pre-2005 amounts) and five annual installments starting at termination (for post-2004 amounts).</w:t>
      </w:r>
    </w:p>
    <w:p>
      <w:pPr>
        <w:spacing w:after="0" w:line="190" w:lineRule="exact"/>
        <w:rPr>
          <w:sz w:val="20"/>
          <w:szCs w:val="20"/>
          <w:color w:val="auto"/>
        </w:rPr>
      </w:pPr>
    </w:p>
    <w:p>
      <w:pPr>
        <w:jc w:val="center"/>
        <w:ind w:right="-21"/>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80" w:lineRule="exact"/>
        <w:rPr>
          <w:sz w:val="20"/>
          <w:szCs w:val="20"/>
          <w:color w:val="auto"/>
        </w:rPr>
      </w:pPr>
    </w:p>
    <w:p>
      <w:pPr>
        <w:ind w:left="2" w:right="20"/>
        <w:spacing w:after="0" w:line="255" w:lineRule="auto"/>
        <w:rPr>
          <w:sz w:val="20"/>
          <w:szCs w:val="20"/>
          <w:color w:val="auto"/>
        </w:rPr>
      </w:pPr>
      <w:r>
        <w:rPr>
          <w:rFonts w:ascii="Arial" w:cs="Arial" w:eastAsia="Arial" w:hAnsi="Arial"/>
          <w:sz w:val="16"/>
          <w:szCs w:val="16"/>
          <w:i w:val="1"/>
          <w:iCs w:val="1"/>
          <w:color w:val="auto"/>
        </w:rPr>
        <w:t xml:space="preserve">Equity Compensation. </w:t>
      </w:r>
      <w:r>
        <w:rPr>
          <w:rFonts w:ascii="Arial" w:cs="Arial" w:eastAsia="Arial" w:hAnsi="Arial"/>
          <w:sz w:val="16"/>
          <w:szCs w:val="16"/>
          <w:color w:val="auto"/>
        </w:rPr>
        <w:t>Depending on the circumstances of termination, grantees whose employment terminates may retain the right to exercise previously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or receive shares under outstanding restricted stock unit (RSU) awards. Please see pages 36-37. Certain RSU awards include a right to receive dividend equivalents. The dividend equivalents are paid annually by the company in a single cash payment after the last dividend payment of the year.</w:t>
      </w:r>
    </w:p>
    <w:p>
      <w:pPr>
        <w:spacing w:after="0" w:line="161" w:lineRule="exact"/>
        <w:rPr>
          <w:sz w:val="20"/>
          <w:szCs w:val="20"/>
          <w:color w:val="auto"/>
        </w:rPr>
      </w:pPr>
    </w:p>
    <w:p>
      <w:pPr>
        <w:ind w:left="2" w:right="60"/>
        <w:spacing w:after="0" w:line="247" w:lineRule="auto"/>
        <w:rPr>
          <w:sz w:val="20"/>
          <w:szCs w:val="20"/>
          <w:color w:val="auto"/>
        </w:rPr>
      </w:pPr>
      <w:r>
        <w:rPr>
          <w:rFonts w:ascii="Arial" w:cs="Arial" w:eastAsia="Arial" w:hAnsi="Arial"/>
          <w:sz w:val="16"/>
          <w:szCs w:val="16"/>
          <w:i w:val="1"/>
          <w:iCs w:val="1"/>
          <w:color w:val="auto"/>
        </w:rPr>
        <w:t xml:space="preserve">Profit Sharing. </w:t>
      </w:r>
      <w:r>
        <w:rPr>
          <w:rFonts w:ascii="Arial" w:cs="Arial" w:eastAsia="Arial" w:hAnsi="Arial"/>
          <w:sz w:val="16"/>
          <w:szCs w:val="16"/>
          <w:color w:val="auto"/>
        </w:rPr>
        <w:t>For a description of the purpose of this program, the formula for determining payments and the timing of payments, please see page 18. Like other</w:t>
      </w:r>
      <w:r>
        <w:rPr>
          <w:rFonts w:ascii="Arial" w:cs="Arial" w:eastAsia="Arial" w:hAnsi="Arial"/>
          <w:sz w:val="16"/>
          <w:szCs w:val="16"/>
          <w:i w:val="1"/>
          <w:iCs w:val="1"/>
          <w:color w:val="auto"/>
        </w:rPr>
        <w:t xml:space="preserve"> </w:t>
      </w:r>
      <w:r>
        <w:rPr>
          <w:rFonts w:ascii="Arial" w:cs="Arial" w:eastAsia="Arial" w:hAnsi="Arial"/>
          <w:sz w:val="16"/>
          <w:szCs w:val="16"/>
          <w:color w:val="auto"/>
        </w:rPr>
        <w:t>U.S. employees, if a named executive officer remains employed through the end of the year, he will receive any profit sharing paid for that year. In the event of retirement or commencement of a bridge to retirement, any profit sharing will be paid for the portion of the year worked before retirement or the beginning of the bridge. In the event of termination due to disability or death, the officer or his beneficiaries would receive any profit sharing paid for the year. Profit sharing payments are made by the company in a lump sum.</w:t>
      </w:r>
    </w:p>
    <w:p>
      <w:pPr>
        <w:spacing w:after="0" w:line="168" w:lineRule="exact"/>
        <w:rPr>
          <w:sz w:val="20"/>
          <w:szCs w:val="20"/>
          <w:color w:val="auto"/>
        </w:rPr>
      </w:pPr>
    </w:p>
    <w:p>
      <w:pPr>
        <w:ind w:left="2" w:right="100"/>
        <w:spacing w:after="0" w:line="246" w:lineRule="auto"/>
        <w:rPr>
          <w:sz w:val="20"/>
          <w:szCs w:val="20"/>
          <w:color w:val="auto"/>
        </w:rPr>
      </w:pPr>
      <w:r>
        <w:rPr>
          <w:rFonts w:ascii="Arial" w:cs="Arial" w:eastAsia="Arial" w:hAnsi="Arial"/>
          <w:sz w:val="16"/>
          <w:szCs w:val="16"/>
          <w:i w:val="1"/>
          <w:iCs w:val="1"/>
          <w:color w:val="auto"/>
        </w:rPr>
        <w:t xml:space="preserve">Time Bank. </w:t>
      </w:r>
      <w:r>
        <w:rPr>
          <w:rFonts w:ascii="Arial" w:cs="Arial" w:eastAsia="Arial" w:hAnsi="Arial"/>
          <w:sz w:val="16"/>
          <w:szCs w:val="16"/>
          <w:color w:val="auto"/>
        </w:rPr>
        <w:t>Based on years of employment with the company, employees accrue hours in a time bank. Time bank hours may be used for paid absences from the</w:t>
      </w:r>
      <w:r>
        <w:rPr>
          <w:rFonts w:ascii="Arial" w:cs="Arial" w:eastAsia="Arial" w:hAnsi="Arial"/>
          <w:sz w:val="16"/>
          <w:szCs w:val="16"/>
          <w:i w:val="1"/>
          <w:iCs w:val="1"/>
          <w:color w:val="auto"/>
        </w:rPr>
        <w:t xml:space="preserve"> </w:t>
      </w:r>
      <w:r>
        <w:rPr>
          <w:rFonts w:ascii="Arial" w:cs="Arial" w:eastAsia="Arial" w:hAnsi="Arial"/>
          <w:sz w:val="16"/>
          <w:szCs w:val="16"/>
          <w:color w:val="auto"/>
        </w:rPr>
        <w:t>office such as vacation and sick days. Employees receive a cash payment for any time bank hours still outstanding on termination of employment. The amount paid is calculated by applying the employee’s base salary rate in effect at the time of termination to the number of hours remaining in the time bank. Because of his reduced role, Mr. Engibous ceased accruing time bank hours in May 2004. The time bank payment to Mr. Engibous will be calculated by applying the base salary rate in effect before May 2004 to the number of hours in the time bank. Time bank payments are made in a lump sum by the company. They are ordinarily paid no later than what would have been the employee’s next regular pay cycle.</w:t>
      </w:r>
    </w:p>
    <w:p>
      <w:pPr>
        <w:spacing w:after="0" w:line="167" w:lineRule="exact"/>
        <w:rPr>
          <w:sz w:val="20"/>
          <w:szCs w:val="20"/>
          <w:color w:val="auto"/>
        </w:rPr>
      </w:pPr>
    </w:p>
    <w:p>
      <w:pPr>
        <w:ind w:left="2"/>
        <w:spacing w:after="0"/>
        <w:rPr>
          <w:sz w:val="20"/>
          <w:szCs w:val="20"/>
          <w:color w:val="auto"/>
        </w:rPr>
      </w:pPr>
      <w:r>
        <w:rPr>
          <w:rFonts w:ascii="Arial" w:cs="Arial" w:eastAsia="Arial" w:hAnsi="Arial"/>
          <w:sz w:val="16"/>
          <w:szCs w:val="16"/>
          <w:i w:val="1"/>
          <w:iCs w:val="1"/>
          <w:color w:val="auto"/>
        </w:rPr>
        <w:t xml:space="preserve">Life Insurance. </w:t>
      </w:r>
      <w:r>
        <w:rPr>
          <w:rFonts w:ascii="Arial" w:cs="Arial" w:eastAsia="Arial" w:hAnsi="Arial"/>
          <w:sz w:val="16"/>
          <w:szCs w:val="16"/>
          <w:color w:val="auto"/>
        </w:rPr>
        <w:t>As noted on page 28, Mr. Engibous has an executive life insurance policy under an old program that is closed to new participants. Mr. Engibous</w:t>
      </w:r>
    </w:p>
    <w:p>
      <w:pPr>
        <w:spacing w:after="0" w:line="16" w:lineRule="exact"/>
        <w:rPr>
          <w:sz w:val="20"/>
          <w:szCs w:val="20"/>
          <w:color w:val="auto"/>
        </w:rPr>
      </w:pPr>
    </w:p>
    <w:p>
      <w:pPr>
        <w:ind w:left="2"/>
        <w:spacing w:after="0"/>
        <w:rPr>
          <w:sz w:val="20"/>
          <w:szCs w:val="20"/>
          <w:color w:val="auto"/>
        </w:rPr>
      </w:pPr>
      <w:r>
        <w:rPr>
          <w:rFonts w:ascii="Arial" w:cs="Arial" w:eastAsia="Arial" w:hAnsi="Arial"/>
          <w:sz w:val="16"/>
          <w:szCs w:val="16"/>
          <w:color w:val="auto"/>
        </w:rPr>
        <w:t>may choose to receive the cash value of this policy at any time upon termination of employment (including termination of employment due to disability). The</w:t>
      </w:r>
    </w:p>
    <w:p>
      <w:pPr>
        <w:ind w:left="2"/>
        <w:spacing w:after="0"/>
        <w:rPr>
          <w:sz w:val="20"/>
          <w:szCs w:val="20"/>
          <w:color w:val="auto"/>
        </w:rPr>
      </w:pPr>
      <w:r>
        <w:rPr>
          <w:rFonts w:ascii="Arial" w:cs="Arial" w:eastAsia="Arial" w:hAnsi="Arial"/>
          <w:sz w:val="16"/>
          <w:szCs w:val="16"/>
          <w:color w:val="auto"/>
        </w:rPr>
        <w:t>company may also choose to stop making premium payments under the policy at any time. The cash value is the amount of money remaining in the policy after</w:t>
      </w:r>
    </w:p>
    <w:p>
      <w:pPr>
        <w:ind w:left="2"/>
        <w:spacing w:after="0"/>
        <w:rPr>
          <w:sz w:val="20"/>
          <w:szCs w:val="20"/>
          <w:color w:val="auto"/>
        </w:rPr>
      </w:pPr>
      <w:r>
        <w:rPr>
          <w:rFonts w:ascii="Arial" w:cs="Arial" w:eastAsia="Arial" w:hAnsi="Arial"/>
          <w:sz w:val="16"/>
          <w:szCs w:val="16"/>
          <w:color w:val="auto"/>
        </w:rPr>
        <w:t>the premium expense and the monthly cost of insurance charges have been deducted. If he does not choose to receive the cash value upon retirement, the</w:t>
      </w:r>
    </w:p>
    <w:p>
      <w:pPr>
        <w:ind w:left="2"/>
        <w:spacing w:after="0"/>
        <w:rPr>
          <w:sz w:val="20"/>
          <w:szCs w:val="20"/>
          <w:color w:val="auto"/>
        </w:rPr>
      </w:pPr>
      <w:r>
        <w:rPr>
          <w:rFonts w:ascii="Arial" w:cs="Arial" w:eastAsia="Arial" w:hAnsi="Arial"/>
          <w:sz w:val="15"/>
          <w:szCs w:val="15"/>
          <w:color w:val="auto"/>
        </w:rPr>
        <w:t>company may continue to make premium payments until he reaches the age of 65 (as of December 31, 2007, Mr. Engibous was 54 years old) or until he chooses</w:t>
      </w:r>
    </w:p>
    <w:p>
      <w:pPr>
        <w:spacing w:after="0" w:line="11" w:lineRule="exact"/>
        <w:rPr>
          <w:sz w:val="20"/>
          <w:szCs w:val="20"/>
          <w:color w:val="auto"/>
        </w:rPr>
      </w:pPr>
    </w:p>
    <w:p>
      <w:pPr>
        <w:ind w:left="2"/>
        <w:spacing w:after="0"/>
        <w:rPr>
          <w:sz w:val="20"/>
          <w:szCs w:val="20"/>
          <w:color w:val="auto"/>
        </w:rPr>
      </w:pPr>
      <w:r>
        <w:rPr>
          <w:rFonts w:ascii="Arial" w:cs="Arial" w:eastAsia="Arial" w:hAnsi="Arial"/>
          <w:sz w:val="16"/>
          <w:szCs w:val="16"/>
          <w:color w:val="auto"/>
        </w:rPr>
        <w:t>to receive the cash value of the policy. The 2007 premium payment made by the company was $46,079. In the case of death, the proceeds of the policy,</w:t>
      </w:r>
    </w:p>
    <w:p>
      <w:pPr>
        <w:ind w:left="2"/>
        <w:spacing w:after="0"/>
        <w:rPr>
          <w:sz w:val="20"/>
          <w:szCs w:val="20"/>
          <w:color w:val="auto"/>
        </w:rPr>
      </w:pPr>
      <w:r>
        <w:rPr>
          <w:rFonts w:ascii="Arial" w:cs="Arial" w:eastAsia="Arial" w:hAnsi="Arial"/>
          <w:sz w:val="16"/>
          <w:szCs w:val="16"/>
          <w:color w:val="auto"/>
        </w:rPr>
        <w:t>$2,700,000, would be paid to the designated beneficiaries in a lump sum by the insurer, Metropolitan Life Insurance Company. Payments made to Mr. Engibous</w:t>
      </w:r>
    </w:p>
    <w:p>
      <w:pPr>
        <w:ind w:left="2"/>
        <w:spacing w:after="0"/>
        <w:rPr>
          <w:sz w:val="20"/>
          <w:szCs w:val="20"/>
          <w:color w:val="auto"/>
        </w:rPr>
      </w:pPr>
      <w:r>
        <w:rPr>
          <w:rFonts w:ascii="Arial" w:cs="Arial" w:eastAsia="Arial" w:hAnsi="Arial"/>
          <w:sz w:val="16"/>
          <w:szCs w:val="16"/>
          <w:color w:val="auto"/>
        </w:rPr>
        <w:t>under the policy will be paid in a lump sum by Metropolitan Life Insurance Company.</w:t>
      </w:r>
    </w:p>
    <w:p>
      <w:pPr>
        <w:spacing w:after="0" w:line="196" w:lineRule="exact"/>
        <w:rPr>
          <w:sz w:val="20"/>
          <w:szCs w:val="20"/>
          <w:color w:val="auto"/>
        </w:rPr>
      </w:pPr>
    </w:p>
    <w:p>
      <w:pPr>
        <w:ind w:left="2" w:right="20"/>
        <w:spacing w:after="0" w:line="245" w:lineRule="auto"/>
        <w:rPr>
          <w:sz w:val="20"/>
          <w:szCs w:val="20"/>
          <w:color w:val="auto"/>
        </w:rPr>
      </w:pPr>
      <w:r>
        <w:rPr>
          <w:rFonts w:ascii="Arial" w:cs="Arial" w:eastAsia="Arial" w:hAnsi="Arial"/>
          <w:sz w:val="16"/>
          <w:szCs w:val="16"/>
          <w:color w:val="auto"/>
        </w:rPr>
        <w:t>The following tables indicate the amounts for which each named executive officer would have been eligible if his employment had terminated on December 31, 2007, as a result of disability, death, involuntary termination for cause, resignation, or involuntary termination not for cause. Because none of the executive officers was eligible to retire as of December 31, 2007, no potential payments are stated assuming retirement.</w:t>
      </w:r>
    </w:p>
    <w:p>
      <w:pPr>
        <w:spacing w:after="0" w:line="164" w:lineRule="exact"/>
        <w:rPr>
          <w:sz w:val="20"/>
          <w:szCs w:val="20"/>
          <w:color w:val="auto"/>
        </w:rPr>
      </w:pPr>
    </w:p>
    <w:p>
      <w:pPr>
        <w:jc w:val="center"/>
        <w:ind w:right="-21"/>
        <w:spacing w:after="0"/>
        <w:rPr>
          <w:sz w:val="20"/>
          <w:szCs w:val="20"/>
          <w:color w:val="auto"/>
        </w:rPr>
      </w:pPr>
      <w:r>
        <w:rPr>
          <w:rFonts w:ascii="Arial" w:cs="Arial" w:eastAsia="Arial" w:hAnsi="Arial"/>
          <w:sz w:val="16"/>
          <w:szCs w:val="16"/>
          <w:b w:val="1"/>
          <w:bCs w:val="1"/>
          <w:color w:val="auto"/>
        </w:rPr>
        <w:t>Termination Due to Disability</w:t>
      </w:r>
    </w:p>
    <w:p>
      <w:pPr>
        <w:spacing w:after="0" w:line="284" w:lineRule="exact"/>
        <w:rPr>
          <w:sz w:val="20"/>
          <w:szCs w:val="20"/>
          <w:color w:val="auto"/>
        </w:rPr>
      </w:pPr>
    </w:p>
    <w:p>
      <w:pPr>
        <w:ind w:left="3642"/>
        <w:spacing w:after="0"/>
        <w:tabs>
          <w:tab w:leader="none" w:pos="4422" w:val="left"/>
        </w:tabs>
        <w:rPr>
          <w:sz w:val="20"/>
          <w:szCs w:val="20"/>
          <w:color w:val="auto"/>
        </w:rPr>
      </w:pPr>
      <w:r>
        <w:rPr>
          <w:rFonts w:ascii="Arial" w:cs="Arial" w:eastAsia="Arial" w:hAnsi="Arial"/>
          <w:sz w:val="12"/>
          <w:szCs w:val="12"/>
          <w:b w:val="1"/>
          <w:bCs w:val="1"/>
          <w:color w:val="auto"/>
        </w:rPr>
        <w:t>Qualified</w:t>
      </w:r>
      <w:r>
        <w:rPr>
          <w:sz w:val="20"/>
          <w:szCs w:val="20"/>
          <w:color w:val="auto"/>
        </w:rPr>
        <w:tab/>
      </w:r>
      <w:r>
        <w:rPr>
          <w:rFonts w:ascii="Arial" w:cs="Arial" w:eastAsia="Arial" w:hAnsi="Arial"/>
          <w:sz w:val="12"/>
          <w:szCs w:val="12"/>
          <w:b w:val="1"/>
          <w:bCs w:val="1"/>
          <w:color w:val="auto"/>
        </w:rPr>
        <w:t>Nonqualified</w:t>
      </w:r>
    </w:p>
    <w:p>
      <w:pPr>
        <w:spacing w:after="0" w:line="83" w:lineRule="exact"/>
        <w:rPr>
          <w:sz w:val="20"/>
          <w:szCs w:val="20"/>
          <w:color w:val="auto"/>
        </w:rPr>
      </w:pPr>
    </w:p>
    <w:p>
      <w:pPr>
        <w:ind w:left="3662"/>
        <w:spacing w:after="0"/>
        <w:tabs>
          <w:tab w:leader="none" w:pos="4562" w:val="left"/>
        </w:tabs>
        <w:rPr>
          <w:sz w:val="20"/>
          <w:szCs w:val="20"/>
          <w:color w:val="auto"/>
        </w:rPr>
      </w:pPr>
      <w:r>
        <w:rPr>
          <w:rFonts w:ascii="Arial" w:cs="Arial" w:eastAsia="Arial" w:hAnsi="Arial"/>
          <w:sz w:val="12"/>
          <w:szCs w:val="12"/>
          <w:b w:val="1"/>
          <w:bCs w:val="1"/>
          <w:color w:val="auto"/>
        </w:rPr>
        <w:t>Defined</w:t>
      </w:r>
      <w:r>
        <w:rPr>
          <w:sz w:val="20"/>
          <w:szCs w:val="20"/>
          <w:color w:val="auto"/>
        </w:rPr>
        <w:tab/>
      </w:r>
      <w:r>
        <w:rPr>
          <w:rFonts w:ascii="Arial" w:cs="Arial" w:eastAsia="Arial" w:hAnsi="Arial"/>
          <w:sz w:val="12"/>
          <w:szCs w:val="12"/>
          <w:b w:val="1"/>
          <w:bCs w:val="1"/>
          <w:color w:val="auto"/>
        </w:rPr>
        <w:t>Defined</w:t>
      </w:r>
    </w:p>
    <w:p>
      <w:pPr>
        <w:spacing w:after="0" w:line="83" w:lineRule="exact"/>
        <w:rPr>
          <w:sz w:val="20"/>
          <w:szCs w:val="20"/>
          <w:color w:val="auto"/>
        </w:rPr>
      </w:pPr>
    </w:p>
    <w:p>
      <w:pPr>
        <w:ind w:left="3682"/>
        <w:spacing w:after="0"/>
        <w:tabs>
          <w:tab w:leader="none" w:pos="4582" w:val="left"/>
          <w:tab w:leader="none" w:pos="5602" w:val="left"/>
          <w:tab w:leader="none" w:pos="7622" w:val="left"/>
          <w:tab w:leader="none" w:pos="8402" w:val="left"/>
          <w:tab w:leader="none" w:pos="9122" w:val="left"/>
          <w:tab w:leader="none" w:pos="9782" w:val="left"/>
        </w:tabs>
        <w:rPr>
          <w:sz w:val="20"/>
          <w:szCs w:val="20"/>
          <w:color w:val="auto"/>
        </w:rPr>
      </w:pPr>
      <w:r>
        <w:rPr>
          <w:rFonts w:ascii="Arial" w:cs="Arial" w:eastAsia="Arial" w:hAnsi="Arial"/>
          <w:sz w:val="12"/>
          <w:szCs w:val="12"/>
          <w:b w:val="1"/>
          <w:bCs w:val="1"/>
          <w:color w:val="auto"/>
        </w:rPr>
        <w:t>Benefit</w:t>
      </w:r>
      <w:r>
        <w:rPr>
          <w:sz w:val="20"/>
          <w:szCs w:val="20"/>
          <w:color w:val="auto"/>
        </w:rPr>
        <w:tab/>
      </w:r>
      <w:r>
        <w:rPr>
          <w:rFonts w:ascii="Arial" w:cs="Arial" w:eastAsia="Arial" w:hAnsi="Arial"/>
          <w:sz w:val="12"/>
          <w:szCs w:val="12"/>
          <w:b w:val="1"/>
          <w:bCs w:val="1"/>
          <w:color w:val="auto"/>
        </w:rPr>
        <w:t>Benefit</w:t>
      </w:r>
      <w:r>
        <w:rPr>
          <w:sz w:val="20"/>
          <w:szCs w:val="20"/>
          <w:color w:val="auto"/>
        </w:rPr>
        <w:tab/>
      </w:r>
      <w:r>
        <w:rPr>
          <w:rFonts w:ascii="Arial" w:cs="Arial" w:eastAsia="Arial" w:hAnsi="Arial"/>
          <w:sz w:val="12"/>
          <w:szCs w:val="12"/>
          <w:b w:val="1"/>
          <w:bCs w:val="1"/>
          <w:color w:val="auto"/>
        </w:rPr>
        <w:t>Deferred</w:t>
      </w:r>
      <w:r>
        <w:rPr>
          <w:sz w:val="20"/>
          <w:szCs w:val="20"/>
          <w:color w:val="auto"/>
        </w:rPr>
        <w:tab/>
      </w:r>
      <w:r>
        <w:rPr>
          <w:rFonts w:ascii="Arial" w:cs="Arial" w:eastAsia="Arial" w:hAnsi="Arial"/>
          <w:sz w:val="12"/>
          <w:szCs w:val="12"/>
          <w:b w:val="1"/>
          <w:bCs w:val="1"/>
          <w:color w:val="auto"/>
        </w:rPr>
        <w:t>Stock</w:t>
      </w:r>
      <w:r>
        <w:rPr>
          <w:sz w:val="20"/>
          <w:szCs w:val="20"/>
          <w:color w:val="auto"/>
        </w:rPr>
        <w:tab/>
      </w:r>
      <w:r>
        <w:rPr>
          <w:rFonts w:ascii="Arial" w:cs="Arial" w:eastAsia="Arial" w:hAnsi="Arial"/>
          <w:sz w:val="12"/>
          <w:szCs w:val="12"/>
          <w:b w:val="1"/>
          <w:bCs w:val="1"/>
          <w:color w:val="auto"/>
        </w:rPr>
        <w:t>Profit</w:t>
      </w:r>
      <w:r>
        <w:rPr>
          <w:sz w:val="20"/>
          <w:szCs w:val="20"/>
          <w:color w:val="auto"/>
        </w:rPr>
        <w:tab/>
      </w:r>
      <w:r>
        <w:rPr>
          <w:rFonts w:ascii="Arial" w:cs="Arial" w:eastAsia="Arial" w:hAnsi="Arial"/>
          <w:sz w:val="12"/>
          <w:szCs w:val="12"/>
          <w:b w:val="1"/>
          <w:bCs w:val="1"/>
          <w:color w:val="auto"/>
        </w:rPr>
        <w:t>Time</w:t>
      </w:r>
      <w:r>
        <w:rPr>
          <w:sz w:val="20"/>
          <w:szCs w:val="20"/>
          <w:color w:val="auto"/>
        </w:rPr>
        <w:tab/>
      </w:r>
      <w:r>
        <w:rPr>
          <w:rFonts w:ascii="Arial" w:cs="Arial" w:eastAsia="Arial" w:hAnsi="Arial"/>
          <w:sz w:val="12"/>
          <w:szCs w:val="12"/>
          <w:b w:val="1"/>
          <w:bCs w:val="1"/>
          <w:color w:val="auto"/>
        </w:rPr>
        <w:t>Perquisites</w:t>
      </w:r>
    </w:p>
    <w:p>
      <w:pPr>
        <w:sectPr>
          <w:pgSz w:w="11900" w:h="16838" w:orient="portrait"/>
          <w:cols w:equalWidth="0" w:num="1">
            <w:col w:w="11422"/>
          </w:cols>
          <w:pgMar w:left="238" w:top="142" w:right="239" w:bottom="0" w:gutter="0" w:footer="0" w:header="0"/>
        </w:sectPr>
      </w:pPr>
    </w:p>
    <w:bookmarkStart w:id="28" w:name="page29"/>
    <w:bookmarkEnd w:id="28"/>
    <w:tbl>
      <w:tblPr>
        <w:tblLayout w:type="fixed"/>
        <w:tblInd w:w="2" w:type="dxa"/>
        <w:tblCellMar>
          <w:top w:w="0" w:type="dxa"/>
          <w:left w:w="0" w:type="dxa"/>
          <w:bottom w:w="0" w:type="dxa"/>
          <w:right w:w="0" w:type="dxa"/>
        </w:tblCellMar>
      </w:tblPr>
      <w:tr>
        <w:trPr>
          <w:trHeight w:val="162"/>
        </w:trPr>
        <w:tc>
          <w:tcPr>
            <w:tcW w:w="2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2"/>
                <w:szCs w:val="12"/>
                <w:b w:val="1"/>
                <w:bCs w:val="1"/>
                <w:color w:val="auto"/>
              </w:rPr>
              <w:t>Pension</w:t>
            </w:r>
          </w:p>
        </w:tc>
        <w:tc>
          <w:tcPr>
            <w:tcW w:w="12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2"/>
                <w:szCs w:val="12"/>
                <w:b w:val="1"/>
                <w:bCs w:val="1"/>
                <w:color w:val="auto"/>
              </w:rPr>
              <w:t>Pension</w:t>
            </w:r>
          </w:p>
        </w:tc>
        <w:tc>
          <w:tcPr>
            <w:tcW w:w="2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2"/>
                <w:szCs w:val="12"/>
                <w:b w:val="1"/>
                <w:bCs w:val="1"/>
                <w:color w:val="auto"/>
              </w:rPr>
              <w:t>Compensation</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RSUs</w:t>
            </w:r>
          </w:p>
        </w:tc>
        <w:tc>
          <w:tcPr>
            <w:tcW w:w="100" w:type="dxa"/>
            <w:vAlign w:val="bottom"/>
          </w:tcPr>
          <w:p>
            <w:pPr>
              <w:spacing w:after="0"/>
              <w:rPr>
                <w:sz w:val="14"/>
                <w:szCs w:val="14"/>
                <w:color w:val="auto"/>
              </w:rPr>
            </w:pPr>
          </w:p>
        </w:tc>
        <w:tc>
          <w:tcPr>
            <w:tcW w:w="620" w:type="dxa"/>
            <w:vAlign w:val="bottom"/>
          </w:tcPr>
          <w:p>
            <w:pPr>
              <w:jc w:val="right"/>
              <w:ind w:right="59"/>
              <w:spacing w:after="0"/>
              <w:rPr>
                <w:sz w:val="20"/>
                <w:szCs w:val="20"/>
                <w:color w:val="auto"/>
              </w:rPr>
            </w:pPr>
            <w:r>
              <w:rPr>
                <w:rFonts w:ascii="Arial" w:cs="Arial" w:eastAsia="Arial" w:hAnsi="Arial"/>
                <w:sz w:val="12"/>
                <w:szCs w:val="12"/>
                <w:b w:val="1"/>
                <w:bCs w:val="1"/>
                <w:color w:val="auto"/>
              </w:rPr>
              <w:t>Options</w:t>
            </w:r>
          </w:p>
        </w:tc>
        <w:tc>
          <w:tcPr>
            <w:tcW w:w="200" w:type="dxa"/>
            <w:vAlign w:val="bottom"/>
          </w:tcPr>
          <w:p>
            <w:pPr>
              <w:spacing w:after="0"/>
              <w:rPr>
                <w:sz w:val="14"/>
                <w:szCs w:val="14"/>
                <w:color w:val="auto"/>
              </w:rPr>
            </w:pPr>
          </w:p>
        </w:tc>
        <w:tc>
          <w:tcPr>
            <w:tcW w:w="460" w:type="dxa"/>
            <w:vAlign w:val="bottom"/>
          </w:tcPr>
          <w:p>
            <w:pPr>
              <w:spacing w:after="0"/>
              <w:rPr>
                <w:sz w:val="20"/>
                <w:szCs w:val="20"/>
                <w:color w:val="auto"/>
              </w:rPr>
            </w:pPr>
            <w:r>
              <w:rPr>
                <w:rFonts w:ascii="Arial" w:cs="Arial" w:eastAsia="Arial" w:hAnsi="Arial"/>
                <w:sz w:val="12"/>
                <w:szCs w:val="12"/>
                <w:b w:val="1"/>
                <w:bCs w:val="1"/>
                <w:color w:val="auto"/>
                <w:w w:val="98"/>
              </w:rPr>
              <w:t>Sharing</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Bank</w:t>
            </w:r>
          </w:p>
        </w:tc>
        <w:tc>
          <w:tcPr>
            <w:tcW w:w="760" w:type="dxa"/>
            <w:vAlign w:val="bottom"/>
          </w:tcPr>
          <w:p>
            <w:pPr>
              <w:jc w:val="right"/>
              <w:ind w:right="79"/>
              <w:spacing w:after="0"/>
              <w:rPr>
                <w:sz w:val="20"/>
                <w:szCs w:val="20"/>
                <w:color w:val="auto"/>
              </w:rPr>
            </w:pPr>
            <w:r>
              <w:rPr>
                <w:rFonts w:ascii="Arial" w:cs="Arial" w:eastAsia="Arial" w:hAnsi="Arial"/>
                <w:sz w:val="12"/>
                <w:szCs w:val="12"/>
                <w:b w:val="1"/>
                <w:bCs w:val="1"/>
                <w:color w:val="auto"/>
              </w:rPr>
              <w:t>and Life</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09"/>
        </w:trPr>
        <w:tc>
          <w:tcPr>
            <w:tcW w:w="2800" w:type="dxa"/>
            <w:vAlign w:val="bottom"/>
            <w:tcBorders>
              <w:bottom w:val="single" w:sz="8" w:color="auto"/>
            </w:tcBorders>
          </w:tcPr>
          <w:p>
            <w:pPr>
              <w:ind w:left="1220"/>
              <w:spacing w:after="0"/>
              <w:rPr>
                <w:sz w:val="20"/>
                <w:szCs w:val="20"/>
                <w:color w:val="auto"/>
              </w:rPr>
            </w:pPr>
            <w:r>
              <w:rPr>
                <w:rFonts w:ascii="Arial" w:cs="Arial" w:eastAsia="Arial" w:hAnsi="Arial"/>
                <w:sz w:val="12"/>
                <w:szCs w:val="12"/>
                <w:b w:val="1"/>
                <w:bCs w:val="1"/>
                <w:color w:val="auto"/>
              </w:rPr>
              <w:t>Name</w:t>
            </w:r>
          </w:p>
        </w:tc>
        <w:tc>
          <w:tcPr>
            <w:tcW w:w="180" w:type="dxa"/>
            <w:vAlign w:val="bottom"/>
          </w:tcPr>
          <w:p>
            <w:pPr>
              <w:spacing w:after="0"/>
              <w:rPr>
                <w:sz w:val="18"/>
                <w:szCs w:val="18"/>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Bonus</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Plan (2)</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Plan (2)</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19"/>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(6)</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(7)</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Insurance</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Total</w:t>
            </w:r>
          </w:p>
        </w:tc>
      </w:tr>
      <w:tr>
        <w:trPr>
          <w:trHeight w:val="213"/>
        </w:trPr>
        <w:tc>
          <w:tcPr>
            <w:tcW w:w="2800" w:type="dxa"/>
            <w:vAlign w:val="bottom"/>
            <w:shd w:val="clear" w:color="auto" w:fill="C0C0C0"/>
          </w:tcPr>
          <w:p>
            <w:pPr>
              <w:spacing w:after="0"/>
              <w:rPr>
                <w:sz w:val="20"/>
                <w:szCs w:val="20"/>
                <w:color w:val="auto"/>
              </w:rPr>
            </w:pPr>
            <w:r>
              <w:rPr>
                <w:rFonts w:ascii="Arial" w:cs="Arial" w:eastAsia="Arial" w:hAnsi="Arial"/>
                <w:sz w:val="12"/>
                <w:szCs w:val="12"/>
                <w:color w:val="auto"/>
              </w:rPr>
              <w:t>Templeton</w:t>
            </w:r>
          </w:p>
        </w:tc>
        <w:tc>
          <w:tcPr>
            <w:tcW w:w="58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(1)</w:t>
            </w:r>
          </w:p>
        </w:tc>
        <w:tc>
          <w:tcPr>
            <w:tcW w:w="2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807,454</w:t>
            </w:r>
          </w:p>
        </w:tc>
        <w:tc>
          <w:tcPr>
            <w:tcW w:w="180" w:type="dxa"/>
            <w:vAlign w:val="bottom"/>
            <w:shd w:val="clear" w:color="auto" w:fill="C0C0C0"/>
          </w:tcPr>
          <w:p>
            <w:pPr>
              <w:spacing w:after="0"/>
              <w:rPr>
                <w:sz w:val="18"/>
                <w:szCs w:val="18"/>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0C0C0"/>
          </w:tcPr>
          <w:p>
            <w:pPr>
              <w:jc w:val="right"/>
              <w:ind w:right="19"/>
              <w:spacing w:after="0"/>
              <w:rPr>
                <w:sz w:val="20"/>
                <w:szCs w:val="20"/>
                <w:color w:val="auto"/>
              </w:rPr>
            </w:pPr>
            <w:r>
              <w:rPr>
                <w:rFonts w:ascii="Arial" w:cs="Arial" w:eastAsia="Arial" w:hAnsi="Arial"/>
                <w:sz w:val="12"/>
                <w:szCs w:val="12"/>
                <w:color w:val="auto"/>
              </w:rPr>
              <w:t>596,651</w:t>
            </w:r>
          </w:p>
        </w:tc>
        <w:tc>
          <w:tcPr>
            <w:tcW w:w="4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0C0C0"/>
          </w:tcPr>
          <w:p>
            <w:pPr>
              <w:jc w:val="right"/>
              <w:ind w:right="99"/>
              <w:spacing w:after="0"/>
              <w:rPr>
                <w:sz w:val="20"/>
                <w:szCs w:val="20"/>
                <w:color w:val="auto"/>
              </w:rPr>
            </w:pPr>
            <w:r>
              <w:rPr>
                <w:rFonts w:ascii="Arial" w:cs="Arial" w:eastAsia="Arial" w:hAnsi="Arial"/>
                <w:sz w:val="12"/>
                <w:szCs w:val="12"/>
                <w:color w:val="auto"/>
              </w:rPr>
              <w:t>3,294,862</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9"/>
              </w:rPr>
              <w:t>20,708,000</w:t>
            </w:r>
          </w:p>
        </w:tc>
        <w:tc>
          <w:tcPr>
            <w:tcW w:w="180" w:type="dxa"/>
            <w:vAlign w:val="bottom"/>
            <w:shd w:val="clear" w:color="auto" w:fill="C0C0C0"/>
          </w:tcPr>
          <w:p>
            <w:pPr>
              <w:spacing w:after="0"/>
              <w:rPr>
                <w:sz w:val="18"/>
                <w:szCs w:val="18"/>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9"/>
              </w:rPr>
              <w:t>35,392,100</w:t>
            </w:r>
          </w:p>
        </w:tc>
        <w:tc>
          <w:tcPr>
            <w:tcW w:w="66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$95,822</w:t>
            </w:r>
          </w:p>
        </w:tc>
        <w:tc>
          <w:tcPr>
            <w:tcW w:w="2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149,517</w:t>
            </w:r>
          </w:p>
        </w:tc>
        <w:tc>
          <w:tcPr>
            <w:tcW w:w="200" w:type="dxa"/>
            <w:vAlign w:val="bottom"/>
            <w:shd w:val="clear" w:color="auto" w:fill="C0C0C0"/>
          </w:tcPr>
          <w:p>
            <w:pPr>
              <w:spacing w:after="0"/>
              <w:rPr>
                <w:sz w:val="18"/>
                <w:szCs w:val="18"/>
                <w:color w:val="auto"/>
              </w:rPr>
            </w:pPr>
          </w:p>
        </w:tc>
        <w:tc>
          <w:tcPr>
            <w:tcW w:w="760" w:type="dxa"/>
            <w:vAlign w:val="bottom"/>
            <w:shd w:val="clear" w:color="auto" w:fill="C0C0C0"/>
          </w:tcPr>
          <w:p>
            <w:pPr>
              <w:jc w:val="right"/>
              <w:ind w:right="159"/>
              <w:spacing w:after="0"/>
              <w:rPr>
                <w:sz w:val="20"/>
                <w:szCs w:val="20"/>
                <w:color w:val="auto"/>
              </w:rPr>
            </w:pPr>
            <w:r>
              <w:rPr>
                <w:rFonts w:ascii="Arial" w:cs="Arial" w:eastAsia="Arial" w:hAnsi="Arial"/>
                <w:sz w:val="12"/>
                <w:szCs w:val="12"/>
                <w:color w:val="auto"/>
              </w:rPr>
              <w:t>0</w:t>
            </w:r>
          </w:p>
        </w:tc>
        <w:tc>
          <w:tcPr>
            <w:tcW w:w="900" w:type="dxa"/>
            <w:vAlign w:val="bottom"/>
            <w:gridSpan w:val="2"/>
            <w:shd w:val="clear" w:color="auto" w:fill="C0C0C0"/>
          </w:tcPr>
          <w:p>
            <w:pPr>
              <w:jc w:val="center"/>
              <w:ind w:left="159"/>
              <w:spacing w:after="0"/>
              <w:rPr>
                <w:sz w:val="20"/>
                <w:szCs w:val="20"/>
                <w:color w:val="auto"/>
              </w:rPr>
            </w:pPr>
            <w:r>
              <w:rPr>
                <w:rFonts w:ascii="Arial" w:cs="Arial" w:eastAsia="Arial" w:hAnsi="Arial"/>
                <w:sz w:val="12"/>
                <w:szCs w:val="12"/>
                <w:color w:val="auto"/>
              </w:rPr>
              <w:t>$61,044,406</w:t>
            </w:r>
          </w:p>
        </w:tc>
      </w:tr>
      <w:tr>
        <w:trPr>
          <w:trHeight w:val="221"/>
        </w:trPr>
        <w:tc>
          <w:tcPr>
            <w:tcW w:w="2800" w:type="dxa"/>
            <w:vAlign w:val="bottom"/>
          </w:tcPr>
          <w:p>
            <w:pPr>
              <w:spacing w:after="0"/>
              <w:rPr>
                <w:sz w:val="20"/>
                <w:szCs w:val="20"/>
                <w:color w:val="auto"/>
              </w:rPr>
            </w:pPr>
            <w:r>
              <w:rPr>
                <w:rFonts w:ascii="Arial" w:cs="Arial" w:eastAsia="Arial" w:hAnsi="Arial"/>
                <w:sz w:val="12"/>
                <w:szCs w:val="12"/>
                <w:color w:val="auto"/>
              </w:rPr>
              <w:t>March</w:t>
            </w:r>
          </w:p>
        </w:tc>
        <w:tc>
          <w:tcPr>
            <w:tcW w:w="580" w:type="dxa"/>
            <w:vAlign w:val="bottom"/>
            <w:gridSpan w:val="2"/>
          </w:tcPr>
          <w:p>
            <w:pPr>
              <w:jc w:val="center"/>
              <w:ind w:left="119"/>
              <w:spacing w:after="0"/>
              <w:rPr>
                <w:sz w:val="20"/>
                <w:szCs w:val="20"/>
                <w:color w:val="auto"/>
              </w:rPr>
            </w:pPr>
            <w:r>
              <w:rPr>
                <w:rFonts w:ascii="Arial" w:cs="Arial" w:eastAsia="Arial" w:hAnsi="Arial"/>
                <w:sz w:val="12"/>
                <w:szCs w:val="12"/>
                <w:color w:val="auto"/>
              </w:rPr>
              <w:t>(1)</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1,200,620</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9"/>
              <w:spacing w:after="0"/>
              <w:rPr>
                <w:sz w:val="20"/>
                <w:szCs w:val="20"/>
                <w:color w:val="auto"/>
              </w:rPr>
            </w:pPr>
            <w:r>
              <w:rPr>
                <w:rFonts w:ascii="Arial" w:cs="Arial" w:eastAsia="Arial" w:hAnsi="Arial"/>
                <w:sz w:val="12"/>
                <w:szCs w:val="12"/>
                <w:color w:val="auto"/>
              </w:rPr>
              <w:t>3,175,269</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90,410</w:t>
            </w:r>
          </w:p>
        </w:tc>
        <w:tc>
          <w:tcPr>
            <w:tcW w:w="3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3,674,000</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3,994,721</w:t>
            </w:r>
          </w:p>
        </w:tc>
        <w:tc>
          <w:tcPr>
            <w:tcW w:w="660" w:type="dxa"/>
            <w:vAlign w:val="bottom"/>
            <w:gridSpan w:val="2"/>
          </w:tcPr>
          <w:p>
            <w:pPr>
              <w:jc w:val="center"/>
              <w:ind w:left="119"/>
              <w:spacing w:after="0"/>
              <w:rPr>
                <w:sz w:val="20"/>
                <w:szCs w:val="20"/>
                <w:color w:val="auto"/>
              </w:rPr>
            </w:pPr>
            <w:r>
              <w:rPr>
                <w:rFonts w:ascii="Arial" w:cs="Arial" w:eastAsia="Arial" w:hAnsi="Arial"/>
                <w:sz w:val="12"/>
                <w:szCs w:val="12"/>
                <w:color w:val="auto"/>
              </w:rPr>
              <w:t>$44,248</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102,055</w:t>
            </w:r>
          </w:p>
        </w:tc>
        <w:tc>
          <w:tcPr>
            <w:tcW w:w="200" w:type="dxa"/>
            <w:vAlign w:val="bottom"/>
          </w:tcPr>
          <w:p>
            <w:pPr>
              <w:spacing w:after="0"/>
              <w:rPr>
                <w:sz w:val="19"/>
                <w:szCs w:val="19"/>
                <w:color w:val="auto"/>
              </w:rPr>
            </w:pPr>
          </w:p>
        </w:tc>
        <w:tc>
          <w:tcPr>
            <w:tcW w:w="760" w:type="dxa"/>
            <w:vAlign w:val="bottom"/>
          </w:tcPr>
          <w:p>
            <w:pPr>
              <w:jc w:val="right"/>
              <w:ind w:right="159"/>
              <w:spacing w:after="0"/>
              <w:rPr>
                <w:sz w:val="20"/>
                <w:szCs w:val="20"/>
                <w:color w:val="auto"/>
              </w:rPr>
            </w:pPr>
            <w:r>
              <w:rPr>
                <w:rFonts w:ascii="Arial" w:cs="Arial" w:eastAsia="Arial" w:hAnsi="Arial"/>
                <w:sz w:val="12"/>
                <w:szCs w:val="12"/>
                <w:color w:val="auto"/>
              </w:rPr>
              <w:t>0</w:t>
            </w:r>
          </w:p>
        </w:tc>
        <w:tc>
          <w:tcPr>
            <w:tcW w:w="900" w:type="dxa"/>
            <w:vAlign w:val="bottom"/>
            <w:gridSpan w:val="2"/>
          </w:tcPr>
          <w:p>
            <w:pPr>
              <w:jc w:val="center"/>
              <w:ind w:left="159"/>
              <w:spacing w:after="0"/>
              <w:rPr>
                <w:sz w:val="20"/>
                <w:szCs w:val="20"/>
                <w:color w:val="auto"/>
              </w:rPr>
            </w:pPr>
            <w:r>
              <w:rPr>
                <w:rFonts w:ascii="Arial" w:cs="Arial" w:eastAsia="Arial" w:hAnsi="Arial"/>
                <w:sz w:val="12"/>
                <w:szCs w:val="12"/>
                <w:color w:val="auto"/>
              </w:rPr>
              <w:t>$12,281,323</w:t>
            </w:r>
          </w:p>
        </w:tc>
      </w:tr>
      <w:tr>
        <w:trPr>
          <w:trHeight w:val="221"/>
        </w:trPr>
        <w:tc>
          <w:tcPr>
            <w:tcW w:w="2800" w:type="dxa"/>
            <w:vAlign w:val="bottom"/>
            <w:shd w:val="clear" w:color="auto" w:fill="C0C0C0"/>
          </w:tcPr>
          <w:p>
            <w:pPr>
              <w:spacing w:after="0"/>
              <w:rPr>
                <w:sz w:val="20"/>
                <w:szCs w:val="20"/>
                <w:color w:val="auto"/>
              </w:rPr>
            </w:pPr>
            <w:r>
              <w:rPr>
                <w:rFonts w:ascii="Arial" w:cs="Arial" w:eastAsia="Arial" w:hAnsi="Arial"/>
                <w:sz w:val="12"/>
                <w:szCs w:val="12"/>
                <w:color w:val="auto"/>
              </w:rPr>
              <w:t>Engibous</w:t>
            </w:r>
          </w:p>
        </w:tc>
        <w:tc>
          <w:tcPr>
            <w:tcW w:w="58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(1)</w:t>
            </w:r>
          </w:p>
        </w:tc>
        <w:tc>
          <w:tcPr>
            <w:tcW w:w="2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1,631,372</w:t>
            </w:r>
          </w:p>
        </w:tc>
        <w:tc>
          <w:tcPr>
            <w:tcW w:w="180" w:type="dxa"/>
            <w:vAlign w:val="bottom"/>
            <w:shd w:val="clear" w:color="auto" w:fill="C0C0C0"/>
          </w:tcPr>
          <w:p>
            <w:pPr>
              <w:spacing w:after="0"/>
              <w:rPr>
                <w:sz w:val="19"/>
                <w:szCs w:val="19"/>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0C0C0"/>
          </w:tcPr>
          <w:p>
            <w:pPr>
              <w:jc w:val="right"/>
              <w:ind w:right="19"/>
              <w:spacing w:after="0"/>
              <w:rPr>
                <w:sz w:val="20"/>
                <w:szCs w:val="20"/>
                <w:color w:val="auto"/>
              </w:rPr>
            </w:pPr>
            <w:r>
              <w:rPr>
                <w:rFonts w:ascii="Arial" w:cs="Arial" w:eastAsia="Arial" w:hAnsi="Arial"/>
                <w:sz w:val="12"/>
                <w:szCs w:val="12"/>
                <w:color w:val="auto"/>
                <w:w w:val="99"/>
              </w:rPr>
              <w:t>12,781,236</w:t>
            </w:r>
          </w:p>
        </w:tc>
        <w:tc>
          <w:tcPr>
            <w:tcW w:w="4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0C0C0"/>
          </w:tcPr>
          <w:p>
            <w:pPr>
              <w:jc w:val="right"/>
              <w:ind w:right="99"/>
              <w:spacing w:after="0"/>
              <w:rPr>
                <w:sz w:val="20"/>
                <w:szCs w:val="20"/>
                <w:color w:val="auto"/>
              </w:rPr>
            </w:pPr>
            <w:r>
              <w:rPr>
                <w:rFonts w:ascii="Arial" w:cs="Arial" w:eastAsia="Arial" w:hAnsi="Arial"/>
                <w:sz w:val="12"/>
                <w:szCs w:val="12"/>
                <w:color w:val="auto"/>
              </w:rPr>
              <w:t>1,637,942</w:t>
            </w:r>
          </w:p>
        </w:tc>
        <w:tc>
          <w:tcPr>
            <w:tcW w:w="2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00" w:type="dxa"/>
            <w:vAlign w:val="bottom"/>
            <w:gridSpan w:val="2"/>
            <w:shd w:val="clear" w:color="auto" w:fill="C0C0C0"/>
          </w:tcPr>
          <w:p>
            <w:pPr>
              <w:jc w:val="right"/>
              <w:ind w:right="180"/>
              <w:spacing w:after="0"/>
              <w:rPr>
                <w:sz w:val="20"/>
                <w:szCs w:val="20"/>
                <w:color w:val="auto"/>
              </w:rPr>
            </w:pPr>
            <w:r>
              <w:rPr>
                <w:rFonts w:ascii="Arial" w:cs="Arial" w:eastAsia="Arial" w:hAnsi="Arial"/>
                <w:sz w:val="12"/>
                <w:szCs w:val="12"/>
                <w:color w:val="auto"/>
              </w:rPr>
              <w:t>0</w:t>
            </w:r>
          </w:p>
        </w:tc>
        <w:tc>
          <w:tcPr>
            <w:tcW w:w="1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9"/>
              </w:rPr>
              <w:t>43,246,800</w:t>
            </w:r>
          </w:p>
        </w:tc>
        <w:tc>
          <w:tcPr>
            <w:tcW w:w="66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$31,354</w:t>
            </w:r>
          </w:p>
        </w:tc>
        <w:tc>
          <w:tcPr>
            <w:tcW w:w="2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145,557</w:t>
            </w:r>
          </w:p>
        </w:tc>
        <w:tc>
          <w:tcPr>
            <w:tcW w:w="200" w:type="dxa"/>
            <w:vAlign w:val="bottom"/>
            <w:shd w:val="clear" w:color="auto" w:fill="C0C0C0"/>
          </w:tcPr>
          <w:p>
            <w:pPr>
              <w:spacing w:after="0"/>
              <w:rPr>
                <w:sz w:val="19"/>
                <w:szCs w:val="19"/>
                <w:color w:val="auto"/>
              </w:rPr>
            </w:pPr>
          </w:p>
        </w:tc>
        <w:tc>
          <w:tcPr>
            <w:tcW w:w="760" w:type="dxa"/>
            <w:vAlign w:val="bottom"/>
            <w:shd w:val="clear" w:color="auto" w:fill="C0C0C0"/>
          </w:tcPr>
          <w:p>
            <w:pPr>
              <w:jc w:val="right"/>
              <w:spacing w:after="0" w:line="220" w:lineRule="exact"/>
              <w:rPr>
                <w:sz w:val="20"/>
                <w:szCs w:val="20"/>
                <w:color w:val="auto"/>
              </w:rPr>
            </w:pPr>
            <w:r>
              <w:rPr>
                <w:rFonts w:ascii="Arial" w:cs="Arial" w:eastAsia="Arial" w:hAnsi="Arial"/>
                <w:sz w:val="12"/>
                <w:szCs w:val="12"/>
                <w:color w:val="auto"/>
                <w:w w:val="95"/>
              </w:rPr>
              <w:t xml:space="preserve">$272,330 </w:t>
            </w:r>
            <w:r>
              <w:rPr>
                <w:rFonts w:ascii="Arial" w:cs="Arial" w:eastAsia="Arial" w:hAnsi="Arial"/>
                <w:sz w:val="24"/>
                <w:szCs w:val="24"/>
                <w:color w:val="auto"/>
                <w:w w:val="95"/>
                <w:vertAlign w:val="superscript"/>
              </w:rPr>
              <w:t>(8)</w:t>
            </w:r>
          </w:p>
        </w:tc>
        <w:tc>
          <w:tcPr>
            <w:tcW w:w="900" w:type="dxa"/>
            <w:vAlign w:val="bottom"/>
            <w:gridSpan w:val="2"/>
            <w:shd w:val="clear" w:color="auto" w:fill="C0C0C0"/>
          </w:tcPr>
          <w:p>
            <w:pPr>
              <w:jc w:val="center"/>
              <w:ind w:left="159"/>
              <w:spacing w:after="0"/>
              <w:rPr>
                <w:sz w:val="20"/>
                <w:szCs w:val="20"/>
                <w:color w:val="auto"/>
              </w:rPr>
            </w:pPr>
            <w:r>
              <w:rPr>
                <w:rFonts w:ascii="Arial" w:cs="Arial" w:eastAsia="Arial" w:hAnsi="Arial"/>
                <w:sz w:val="12"/>
                <w:szCs w:val="12"/>
                <w:color w:val="auto"/>
              </w:rPr>
              <w:t>$59,746,591</w:t>
            </w:r>
          </w:p>
        </w:tc>
      </w:tr>
      <w:tr>
        <w:trPr>
          <w:trHeight w:val="221"/>
        </w:trPr>
        <w:tc>
          <w:tcPr>
            <w:tcW w:w="2800" w:type="dxa"/>
            <w:vAlign w:val="bottom"/>
          </w:tcPr>
          <w:p>
            <w:pPr>
              <w:spacing w:after="0"/>
              <w:rPr>
                <w:sz w:val="20"/>
                <w:szCs w:val="20"/>
                <w:color w:val="auto"/>
              </w:rPr>
            </w:pPr>
            <w:r>
              <w:rPr>
                <w:rFonts w:ascii="Arial" w:cs="Arial" w:eastAsia="Arial" w:hAnsi="Arial"/>
                <w:sz w:val="12"/>
                <w:szCs w:val="12"/>
                <w:color w:val="auto"/>
              </w:rPr>
              <w:t>Lowe</w:t>
            </w:r>
          </w:p>
        </w:tc>
        <w:tc>
          <w:tcPr>
            <w:tcW w:w="580" w:type="dxa"/>
            <w:vAlign w:val="bottom"/>
            <w:gridSpan w:val="2"/>
          </w:tcPr>
          <w:p>
            <w:pPr>
              <w:jc w:val="center"/>
              <w:ind w:left="119"/>
              <w:spacing w:after="0"/>
              <w:rPr>
                <w:sz w:val="20"/>
                <w:szCs w:val="20"/>
                <w:color w:val="auto"/>
              </w:rPr>
            </w:pPr>
            <w:r>
              <w:rPr>
                <w:rFonts w:ascii="Arial" w:cs="Arial" w:eastAsia="Arial" w:hAnsi="Arial"/>
                <w:sz w:val="12"/>
                <w:szCs w:val="12"/>
                <w:color w:val="auto"/>
              </w:rPr>
              <w:t>(1)</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1,602,759</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19"/>
              <w:spacing w:after="0"/>
              <w:rPr>
                <w:sz w:val="20"/>
                <w:szCs w:val="20"/>
                <w:color w:val="auto"/>
              </w:rPr>
            </w:pPr>
            <w:r>
              <w:rPr>
                <w:rFonts w:ascii="Arial" w:cs="Arial" w:eastAsia="Arial" w:hAnsi="Arial"/>
                <w:sz w:val="12"/>
                <w:szCs w:val="12"/>
                <w:color w:val="auto"/>
              </w:rPr>
              <w:t>5,182,664</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1,707,941</w:t>
            </w:r>
          </w:p>
        </w:tc>
        <w:tc>
          <w:tcPr>
            <w:tcW w:w="3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9,686,000</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2,939,000</w:t>
            </w:r>
          </w:p>
        </w:tc>
        <w:tc>
          <w:tcPr>
            <w:tcW w:w="660" w:type="dxa"/>
            <w:vAlign w:val="bottom"/>
            <w:gridSpan w:val="2"/>
          </w:tcPr>
          <w:p>
            <w:pPr>
              <w:jc w:val="center"/>
              <w:ind w:left="119"/>
              <w:spacing w:after="0"/>
              <w:rPr>
                <w:sz w:val="20"/>
                <w:szCs w:val="20"/>
                <w:color w:val="auto"/>
              </w:rPr>
            </w:pPr>
            <w:r>
              <w:rPr>
                <w:rFonts w:ascii="Arial" w:cs="Arial" w:eastAsia="Arial" w:hAnsi="Arial"/>
                <w:sz w:val="12"/>
                <w:szCs w:val="12"/>
                <w:color w:val="auto"/>
              </w:rPr>
              <w:t>$51,661</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74,782</w:t>
            </w:r>
          </w:p>
        </w:tc>
        <w:tc>
          <w:tcPr>
            <w:tcW w:w="760" w:type="dxa"/>
            <w:vAlign w:val="bottom"/>
          </w:tcPr>
          <w:p>
            <w:pPr>
              <w:jc w:val="right"/>
              <w:ind w:right="159"/>
              <w:spacing w:after="0"/>
              <w:rPr>
                <w:sz w:val="20"/>
                <w:szCs w:val="20"/>
                <w:color w:val="auto"/>
              </w:rPr>
            </w:pPr>
            <w:r>
              <w:rPr>
                <w:rFonts w:ascii="Arial" w:cs="Arial" w:eastAsia="Arial" w:hAnsi="Arial"/>
                <w:sz w:val="12"/>
                <w:szCs w:val="12"/>
                <w:color w:val="auto"/>
              </w:rPr>
              <w:t>0</w:t>
            </w:r>
          </w:p>
        </w:tc>
        <w:tc>
          <w:tcPr>
            <w:tcW w:w="900" w:type="dxa"/>
            <w:vAlign w:val="bottom"/>
            <w:gridSpan w:val="2"/>
          </w:tcPr>
          <w:p>
            <w:pPr>
              <w:jc w:val="center"/>
              <w:ind w:left="159"/>
              <w:spacing w:after="0"/>
              <w:rPr>
                <w:sz w:val="20"/>
                <w:szCs w:val="20"/>
                <w:color w:val="auto"/>
              </w:rPr>
            </w:pPr>
            <w:r>
              <w:rPr>
                <w:rFonts w:ascii="Arial" w:cs="Arial" w:eastAsia="Arial" w:hAnsi="Arial"/>
                <w:sz w:val="12"/>
                <w:szCs w:val="12"/>
                <w:color w:val="auto"/>
              </w:rPr>
              <w:t>$21,244,807</w:t>
            </w:r>
          </w:p>
        </w:tc>
      </w:tr>
      <w:tr>
        <w:trPr>
          <w:trHeight w:val="221"/>
        </w:trPr>
        <w:tc>
          <w:tcPr>
            <w:tcW w:w="2800" w:type="dxa"/>
            <w:vAlign w:val="bottom"/>
            <w:shd w:val="clear" w:color="auto" w:fill="C0C0C0"/>
          </w:tcPr>
          <w:p>
            <w:pPr>
              <w:spacing w:after="0"/>
              <w:rPr>
                <w:sz w:val="20"/>
                <w:szCs w:val="20"/>
                <w:color w:val="auto"/>
              </w:rPr>
            </w:pPr>
            <w:r>
              <w:rPr>
                <w:rFonts w:ascii="Arial" w:cs="Arial" w:eastAsia="Arial" w:hAnsi="Arial"/>
                <w:sz w:val="12"/>
                <w:szCs w:val="12"/>
                <w:color w:val="auto"/>
              </w:rPr>
              <w:t>Hames</w:t>
            </w:r>
          </w:p>
        </w:tc>
        <w:tc>
          <w:tcPr>
            <w:tcW w:w="58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(1)</w:t>
            </w:r>
          </w:p>
        </w:tc>
        <w:tc>
          <w:tcPr>
            <w:tcW w:w="2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1,626,622</w:t>
            </w:r>
          </w:p>
        </w:tc>
        <w:tc>
          <w:tcPr>
            <w:tcW w:w="180" w:type="dxa"/>
            <w:vAlign w:val="bottom"/>
            <w:shd w:val="clear" w:color="auto" w:fill="C0C0C0"/>
          </w:tcPr>
          <w:p>
            <w:pPr>
              <w:spacing w:after="0"/>
              <w:rPr>
                <w:sz w:val="19"/>
                <w:szCs w:val="19"/>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0C0C0"/>
          </w:tcPr>
          <w:p>
            <w:pPr>
              <w:jc w:val="right"/>
              <w:ind w:right="19"/>
              <w:spacing w:after="0"/>
              <w:rPr>
                <w:sz w:val="20"/>
                <w:szCs w:val="20"/>
                <w:color w:val="auto"/>
              </w:rPr>
            </w:pPr>
            <w:r>
              <w:rPr>
                <w:rFonts w:ascii="Arial" w:cs="Arial" w:eastAsia="Arial" w:hAnsi="Arial"/>
                <w:sz w:val="12"/>
                <w:szCs w:val="12"/>
                <w:color w:val="auto"/>
              </w:rPr>
              <w:t>4,205,998</w:t>
            </w:r>
          </w:p>
        </w:tc>
        <w:tc>
          <w:tcPr>
            <w:tcW w:w="4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0C0C0"/>
          </w:tcPr>
          <w:p>
            <w:pPr>
              <w:jc w:val="right"/>
              <w:ind w:right="99"/>
              <w:spacing w:after="0"/>
              <w:rPr>
                <w:sz w:val="20"/>
                <w:szCs w:val="20"/>
                <w:color w:val="auto"/>
              </w:rPr>
            </w:pPr>
            <w:r>
              <w:rPr>
                <w:rFonts w:ascii="Arial" w:cs="Arial" w:eastAsia="Arial" w:hAnsi="Arial"/>
                <w:sz w:val="12"/>
                <w:szCs w:val="12"/>
                <w:color w:val="auto"/>
              </w:rPr>
              <w:t>1,602,720</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6,513,000</w:t>
            </w:r>
          </w:p>
        </w:tc>
        <w:tc>
          <w:tcPr>
            <w:tcW w:w="180" w:type="dxa"/>
            <w:vAlign w:val="bottom"/>
            <w:shd w:val="clear" w:color="auto" w:fill="C0C0C0"/>
          </w:tcPr>
          <w:p>
            <w:pPr>
              <w:spacing w:after="0"/>
              <w:rPr>
                <w:sz w:val="19"/>
                <w:szCs w:val="19"/>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9"/>
              </w:rPr>
              <w:t>10,186,750</w:t>
            </w:r>
          </w:p>
        </w:tc>
        <w:tc>
          <w:tcPr>
            <w:tcW w:w="66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$46,132</w:t>
            </w:r>
          </w:p>
        </w:tc>
        <w:tc>
          <w:tcPr>
            <w:tcW w:w="2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60" w:type="dxa"/>
            <w:vAlign w:val="bottom"/>
            <w:gridSpan w:val="2"/>
            <w:shd w:val="clear" w:color="auto" w:fill="C0C0C0"/>
          </w:tcPr>
          <w:p>
            <w:pPr>
              <w:jc w:val="right"/>
              <w:ind w:right="200"/>
              <w:spacing w:after="0"/>
              <w:rPr>
                <w:sz w:val="20"/>
                <w:szCs w:val="20"/>
                <w:color w:val="auto"/>
              </w:rPr>
            </w:pPr>
            <w:r>
              <w:rPr>
                <w:rFonts w:ascii="Arial" w:cs="Arial" w:eastAsia="Arial" w:hAnsi="Arial"/>
                <w:sz w:val="12"/>
                <w:szCs w:val="12"/>
                <w:color w:val="auto"/>
              </w:rPr>
              <w:t>75,290</w:t>
            </w:r>
          </w:p>
        </w:tc>
        <w:tc>
          <w:tcPr>
            <w:tcW w:w="760" w:type="dxa"/>
            <w:vAlign w:val="bottom"/>
            <w:shd w:val="clear" w:color="auto" w:fill="C0C0C0"/>
          </w:tcPr>
          <w:p>
            <w:pPr>
              <w:jc w:val="right"/>
              <w:ind w:right="159"/>
              <w:spacing w:after="0"/>
              <w:rPr>
                <w:sz w:val="20"/>
                <w:szCs w:val="20"/>
                <w:color w:val="auto"/>
              </w:rPr>
            </w:pPr>
            <w:r>
              <w:rPr>
                <w:rFonts w:ascii="Arial" w:cs="Arial" w:eastAsia="Arial" w:hAnsi="Arial"/>
                <w:sz w:val="12"/>
                <w:szCs w:val="12"/>
                <w:color w:val="auto"/>
              </w:rPr>
              <w:t>0</w:t>
            </w:r>
          </w:p>
        </w:tc>
        <w:tc>
          <w:tcPr>
            <w:tcW w:w="900" w:type="dxa"/>
            <w:vAlign w:val="bottom"/>
            <w:gridSpan w:val="2"/>
            <w:shd w:val="clear" w:color="auto" w:fill="C0C0C0"/>
          </w:tcPr>
          <w:p>
            <w:pPr>
              <w:jc w:val="center"/>
              <w:ind w:left="159"/>
              <w:spacing w:after="0"/>
              <w:rPr>
                <w:sz w:val="20"/>
                <w:szCs w:val="20"/>
                <w:color w:val="auto"/>
              </w:rPr>
            </w:pPr>
            <w:r>
              <w:rPr>
                <w:rFonts w:ascii="Arial" w:cs="Arial" w:eastAsia="Arial" w:hAnsi="Arial"/>
                <w:sz w:val="12"/>
                <w:szCs w:val="12"/>
                <w:color w:val="auto"/>
              </w:rPr>
              <w:t>$24,256,512</w:t>
            </w:r>
          </w:p>
        </w:tc>
      </w:tr>
      <w:tr>
        <w:trPr>
          <w:trHeight w:val="232"/>
        </w:trPr>
        <w:tc>
          <w:tcPr>
            <w:tcW w:w="2800" w:type="dxa"/>
            <w:vAlign w:val="bottom"/>
          </w:tcPr>
          <w:p>
            <w:pPr>
              <w:spacing w:after="0"/>
              <w:rPr>
                <w:sz w:val="20"/>
                <w:szCs w:val="20"/>
                <w:color w:val="auto"/>
              </w:rPr>
            </w:pPr>
            <w:r>
              <w:rPr>
                <w:rFonts w:ascii="Arial" w:cs="Arial" w:eastAsia="Arial" w:hAnsi="Arial"/>
                <w:sz w:val="12"/>
                <w:szCs w:val="12"/>
                <w:color w:val="auto"/>
              </w:rPr>
              <w:t>Delfassy</w:t>
            </w:r>
          </w:p>
        </w:tc>
        <w:tc>
          <w:tcPr>
            <w:tcW w:w="580" w:type="dxa"/>
            <w:vAlign w:val="bottom"/>
            <w:gridSpan w:val="2"/>
          </w:tcPr>
          <w:p>
            <w:pPr>
              <w:jc w:val="center"/>
              <w:ind w:left="119"/>
              <w:spacing w:after="0"/>
              <w:rPr>
                <w:sz w:val="20"/>
                <w:szCs w:val="20"/>
                <w:color w:val="auto"/>
              </w:rPr>
            </w:pPr>
            <w:r>
              <w:rPr>
                <w:rFonts w:ascii="Arial" w:cs="Arial" w:eastAsia="Arial" w:hAnsi="Arial"/>
                <w:sz w:val="12"/>
                <w:szCs w:val="12"/>
                <w:color w:val="auto"/>
              </w:rPr>
              <w:t>(1)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0</w:t>
            </w:r>
          </w:p>
        </w:tc>
        <w:tc>
          <w:tcPr>
            <w:tcW w:w="12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2"/>
                <w:szCs w:val="12"/>
                <w:color w:val="auto"/>
              </w:rPr>
              <w:t>0</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99"/>
              <w:spacing w:after="0"/>
              <w:rPr>
                <w:sz w:val="20"/>
                <w:szCs w:val="20"/>
                <w:color w:val="auto"/>
              </w:rPr>
            </w:pPr>
            <w:r>
              <w:rPr>
                <w:rFonts w:ascii="Arial" w:cs="Arial" w:eastAsia="Arial" w:hAnsi="Arial"/>
                <w:sz w:val="12"/>
                <w:szCs w:val="12"/>
                <w:color w:val="auto"/>
              </w:rPr>
              <w:t>2,466,398</w:t>
            </w:r>
          </w:p>
        </w:tc>
        <w:tc>
          <w:tcPr>
            <w:tcW w:w="3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5,010,000</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4,421,440</w:t>
            </w:r>
          </w:p>
        </w:tc>
        <w:tc>
          <w:tcPr>
            <w:tcW w:w="660" w:type="dxa"/>
            <w:vAlign w:val="bottom"/>
            <w:gridSpan w:val="2"/>
          </w:tcPr>
          <w:p>
            <w:pPr>
              <w:jc w:val="center"/>
              <w:ind w:left="119"/>
              <w:spacing w:after="0"/>
              <w:rPr>
                <w:sz w:val="20"/>
                <w:szCs w:val="20"/>
                <w:color w:val="auto"/>
              </w:rPr>
            </w:pPr>
            <w:r>
              <w:rPr>
                <w:rFonts w:ascii="Arial" w:cs="Arial" w:eastAsia="Arial" w:hAnsi="Arial"/>
                <w:sz w:val="12"/>
                <w:szCs w:val="12"/>
                <w:color w:val="auto"/>
              </w:rPr>
              <w:t>$26,985</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105,752</w:t>
            </w:r>
          </w:p>
        </w:tc>
        <w:tc>
          <w:tcPr>
            <w:tcW w:w="200" w:type="dxa"/>
            <w:vAlign w:val="bottom"/>
          </w:tcPr>
          <w:p>
            <w:pPr>
              <w:spacing w:after="0"/>
              <w:rPr>
                <w:sz w:val="20"/>
                <w:szCs w:val="20"/>
                <w:color w:val="auto"/>
              </w:rPr>
            </w:pPr>
          </w:p>
        </w:tc>
        <w:tc>
          <w:tcPr>
            <w:tcW w:w="760" w:type="dxa"/>
            <w:vAlign w:val="bottom"/>
          </w:tcPr>
          <w:p>
            <w:pPr>
              <w:jc w:val="right"/>
              <w:ind w:right="159"/>
              <w:spacing w:after="0"/>
              <w:rPr>
                <w:sz w:val="20"/>
                <w:szCs w:val="20"/>
                <w:color w:val="auto"/>
              </w:rPr>
            </w:pPr>
            <w:r>
              <w:rPr>
                <w:rFonts w:ascii="Arial" w:cs="Arial" w:eastAsia="Arial" w:hAnsi="Arial"/>
                <w:sz w:val="12"/>
                <w:szCs w:val="12"/>
                <w:color w:val="auto"/>
              </w:rPr>
              <w:t>0</w:t>
            </w:r>
          </w:p>
        </w:tc>
        <w:tc>
          <w:tcPr>
            <w:tcW w:w="900" w:type="dxa"/>
            <w:vAlign w:val="bottom"/>
            <w:gridSpan w:val="2"/>
          </w:tcPr>
          <w:p>
            <w:pPr>
              <w:jc w:val="center"/>
              <w:ind w:left="159"/>
              <w:spacing w:after="0"/>
              <w:rPr>
                <w:sz w:val="20"/>
                <w:szCs w:val="20"/>
                <w:color w:val="auto"/>
              </w:rPr>
            </w:pPr>
            <w:r>
              <w:rPr>
                <w:rFonts w:ascii="Arial" w:cs="Arial" w:eastAsia="Arial" w:hAnsi="Arial"/>
                <w:sz w:val="12"/>
                <w:szCs w:val="12"/>
                <w:color w:val="auto"/>
              </w:rPr>
              <w:t>$12,030,575</w:t>
            </w:r>
          </w:p>
        </w:tc>
      </w:tr>
    </w:tbl>
    <w:p>
      <w:pPr>
        <w:spacing w:after="0" w:line="200" w:lineRule="exact"/>
        <w:rPr>
          <w:sz w:val="20"/>
          <w:szCs w:val="20"/>
          <w:color w:val="auto"/>
        </w:rPr>
      </w:pPr>
    </w:p>
    <w:p>
      <w:pPr>
        <w:spacing w:after="0" w:line="208"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76" w:lineRule="exact"/>
        <w:rPr>
          <w:sz w:val="20"/>
          <w:szCs w:val="20"/>
          <w:color w:val="auto"/>
        </w:rPr>
      </w:pPr>
    </w:p>
    <w:p>
      <w:pPr>
        <w:ind w:left="2"/>
        <w:spacing w:after="0"/>
        <w:rPr>
          <w:sz w:val="20"/>
          <w:szCs w:val="20"/>
          <w:color w:val="auto"/>
        </w:rPr>
      </w:pPr>
      <w:r>
        <w:rPr>
          <w:rFonts w:ascii="Arial" w:cs="Arial" w:eastAsia="Arial" w:hAnsi="Arial"/>
          <w:sz w:val="20"/>
          <w:szCs w:val="20"/>
          <w:color w:val="auto"/>
        </w:rPr>
        <w:t>____________________</w:t>
      </w:r>
    </w:p>
    <w:p>
      <w:pPr>
        <w:spacing w:after="0" w:line="233" w:lineRule="exact"/>
        <w:rPr>
          <w:sz w:val="20"/>
          <w:szCs w:val="20"/>
          <w:color w:val="auto"/>
        </w:rPr>
      </w:pPr>
    </w:p>
    <w:p>
      <w:pPr>
        <w:ind w:left="442" w:right="140" w:hanging="442"/>
        <w:spacing w:after="0" w:line="250" w:lineRule="auto"/>
        <w:tabs>
          <w:tab w:leader="none" w:pos="442" w:val="left"/>
        </w:tabs>
        <w:numPr>
          <w:ilvl w:val="0"/>
          <w:numId w:val="39"/>
        </w:numPr>
        <w:rPr>
          <w:rFonts w:ascii="Arial" w:cs="Arial" w:eastAsia="Arial" w:hAnsi="Arial"/>
          <w:sz w:val="16"/>
          <w:szCs w:val="16"/>
          <w:color w:val="auto"/>
        </w:rPr>
      </w:pPr>
      <w:r>
        <w:rPr>
          <w:rFonts w:ascii="Arial" w:cs="Arial" w:eastAsia="Arial" w:hAnsi="Arial"/>
          <w:sz w:val="16"/>
          <w:szCs w:val="16"/>
          <w:color w:val="auto"/>
        </w:rPr>
        <w:t>Because the amount of a bonus is subject to the Compensation Committee’s discretion considering the facts and circumstances of the termination, it is not possible to predict the amount of bonus, if any, the executive officer would have received.</w:t>
      </w:r>
    </w:p>
    <w:p>
      <w:pPr>
        <w:spacing w:after="0" w:line="204" w:lineRule="exact"/>
        <w:rPr>
          <w:rFonts w:ascii="Arial" w:cs="Arial" w:eastAsia="Arial" w:hAnsi="Arial"/>
          <w:sz w:val="16"/>
          <w:szCs w:val="16"/>
          <w:color w:val="auto"/>
        </w:rPr>
      </w:pPr>
    </w:p>
    <w:p>
      <w:pPr>
        <w:jc w:val="both"/>
        <w:ind w:left="442" w:right="140" w:hanging="442"/>
        <w:spacing w:after="0" w:line="243" w:lineRule="auto"/>
        <w:tabs>
          <w:tab w:leader="none" w:pos="44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amount shown is the lump sum benefit payable at age 65 to the named executive officer in the event of termination as of December 31, 2007, due to disability, assuming the named executive officer does not request payment of his disability benefit until age 65. The assumptions used in calculating these amounts are the same as the age-65 lump-sum assumptions used for financial reporting purposes for the company’s audited financial statements for 2007 and are described in footnote 4 to the 2007 Pension Benefits table on page 38. Mr. Delfassy does not participate in this plan.</w:t>
      </w:r>
    </w:p>
    <w:p>
      <w:pPr>
        <w:spacing w:after="0" w:line="210" w:lineRule="exact"/>
        <w:rPr>
          <w:rFonts w:ascii="Arial" w:cs="Arial" w:eastAsia="Arial" w:hAnsi="Arial"/>
          <w:sz w:val="16"/>
          <w:szCs w:val="16"/>
          <w:color w:val="auto"/>
        </w:rPr>
      </w:pPr>
    </w:p>
    <w:p>
      <w:pPr>
        <w:ind w:left="442" w:right="340" w:hanging="442"/>
        <w:spacing w:after="0" w:line="250" w:lineRule="auto"/>
        <w:tabs>
          <w:tab w:leader="none" w:pos="442" w:val="left"/>
        </w:tabs>
        <w:numPr>
          <w:ilvl w:val="0"/>
          <w:numId w:val="39"/>
        </w:numPr>
        <w:rPr>
          <w:rFonts w:ascii="Arial" w:cs="Arial" w:eastAsia="Arial" w:hAnsi="Arial"/>
          <w:sz w:val="16"/>
          <w:szCs w:val="16"/>
          <w:color w:val="auto"/>
        </w:rPr>
      </w:pPr>
      <w:r>
        <w:rPr>
          <w:rFonts w:ascii="Arial" w:cs="Arial" w:eastAsia="Arial" w:hAnsi="Arial"/>
          <w:sz w:val="16"/>
          <w:szCs w:val="16"/>
          <w:color w:val="auto"/>
        </w:rPr>
        <w:t>Aggregate account value as of December 31, 2007. The amounts shown in the 2007 Nonqualified Deferred Compensation table on page 40 include the amounts shown in this column.</w:t>
      </w:r>
    </w:p>
    <w:p>
      <w:pPr>
        <w:spacing w:after="0" w:line="204" w:lineRule="exact"/>
        <w:rPr>
          <w:rFonts w:ascii="Arial" w:cs="Arial" w:eastAsia="Arial" w:hAnsi="Arial"/>
          <w:sz w:val="16"/>
          <w:szCs w:val="16"/>
          <w:color w:val="auto"/>
        </w:rPr>
      </w:pPr>
    </w:p>
    <w:p>
      <w:pPr>
        <w:ind w:left="442" w:right="20" w:hanging="442"/>
        <w:spacing w:after="0" w:line="243" w:lineRule="auto"/>
        <w:tabs>
          <w:tab w:leader="none" w:pos="442"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Calculated by multiplying the number of outstanding RSUs by the closing price of TI common stock as of December 31, 2007 ($33.40). Because the executive officer will retain his RSU awards in the event of termination and they will continue to vest according to their terms, all outstanding RSUs are assumed to be vested for purposes of this table. Please see the Outstanding Equity Awards at Fiscal Year-End 2007 table on pages 34-35 for the number of unvested RSUs as of December 31, 2007, and page 37 for a discussion of an additional outstanding RSU award held by Mr. Templeton.</w:t>
      </w:r>
    </w:p>
    <w:p>
      <w:pPr>
        <w:spacing w:after="0" w:line="210" w:lineRule="exact"/>
        <w:rPr>
          <w:rFonts w:ascii="Arial" w:cs="Arial" w:eastAsia="Arial" w:hAnsi="Arial"/>
          <w:sz w:val="16"/>
          <w:szCs w:val="16"/>
          <w:color w:val="auto"/>
        </w:rPr>
      </w:pPr>
    </w:p>
    <w:p>
      <w:pPr>
        <w:ind w:left="442" w:right="40" w:hanging="442"/>
        <w:spacing w:after="0" w:line="242" w:lineRule="auto"/>
        <w:tabs>
          <w:tab w:leader="none" w:pos="442"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Calculated as the difference between the grant price of all outstanding in-the-money options and the closing price of TI common stock as of December 31, 2007 ($33.40), multiplied by the number of shares under such options as of December 31, 2007. Because the executive officer will retain his options and they will continue to become exercisable according to their terms, all outstanding options (exercisable and unexercisable) are assumed to be exercisable for purposes of this table. Please see the Outstanding Equity Awards at Fiscal Year-End 2007 table on pages 34-35 for the number of exercisable and unexercisable options as of December 31, 2007.</w:t>
      </w:r>
    </w:p>
    <w:p>
      <w:pPr>
        <w:spacing w:after="0" w:line="211" w:lineRule="exact"/>
        <w:rPr>
          <w:rFonts w:ascii="Arial" w:cs="Arial" w:eastAsia="Arial" w:hAnsi="Arial"/>
          <w:sz w:val="16"/>
          <w:szCs w:val="16"/>
          <w:color w:val="auto"/>
        </w:rPr>
      </w:pPr>
    </w:p>
    <w:p>
      <w:pPr>
        <w:ind w:left="442" w:hanging="442"/>
        <w:spacing w:after="0"/>
        <w:tabs>
          <w:tab w:leader="none" w:pos="442" w:val="left"/>
        </w:tabs>
        <w:numPr>
          <w:ilvl w:val="0"/>
          <w:numId w:val="39"/>
        </w:numPr>
        <w:rPr>
          <w:rFonts w:ascii="Arial" w:cs="Arial" w:eastAsia="Arial" w:hAnsi="Arial"/>
          <w:sz w:val="16"/>
          <w:szCs w:val="16"/>
          <w:color w:val="auto"/>
        </w:rPr>
      </w:pPr>
      <w:r>
        <w:rPr>
          <w:rFonts w:ascii="Arial" w:cs="Arial" w:eastAsia="Arial" w:hAnsi="Arial"/>
          <w:sz w:val="16"/>
          <w:szCs w:val="16"/>
          <w:color w:val="auto"/>
        </w:rPr>
        <w:t>Amounts earned in 2007.</w:t>
      </w:r>
    </w:p>
    <w:p>
      <w:pPr>
        <w:spacing w:after="0" w:line="220" w:lineRule="exact"/>
        <w:rPr>
          <w:rFonts w:ascii="Arial" w:cs="Arial" w:eastAsia="Arial" w:hAnsi="Arial"/>
          <w:sz w:val="16"/>
          <w:szCs w:val="16"/>
          <w:color w:val="auto"/>
        </w:rPr>
      </w:pPr>
    </w:p>
    <w:p>
      <w:pPr>
        <w:ind w:left="442" w:right="160" w:hanging="442"/>
        <w:spacing w:after="0" w:line="250" w:lineRule="auto"/>
        <w:tabs>
          <w:tab w:leader="none" w:pos="442"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Calculated by multiplying the number of hours remaining in the named executive officer’s time bank by the applicable base salary rate as of December 31, 2007.</w:t>
      </w:r>
    </w:p>
    <w:p>
      <w:pPr>
        <w:spacing w:after="0" w:line="204" w:lineRule="exact"/>
        <w:rPr>
          <w:rFonts w:ascii="Arial" w:cs="Arial" w:eastAsia="Arial" w:hAnsi="Arial"/>
          <w:sz w:val="16"/>
          <w:szCs w:val="16"/>
          <w:color w:val="auto"/>
        </w:rPr>
      </w:pPr>
    </w:p>
    <w:p>
      <w:pPr>
        <w:ind w:left="442" w:hanging="442"/>
        <w:spacing w:after="0"/>
        <w:tabs>
          <w:tab w:leader="none" w:pos="442" w:val="left"/>
        </w:tabs>
        <w:numPr>
          <w:ilvl w:val="0"/>
          <w:numId w:val="39"/>
        </w:numPr>
        <w:rPr>
          <w:rFonts w:ascii="Arial" w:cs="Arial" w:eastAsia="Arial" w:hAnsi="Arial"/>
          <w:sz w:val="16"/>
          <w:szCs w:val="16"/>
          <w:color w:val="auto"/>
        </w:rPr>
      </w:pPr>
      <w:r>
        <w:rPr>
          <w:rFonts w:ascii="Arial" w:cs="Arial" w:eastAsia="Arial" w:hAnsi="Arial"/>
          <w:sz w:val="16"/>
          <w:szCs w:val="16"/>
          <w:color w:val="auto"/>
        </w:rPr>
        <w:t>Cash value of Mr. Engibous’s executive life insurance policy as of December 31, 2007.</w:t>
      </w:r>
    </w:p>
    <w:p>
      <w:pPr>
        <w:spacing w:after="0" w:line="17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Termination Due to Death</w:t>
      </w:r>
    </w:p>
    <w:p>
      <w:pPr>
        <w:spacing w:after="0" w:line="284"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Qualified</w:t>
            </w:r>
          </w:p>
        </w:tc>
        <w:tc>
          <w:tcPr>
            <w:tcW w:w="18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Arial" w:cs="Arial" w:eastAsia="Arial" w:hAnsi="Arial"/>
                <w:sz w:val="12"/>
                <w:szCs w:val="12"/>
                <w:b w:val="1"/>
                <w:bCs w:val="1"/>
                <w:color w:val="auto"/>
              </w:rPr>
              <w:t>Nonqualified</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Defined</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center"/>
              <w:ind w:right="99"/>
              <w:spacing w:after="0"/>
              <w:rPr>
                <w:sz w:val="20"/>
                <w:szCs w:val="20"/>
                <w:color w:val="auto"/>
              </w:rPr>
            </w:pPr>
            <w:r>
              <w:rPr>
                <w:rFonts w:ascii="Arial" w:cs="Arial" w:eastAsia="Arial" w:hAnsi="Arial"/>
                <w:sz w:val="12"/>
                <w:szCs w:val="12"/>
                <w:b w:val="1"/>
                <w:bCs w:val="1"/>
                <w:color w:val="auto"/>
              </w:rPr>
              <w:t>Defined</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Benefit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center"/>
              <w:ind w:right="99"/>
              <w:spacing w:after="0"/>
              <w:rPr>
                <w:sz w:val="20"/>
                <w:szCs w:val="20"/>
                <w:color w:val="auto"/>
              </w:rPr>
            </w:pPr>
            <w:r>
              <w:rPr>
                <w:rFonts w:ascii="Arial" w:cs="Arial" w:eastAsia="Arial" w:hAnsi="Arial"/>
                <w:sz w:val="12"/>
                <w:szCs w:val="12"/>
                <w:b w:val="1"/>
                <w:bCs w:val="1"/>
                <w:color w:val="auto"/>
              </w:rPr>
              <w:t>Benefit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Pension</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center"/>
              <w:ind w:right="79"/>
              <w:spacing w:after="0"/>
              <w:rPr>
                <w:sz w:val="20"/>
                <w:szCs w:val="20"/>
                <w:color w:val="auto"/>
              </w:rPr>
            </w:pPr>
            <w:r>
              <w:rPr>
                <w:rFonts w:ascii="Arial" w:cs="Arial" w:eastAsia="Arial" w:hAnsi="Arial"/>
                <w:sz w:val="12"/>
                <w:szCs w:val="12"/>
                <w:b w:val="1"/>
                <w:bCs w:val="1"/>
                <w:color w:val="auto"/>
              </w:rPr>
              <w:t>Pension</w:t>
            </w:r>
          </w:p>
        </w:tc>
        <w:tc>
          <w:tcPr>
            <w:tcW w:w="20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2"/>
                <w:szCs w:val="12"/>
                <w:b w:val="1"/>
                <w:bCs w:val="1"/>
                <w:color w:val="auto"/>
              </w:rPr>
              <w:t>Deferred</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center"/>
              <w:ind w:right="39"/>
              <w:spacing w:after="0"/>
              <w:rPr>
                <w:sz w:val="20"/>
                <w:szCs w:val="20"/>
                <w:color w:val="auto"/>
              </w:rPr>
            </w:pPr>
            <w:r>
              <w:rPr>
                <w:rFonts w:ascii="Arial" w:cs="Arial" w:eastAsia="Arial" w:hAnsi="Arial"/>
                <w:sz w:val="12"/>
                <w:szCs w:val="12"/>
                <w:b w:val="1"/>
                <w:bCs w:val="1"/>
                <w:color w:val="auto"/>
                <w:w w:val="97"/>
              </w:rPr>
              <w:t>Stock</w:t>
            </w:r>
          </w:p>
        </w:tc>
        <w:tc>
          <w:tcPr>
            <w:tcW w:w="20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rPr>
              <w:t>Profit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center"/>
              <w:ind w:right="19"/>
              <w:spacing w:after="0"/>
              <w:rPr>
                <w:sz w:val="20"/>
                <w:szCs w:val="20"/>
                <w:color w:val="auto"/>
              </w:rPr>
            </w:pPr>
            <w:r>
              <w:rPr>
                <w:rFonts w:ascii="Arial" w:cs="Arial" w:eastAsia="Arial" w:hAnsi="Arial"/>
                <w:sz w:val="12"/>
                <w:szCs w:val="12"/>
                <w:b w:val="1"/>
                <w:bCs w:val="1"/>
                <w:color w:val="auto"/>
                <w:w w:val="99"/>
              </w:rPr>
              <w:t>Time</w:t>
            </w:r>
          </w:p>
        </w:tc>
        <w:tc>
          <w:tcPr>
            <w:tcW w:w="2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rPr>
              <w:t>Perquisites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2"/>
                <w:szCs w:val="12"/>
                <w:b w:val="1"/>
                <w:bCs w:val="1"/>
                <w:color w:val="auto"/>
              </w:rPr>
              <w:t>Bonus</w:t>
            </w:r>
          </w:p>
        </w:tc>
        <w:tc>
          <w:tcPr>
            <w:tcW w:w="20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Plan</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center"/>
              <w:ind w:right="99"/>
              <w:spacing w:after="0"/>
              <w:rPr>
                <w:sz w:val="20"/>
                <w:szCs w:val="20"/>
                <w:color w:val="auto"/>
              </w:rPr>
            </w:pPr>
            <w:r>
              <w:rPr>
                <w:rFonts w:ascii="Arial" w:cs="Arial" w:eastAsia="Arial" w:hAnsi="Arial"/>
                <w:sz w:val="12"/>
                <w:szCs w:val="12"/>
                <w:b w:val="1"/>
                <w:bCs w:val="1"/>
                <w:color w:val="auto"/>
              </w:rPr>
              <w:t>Plan</w:t>
            </w:r>
          </w:p>
        </w:tc>
        <w:tc>
          <w:tcPr>
            <w:tcW w:w="20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2"/>
                <w:szCs w:val="12"/>
                <w:b w:val="1"/>
                <w:bCs w:val="1"/>
                <w:color w:val="auto"/>
              </w:rPr>
              <w:t>Compensation</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RSUs</w:t>
            </w:r>
          </w:p>
        </w:tc>
        <w:tc>
          <w:tcPr>
            <w:tcW w:w="100" w:type="dxa"/>
            <w:vAlign w:val="bottom"/>
          </w:tcPr>
          <w:p>
            <w:pPr>
              <w:spacing w:after="0"/>
              <w:rPr>
                <w:sz w:val="19"/>
                <w:szCs w:val="19"/>
                <w:color w:val="auto"/>
              </w:rPr>
            </w:pPr>
          </w:p>
        </w:tc>
        <w:tc>
          <w:tcPr>
            <w:tcW w:w="620" w:type="dxa"/>
            <w:vAlign w:val="bottom"/>
          </w:tcPr>
          <w:p>
            <w:pPr>
              <w:jc w:val="center"/>
              <w:ind w:right="39"/>
              <w:spacing w:after="0"/>
              <w:rPr>
                <w:sz w:val="20"/>
                <w:szCs w:val="20"/>
                <w:color w:val="auto"/>
              </w:rPr>
            </w:pPr>
            <w:r>
              <w:rPr>
                <w:rFonts w:ascii="Arial" w:cs="Arial" w:eastAsia="Arial" w:hAnsi="Arial"/>
                <w:sz w:val="12"/>
                <w:szCs w:val="12"/>
                <w:b w:val="1"/>
                <w:bCs w:val="1"/>
                <w:color w:val="auto"/>
              </w:rPr>
              <w:t>Options</w:t>
            </w:r>
          </w:p>
        </w:tc>
        <w:tc>
          <w:tcPr>
            <w:tcW w:w="20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rPr>
              <w:t>Sharing</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center"/>
              <w:ind w:right="39"/>
              <w:spacing w:after="0"/>
              <w:rPr>
                <w:sz w:val="20"/>
                <w:szCs w:val="20"/>
                <w:color w:val="auto"/>
              </w:rPr>
            </w:pPr>
            <w:r>
              <w:rPr>
                <w:rFonts w:ascii="Arial" w:cs="Arial" w:eastAsia="Arial" w:hAnsi="Arial"/>
                <w:sz w:val="12"/>
                <w:szCs w:val="12"/>
                <w:b w:val="1"/>
                <w:bCs w:val="1"/>
                <w:color w:val="auto"/>
              </w:rPr>
              <w:t>Bank</w:t>
            </w:r>
          </w:p>
        </w:tc>
        <w:tc>
          <w:tcPr>
            <w:tcW w:w="2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2"/>
                <w:szCs w:val="12"/>
                <w:b w:val="1"/>
                <w:bCs w:val="1"/>
                <w:color w:val="auto"/>
                <w:w w:val="99"/>
              </w:rPr>
              <w:t>and Life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7"/>
        </w:trPr>
        <w:tc>
          <w:tcPr>
            <w:tcW w:w="2600" w:type="dxa"/>
            <w:vAlign w:val="bottom"/>
            <w:tcBorders>
              <w:bottom w:val="single" w:sz="8" w:color="auto"/>
            </w:tcBorders>
          </w:tcPr>
          <w:p>
            <w:pPr>
              <w:ind w:left="1120"/>
              <w:spacing w:after="0"/>
              <w:rPr>
                <w:sz w:val="20"/>
                <w:szCs w:val="20"/>
                <w:color w:val="auto"/>
              </w:rPr>
            </w:pPr>
            <w:r>
              <w:rPr>
                <w:rFonts w:ascii="Arial" w:cs="Arial" w:eastAsia="Arial" w:hAnsi="Arial"/>
                <w:sz w:val="12"/>
                <w:szCs w:val="12"/>
                <w:b w:val="1"/>
                <w:bCs w:val="1"/>
                <w:color w:val="auto"/>
              </w:rPr>
              <w:t>Name</w:t>
            </w:r>
          </w:p>
        </w:tc>
        <w:tc>
          <w:tcPr>
            <w:tcW w:w="200" w:type="dxa"/>
            <w:vAlign w:val="bottom"/>
          </w:tcPr>
          <w:p>
            <w:pPr>
              <w:spacing w:after="0"/>
              <w:rPr>
                <w:sz w:val="17"/>
                <w:szCs w:val="17"/>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(1)</w:t>
            </w:r>
          </w:p>
        </w:tc>
        <w:tc>
          <w:tcPr>
            <w:tcW w:w="200" w:type="dxa"/>
            <w:vAlign w:val="bottom"/>
          </w:tcPr>
          <w:p>
            <w:pPr>
              <w:spacing w:after="0"/>
              <w:rPr>
                <w:sz w:val="17"/>
                <w:szCs w:val="17"/>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(2)</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99"/>
              <w:spacing w:after="0"/>
              <w:rPr>
                <w:sz w:val="20"/>
                <w:szCs w:val="20"/>
                <w:color w:val="auto"/>
              </w:rPr>
            </w:pPr>
            <w:r>
              <w:rPr>
                <w:rFonts w:ascii="Arial" w:cs="Arial" w:eastAsia="Arial" w:hAnsi="Arial"/>
                <w:sz w:val="12"/>
                <w:szCs w:val="12"/>
                <w:b w:val="1"/>
                <w:bCs w:val="1"/>
                <w:color w:val="auto"/>
                <w:w w:val="95"/>
              </w:rPr>
              <w:t>(2)</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center"/>
              <w:ind w:right="179"/>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19"/>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right="39"/>
              <w:spacing w:after="0"/>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(6)</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center"/>
              <w:ind w:right="19"/>
              <w:spacing w:after="0"/>
              <w:rPr>
                <w:sz w:val="20"/>
                <w:szCs w:val="20"/>
                <w:color w:val="auto"/>
              </w:rPr>
            </w:pPr>
            <w:r>
              <w:rPr>
                <w:rFonts w:ascii="Arial" w:cs="Arial" w:eastAsia="Arial" w:hAnsi="Arial"/>
                <w:sz w:val="12"/>
                <w:szCs w:val="12"/>
                <w:b w:val="1"/>
                <w:bCs w:val="1"/>
                <w:color w:val="auto"/>
              </w:rPr>
              <w:t>(7)</w:t>
            </w:r>
          </w:p>
        </w:tc>
        <w:tc>
          <w:tcPr>
            <w:tcW w:w="20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Insurance</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Total</w:t>
            </w:r>
          </w:p>
        </w:tc>
        <w:tc>
          <w:tcPr>
            <w:tcW w:w="20" w:type="dxa"/>
            <w:vAlign w:val="bottom"/>
          </w:tcPr>
          <w:p>
            <w:pPr>
              <w:spacing w:after="0"/>
              <w:rPr>
                <w:sz w:val="17"/>
                <w:szCs w:val="17"/>
                <w:color w:val="auto"/>
              </w:rPr>
            </w:pPr>
          </w:p>
        </w:tc>
      </w:tr>
      <w:tr>
        <w:trPr>
          <w:trHeight w:val="213"/>
        </w:trPr>
        <w:tc>
          <w:tcPr>
            <w:tcW w:w="2600" w:type="dxa"/>
            <w:vAlign w:val="bottom"/>
            <w:shd w:val="clear" w:color="auto" w:fill="C0C0C0"/>
          </w:tcPr>
          <w:p>
            <w:pPr>
              <w:spacing w:after="0"/>
              <w:rPr>
                <w:sz w:val="20"/>
                <w:szCs w:val="20"/>
                <w:color w:val="auto"/>
              </w:rPr>
            </w:pPr>
            <w:r>
              <w:rPr>
                <w:rFonts w:ascii="Arial" w:cs="Arial" w:eastAsia="Arial" w:hAnsi="Arial"/>
                <w:sz w:val="12"/>
                <w:szCs w:val="12"/>
                <w:color w:val="auto"/>
              </w:rPr>
              <w:t>Templeton</w:t>
            </w:r>
          </w:p>
        </w:tc>
        <w:tc>
          <w:tcPr>
            <w:tcW w:w="580" w:type="dxa"/>
            <w:vAlign w:val="bottom"/>
            <w:gridSpan w:val="2"/>
            <w:shd w:val="clear" w:color="auto" w:fill="C0C0C0"/>
          </w:tcPr>
          <w:p>
            <w:pPr>
              <w:jc w:val="center"/>
              <w:ind w:left="139"/>
              <w:spacing w:after="0"/>
              <w:rPr>
                <w:sz w:val="20"/>
                <w:szCs w:val="20"/>
                <w:color w:val="auto"/>
              </w:rPr>
            </w:pPr>
            <w:r>
              <w:rPr>
                <w:rFonts w:ascii="Arial" w:cs="Arial" w:eastAsia="Arial" w:hAnsi="Arial"/>
                <w:sz w:val="12"/>
                <w:szCs w:val="12"/>
                <w:color w:val="auto"/>
                <w:w w:val="95"/>
              </w:rPr>
              <w:t>(1)</w:t>
            </w:r>
          </w:p>
        </w:tc>
        <w:tc>
          <w:tcPr>
            <w:tcW w:w="820" w:type="dxa"/>
            <w:vAlign w:val="bottom"/>
            <w:gridSpan w:val="2"/>
            <w:shd w:val="clear" w:color="auto" w:fill="C0C0C0"/>
          </w:tcPr>
          <w:p>
            <w:pPr>
              <w:jc w:val="right"/>
              <w:ind w:right="19"/>
              <w:spacing w:after="0"/>
              <w:rPr>
                <w:sz w:val="20"/>
                <w:szCs w:val="20"/>
                <w:color w:val="auto"/>
              </w:rPr>
            </w:pPr>
            <w:r>
              <w:rPr>
                <w:rFonts w:ascii="Arial" w:cs="Arial" w:eastAsia="Arial" w:hAnsi="Arial"/>
                <w:sz w:val="12"/>
                <w:szCs w:val="12"/>
                <w:color w:val="auto"/>
              </w:rPr>
              <w:t>$168,133</w:t>
            </w: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0C0C0"/>
          </w:tcPr>
          <w:p>
            <w:pPr>
              <w:jc w:val="right"/>
              <w:ind w:right="59"/>
              <w:spacing w:after="0"/>
              <w:rPr>
                <w:sz w:val="20"/>
                <w:szCs w:val="20"/>
                <w:color w:val="auto"/>
              </w:rPr>
            </w:pPr>
            <w:r>
              <w:rPr>
                <w:rFonts w:ascii="Arial" w:cs="Arial" w:eastAsia="Arial" w:hAnsi="Arial"/>
                <w:sz w:val="12"/>
                <w:szCs w:val="12"/>
                <w:color w:val="auto"/>
              </w:rPr>
              <w:t>124,239</w:t>
            </w: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0C0C0"/>
          </w:tcPr>
          <w:p>
            <w:pPr>
              <w:jc w:val="right"/>
              <w:ind w:right="119"/>
              <w:spacing w:after="0"/>
              <w:rPr>
                <w:sz w:val="20"/>
                <w:szCs w:val="20"/>
                <w:color w:val="auto"/>
              </w:rPr>
            </w:pPr>
            <w:r>
              <w:rPr>
                <w:rFonts w:ascii="Arial" w:cs="Arial" w:eastAsia="Arial" w:hAnsi="Arial"/>
                <w:sz w:val="12"/>
                <w:szCs w:val="12"/>
                <w:color w:val="auto"/>
                <w:w w:val="97"/>
              </w:rPr>
              <w:t>3,294,862</w:t>
            </w:r>
          </w:p>
        </w:tc>
        <w:tc>
          <w:tcPr>
            <w:tcW w:w="2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9"/>
              </w:rPr>
              <w:t>20,708,000</w:t>
            </w:r>
          </w:p>
        </w:tc>
        <w:tc>
          <w:tcPr>
            <w:tcW w:w="200" w:type="dxa"/>
            <w:vAlign w:val="bottom"/>
            <w:shd w:val="clear" w:color="auto" w:fill="C0C0C0"/>
          </w:tcPr>
          <w:p>
            <w:pPr>
              <w:spacing w:after="0"/>
              <w:rPr>
                <w:sz w:val="18"/>
                <w:szCs w:val="18"/>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9"/>
              </w:rPr>
              <w:t>35,392,100</w:t>
            </w:r>
          </w:p>
        </w:tc>
        <w:tc>
          <w:tcPr>
            <w:tcW w:w="80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$95,822</w:t>
            </w:r>
          </w:p>
        </w:tc>
        <w:tc>
          <w:tcPr>
            <w:tcW w:w="2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6"/>
              </w:rPr>
              <w:t>149,517</w:t>
            </w:r>
          </w:p>
        </w:tc>
        <w:tc>
          <w:tcPr>
            <w:tcW w:w="1020" w:type="dxa"/>
            <w:vAlign w:val="bottom"/>
            <w:gridSpan w:val="2"/>
            <w:shd w:val="clear" w:color="auto" w:fill="C0C0C0"/>
          </w:tcPr>
          <w:p>
            <w:pPr>
              <w:jc w:val="right"/>
              <w:ind w:right="119"/>
              <w:spacing w:after="0"/>
              <w:rPr>
                <w:sz w:val="20"/>
                <w:szCs w:val="20"/>
                <w:color w:val="auto"/>
              </w:rPr>
            </w:pPr>
            <w:r>
              <w:rPr>
                <w:rFonts w:ascii="Arial" w:cs="Arial" w:eastAsia="Arial" w:hAnsi="Arial"/>
                <w:sz w:val="12"/>
                <w:szCs w:val="12"/>
                <w:color w:val="auto"/>
              </w:rPr>
              <w:t>0</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6"/>
              </w:rPr>
              <w:t>59,932,673</w:t>
            </w:r>
          </w:p>
        </w:tc>
        <w:tc>
          <w:tcPr>
            <w:tcW w:w="20" w:type="dxa"/>
            <w:vAlign w:val="bottom"/>
          </w:tcPr>
          <w:p>
            <w:pPr>
              <w:spacing w:after="0"/>
              <w:rPr>
                <w:sz w:val="18"/>
                <w:szCs w:val="18"/>
                <w:color w:val="auto"/>
              </w:rPr>
            </w:pPr>
          </w:p>
        </w:tc>
      </w:tr>
      <w:tr>
        <w:trPr>
          <w:trHeight w:val="221"/>
        </w:trPr>
        <w:tc>
          <w:tcPr>
            <w:tcW w:w="2600" w:type="dxa"/>
            <w:vAlign w:val="bottom"/>
          </w:tcPr>
          <w:p>
            <w:pPr>
              <w:spacing w:after="0"/>
              <w:rPr>
                <w:sz w:val="20"/>
                <w:szCs w:val="20"/>
                <w:color w:val="auto"/>
              </w:rPr>
            </w:pPr>
            <w:r>
              <w:rPr>
                <w:rFonts w:ascii="Arial" w:cs="Arial" w:eastAsia="Arial" w:hAnsi="Arial"/>
                <w:sz w:val="12"/>
                <w:szCs w:val="12"/>
                <w:color w:val="auto"/>
              </w:rPr>
              <w:t>March</w:t>
            </w:r>
          </w:p>
        </w:tc>
        <w:tc>
          <w:tcPr>
            <w:tcW w:w="580" w:type="dxa"/>
            <w:vAlign w:val="bottom"/>
            <w:gridSpan w:val="2"/>
          </w:tcPr>
          <w:p>
            <w:pPr>
              <w:jc w:val="center"/>
              <w:ind w:left="139"/>
              <w:spacing w:after="0"/>
              <w:rPr>
                <w:sz w:val="20"/>
                <w:szCs w:val="20"/>
                <w:color w:val="auto"/>
              </w:rPr>
            </w:pPr>
            <w:r>
              <w:rPr>
                <w:rFonts w:ascii="Arial" w:cs="Arial" w:eastAsia="Arial" w:hAnsi="Arial"/>
                <w:sz w:val="12"/>
                <w:szCs w:val="12"/>
                <w:color w:val="auto"/>
                <w:w w:val="95"/>
              </w:rPr>
              <w:t>(1)</w:t>
            </w:r>
          </w:p>
        </w:tc>
        <w:tc>
          <w:tcPr>
            <w:tcW w:w="820" w:type="dxa"/>
            <w:vAlign w:val="bottom"/>
            <w:gridSpan w:val="2"/>
          </w:tcPr>
          <w:p>
            <w:pPr>
              <w:jc w:val="right"/>
              <w:ind w:right="19"/>
              <w:spacing w:after="0"/>
              <w:rPr>
                <w:sz w:val="20"/>
                <w:szCs w:val="20"/>
                <w:color w:val="auto"/>
              </w:rPr>
            </w:pPr>
            <w:r>
              <w:rPr>
                <w:rFonts w:ascii="Arial" w:cs="Arial" w:eastAsia="Arial" w:hAnsi="Arial"/>
                <w:sz w:val="12"/>
                <w:szCs w:val="12"/>
                <w:color w:val="auto"/>
              </w:rPr>
              <w:t>$153,140</w:t>
            </w: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59"/>
              <w:spacing w:after="0"/>
              <w:rPr>
                <w:sz w:val="20"/>
                <w:szCs w:val="20"/>
                <w:color w:val="auto"/>
              </w:rPr>
            </w:pPr>
            <w:r>
              <w:rPr>
                <w:rFonts w:ascii="Arial" w:cs="Arial" w:eastAsia="Arial" w:hAnsi="Arial"/>
                <w:sz w:val="12"/>
                <w:szCs w:val="12"/>
                <w:color w:val="auto"/>
              </w:rPr>
              <w:t>411,151</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19"/>
              <w:spacing w:after="0"/>
              <w:rPr>
                <w:sz w:val="20"/>
                <w:szCs w:val="20"/>
                <w:color w:val="auto"/>
              </w:rPr>
            </w:pPr>
            <w:r>
              <w:rPr>
                <w:rFonts w:ascii="Arial" w:cs="Arial" w:eastAsia="Arial" w:hAnsi="Arial"/>
                <w:sz w:val="12"/>
                <w:szCs w:val="12"/>
                <w:color w:val="auto"/>
              </w:rPr>
              <w:t>90,410</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3,674,000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3,994,721</w:t>
            </w:r>
          </w:p>
        </w:tc>
        <w:tc>
          <w:tcPr>
            <w:tcW w:w="800" w:type="dxa"/>
            <w:vAlign w:val="bottom"/>
            <w:gridSpan w:val="2"/>
          </w:tcPr>
          <w:p>
            <w:pPr>
              <w:jc w:val="center"/>
              <w:ind w:left="119"/>
              <w:spacing w:after="0"/>
              <w:rPr>
                <w:sz w:val="20"/>
                <w:szCs w:val="20"/>
                <w:color w:val="auto"/>
              </w:rPr>
            </w:pPr>
            <w:r>
              <w:rPr>
                <w:rFonts w:ascii="Arial" w:cs="Arial" w:eastAsia="Arial" w:hAnsi="Arial"/>
                <w:sz w:val="12"/>
                <w:szCs w:val="12"/>
                <w:color w:val="auto"/>
              </w:rPr>
              <w:t>$44,248</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102,055</w:t>
            </w:r>
          </w:p>
        </w:tc>
        <w:tc>
          <w:tcPr>
            <w:tcW w:w="1020" w:type="dxa"/>
            <w:vAlign w:val="bottom"/>
            <w:gridSpan w:val="2"/>
          </w:tcPr>
          <w:p>
            <w:pPr>
              <w:jc w:val="right"/>
              <w:ind w:right="119"/>
              <w:spacing w:after="0"/>
              <w:rPr>
                <w:sz w:val="20"/>
                <w:szCs w:val="20"/>
                <w:color w:val="auto"/>
              </w:rPr>
            </w:pPr>
            <w:r>
              <w:rPr>
                <w:rFonts w:ascii="Arial" w:cs="Arial" w:eastAsia="Arial" w:hAnsi="Arial"/>
                <w:sz w:val="12"/>
                <w:szCs w:val="12"/>
                <w:color w:val="auto"/>
              </w:rPr>
              <w:t>0</w:t>
            </w:r>
          </w:p>
        </w:tc>
        <w:tc>
          <w:tcPr>
            <w:tcW w:w="3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8,469,725</w:t>
            </w:r>
          </w:p>
        </w:tc>
      </w:tr>
      <w:tr>
        <w:trPr>
          <w:trHeight w:val="221"/>
        </w:trPr>
        <w:tc>
          <w:tcPr>
            <w:tcW w:w="2600" w:type="dxa"/>
            <w:vAlign w:val="bottom"/>
            <w:shd w:val="clear" w:color="auto" w:fill="C0C0C0"/>
          </w:tcPr>
          <w:p>
            <w:pPr>
              <w:spacing w:after="0"/>
              <w:rPr>
                <w:sz w:val="20"/>
                <w:szCs w:val="20"/>
                <w:color w:val="auto"/>
              </w:rPr>
            </w:pPr>
            <w:r>
              <w:rPr>
                <w:rFonts w:ascii="Arial" w:cs="Arial" w:eastAsia="Arial" w:hAnsi="Arial"/>
                <w:sz w:val="12"/>
                <w:szCs w:val="12"/>
                <w:color w:val="auto"/>
              </w:rPr>
              <w:t>Engibous</w:t>
            </w:r>
          </w:p>
        </w:tc>
        <w:tc>
          <w:tcPr>
            <w:tcW w:w="580" w:type="dxa"/>
            <w:vAlign w:val="bottom"/>
            <w:gridSpan w:val="2"/>
            <w:shd w:val="clear" w:color="auto" w:fill="C0C0C0"/>
          </w:tcPr>
          <w:p>
            <w:pPr>
              <w:jc w:val="center"/>
              <w:ind w:left="139"/>
              <w:spacing w:after="0"/>
              <w:rPr>
                <w:sz w:val="20"/>
                <w:szCs w:val="20"/>
                <w:color w:val="auto"/>
              </w:rPr>
            </w:pPr>
            <w:r>
              <w:rPr>
                <w:rFonts w:ascii="Arial" w:cs="Arial" w:eastAsia="Arial" w:hAnsi="Arial"/>
                <w:sz w:val="12"/>
                <w:szCs w:val="12"/>
                <w:color w:val="auto"/>
                <w:w w:val="95"/>
              </w:rPr>
              <w:t>(1)</w:t>
            </w:r>
          </w:p>
        </w:tc>
        <w:tc>
          <w:tcPr>
            <w:tcW w:w="820" w:type="dxa"/>
            <w:vAlign w:val="bottom"/>
            <w:gridSpan w:val="2"/>
            <w:shd w:val="clear" w:color="auto" w:fill="C0C0C0"/>
          </w:tcPr>
          <w:p>
            <w:pPr>
              <w:jc w:val="right"/>
              <w:ind w:right="19"/>
              <w:spacing w:after="0"/>
              <w:rPr>
                <w:sz w:val="20"/>
                <w:szCs w:val="20"/>
                <w:color w:val="auto"/>
              </w:rPr>
            </w:pPr>
            <w:r>
              <w:rPr>
                <w:rFonts w:ascii="Arial" w:cs="Arial" w:eastAsia="Arial" w:hAnsi="Arial"/>
                <w:sz w:val="12"/>
                <w:szCs w:val="12"/>
                <w:color w:val="auto"/>
              </w:rPr>
              <w:t>$405,277</w:t>
            </w: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0C0C0"/>
          </w:tcPr>
          <w:p>
            <w:pPr>
              <w:jc w:val="right"/>
              <w:ind w:right="59"/>
              <w:spacing w:after="0"/>
              <w:rPr>
                <w:sz w:val="20"/>
                <w:szCs w:val="20"/>
                <w:color w:val="auto"/>
              </w:rPr>
            </w:pPr>
            <w:r>
              <w:rPr>
                <w:rFonts w:ascii="Arial" w:cs="Arial" w:eastAsia="Arial" w:hAnsi="Arial"/>
                <w:sz w:val="12"/>
                <w:szCs w:val="12"/>
                <w:color w:val="auto"/>
                <w:w w:val="97"/>
              </w:rPr>
              <w:t>2,996,024</w:t>
            </w: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0C0C0"/>
          </w:tcPr>
          <w:p>
            <w:pPr>
              <w:jc w:val="right"/>
              <w:ind w:right="119"/>
              <w:spacing w:after="0"/>
              <w:rPr>
                <w:sz w:val="20"/>
                <w:szCs w:val="20"/>
                <w:color w:val="auto"/>
              </w:rPr>
            </w:pPr>
            <w:r>
              <w:rPr>
                <w:rFonts w:ascii="Arial" w:cs="Arial" w:eastAsia="Arial" w:hAnsi="Arial"/>
                <w:sz w:val="12"/>
                <w:szCs w:val="12"/>
                <w:color w:val="auto"/>
                <w:w w:val="97"/>
              </w:rPr>
              <w:t>1,637,942</w:t>
            </w:r>
          </w:p>
        </w:tc>
        <w:tc>
          <w:tcPr>
            <w:tcW w:w="20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820" w:type="dxa"/>
            <w:vAlign w:val="bottom"/>
            <w:gridSpan w:val="2"/>
            <w:shd w:val="clear" w:color="auto" w:fill="C0C0C0"/>
          </w:tcPr>
          <w:p>
            <w:pPr>
              <w:jc w:val="right"/>
              <w:ind w:right="200"/>
              <w:spacing w:after="0"/>
              <w:rPr>
                <w:sz w:val="20"/>
                <w:szCs w:val="20"/>
                <w:color w:val="auto"/>
              </w:rPr>
            </w:pPr>
            <w:r>
              <w:rPr>
                <w:rFonts w:ascii="Arial" w:cs="Arial" w:eastAsia="Arial" w:hAnsi="Arial"/>
                <w:sz w:val="12"/>
                <w:szCs w:val="12"/>
                <w:color w:val="auto"/>
              </w:rPr>
              <w:t>0</w:t>
            </w:r>
          </w:p>
        </w:tc>
        <w:tc>
          <w:tcPr>
            <w:tcW w:w="10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9"/>
              </w:rPr>
              <w:t>43,246,800</w:t>
            </w:r>
          </w:p>
        </w:tc>
        <w:tc>
          <w:tcPr>
            <w:tcW w:w="80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$31,354</w:t>
            </w:r>
          </w:p>
        </w:tc>
        <w:tc>
          <w:tcPr>
            <w:tcW w:w="2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6"/>
              </w:rPr>
              <w:t>145,557</w:t>
            </w:r>
          </w:p>
        </w:tc>
        <w:tc>
          <w:tcPr>
            <w:tcW w:w="102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$2,700,000 (8)</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6"/>
              </w:rPr>
              <w:t>51,162,954</w:t>
            </w:r>
          </w:p>
        </w:tc>
        <w:tc>
          <w:tcPr>
            <w:tcW w:w="20" w:type="dxa"/>
            <w:vAlign w:val="bottom"/>
          </w:tcPr>
          <w:p>
            <w:pPr>
              <w:spacing w:after="0"/>
              <w:rPr>
                <w:sz w:val="19"/>
                <w:szCs w:val="19"/>
                <w:color w:val="auto"/>
              </w:rPr>
            </w:pPr>
          </w:p>
        </w:tc>
      </w:tr>
      <w:tr>
        <w:trPr>
          <w:trHeight w:val="221"/>
        </w:trPr>
        <w:tc>
          <w:tcPr>
            <w:tcW w:w="2600" w:type="dxa"/>
            <w:vAlign w:val="bottom"/>
          </w:tcPr>
          <w:p>
            <w:pPr>
              <w:spacing w:after="0"/>
              <w:rPr>
                <w:sz w:val="20"/>
                <w:szCs w:val="20"/>
                <w:color w:val="auto"/>
              </w:rPr>
            </w:pPr>
            <w:r>
              <w:rPr>
                <w:rFonts w:ascii="Arial" w:cs="Arial" w:eastAsia="Arial" w:hAnsi="Arial"/>
                <w:sz w:val="12"/>
                <w:szCs w:val="12"/>
                <w:color w:val="auto"/>
              </w:rPr>
              <w:t>Lowe</w:t>
            </w:r>
          </w:p>
        </w:tc>
        <w:tc>
          <w:tcPr>
            <w:tcW w:w="580" w:type="dxa"/>
            <w:vAlign w:val="bottom"/>
            <w:gridSpan w:val="2"/>
          </w:tcPr>
          <w:p>
            <w:pPr>
              <w:jc w:val="center"/>
              <w:ind w:left="139"/>
              <w:spacing w:after="0"/>
              <w:rPr>
                <w:sz w:val="20"/>
                <w:szCs w:val="20"/>
                <w:color w:val="auto"/>
              </w:rPr>
            </w:pPr>
            <w:r>
              <w:rPr>
                <w:rFonts w:ascii="Arial" w:cs="Arial" w:eastAsia="Arial" w:hAnsi="Arial"/>
                <w:sz w:val="12"/>
                <w:szCs w:val="12"/>
                <w:color w:val="auto"/>
                <w:w w:val="95"/>
              </w:rPr>
              <w:t>(1)</w:t>
            </w:r>
          </w:p>
        </w:tc>
        <w:tc>
          <w:tcPr>
            <w:tcW w:w="820" w:type="dxa"/>
            <w:vAlign w:val="bottom"/>
            <w:gridSpan w:val="2"/>
          </w:tcPr>
          <w:p>
            <w:pPr>
              <w:jc w:val="right"/>
              <w:ind w:right="19"/>
              <w:spacing w:after="0"/>
              <w:rPr>
                <w:sz w:val="20"/>
                <w:szCs w:val="20"/>
                <w:color w:val="auto"/>
              </w:rPr>
            </w:pPr>
            <w:r>
              <w:rPr>
                <w:rFonts w:ascii="Arial" w:cs="Arial" w:eastAsia="Arial" w:hAnsi="Arial"/>
                <w:sz w:val="12"/>
                <w:szCs w:val="12"/>
                <w:color w:val="auto"/>
              </w:rPr>
              <w:t>$173,905</w:t>
            </w: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59"/>
              <w:spacing w:after="0"/>
              <w:rPr>
                <w:sz w:val="20"/>
                <w:szCs w:val="20"/>
                <w:color w:val="auto"/>
              </w:rPr>
            </w:pPr>
            <w:r>
              <w:rPr>
                <w:rFonts w:ascii="Arial" w:cs="Arial" w:eastAsia="Arial" w:hAnsi="Arial"/>
                <w:sz w:val="12"/>
                <w:szCs w:val="12"/>
                <w:color w:val="auto"/>
              </w:rPr>
              <w:t>479,554</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19"/>
              <w:spacing w:after="0"/>
              <w:rPr>
                <w:sz w:val="20"/>
                <w:szCs w:val="20"/>
                <w:color w:val="auto"/>
              </w:rPr>
            </w:pPr>
            <w:r>
              <w:rPr>
                <w:rFonts w:ascii="Arial" w:cs="Arial" w:eastAsia="Arial" w:hAnsi="Arial"/>
                <w:sz w:val="12"/>
                <w:szCs w:val="12"/>
                <w:color w:val="auto"/>
                <w:w w:val="97"/>
              </w:rPr>
              <w:t>1,707,941</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9,686,000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2,939,000</w:t>
            </w:r>
          </w:p>
        </w:tc>
        <w:tc>
          <w:tcPr>
            <w:tcW w:w="800" w:type="dxa"/>
            <w:vAlign w:val="bottom"/>
            <w:gridSpan w:val="2"/>
          </w:tcPr>
          <w:p>
            <w:pPr>
              <w:jc w:val="center"/>
              <w:ind w:left="119"/>
              <w:spacing w:after="0"/>
              <w:rPr>
                <w:sz w:val="20"/>
                <w:szCs w:val="20"/>
                <w:color w:val="auto"/>
              </w:rPr>
            </w:pPr>
            <w:r>
              <w:rPr>
                <w:rFonts w:ascii="Arial" w:cs="Arial" w:eastAsia="Arial" w:hAnsi="Arial"/>
                <w:sz w:val="12"/>
                <w:szCs w:val="12"/>
                <w:color w:val="auto"/>
              </w:rPr>
              <w:t>$51,661</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74,782</w:t>
            </w:r>
          </w:p>
        </w:tc>
        <w:tc>
          <w:tcPr>
            <w:tcW w:w="1020" w:type="dxa"/>
            <w:vAlign w:val="bottom"/>
            <w:gridSpan w:val="2"/>
          </w:tcPr>
          <w:p>
            <w:pPr>
              <w:jc w:val="right"/>
              <w:ind w:right="119"/>
              <w:spacing w:after="0"/>
              <w:rPr>
                <w:sz w:val="20"/>
                <w:szCs w:val="20"/>
                <w:color w:val="auto"/>
              </w:rPr>
            </w:pPr>
            <w:r>
              <w:rPr>
                <w:rFonts w:ascii="Arial" w:cs="Arial" w:eastAsia="Arial" w:hAnsi="Arial"/>
                <w:sz w:val="12"/>
                <w:szCs w:val="12"/>
                <w:color w:val="auto"/>
              </w:rPr>
              <w:t>0</w:t>
            </w:r>
          </w:p>
        </w:tc>
        <w:tc>
          <w:tcPr>
            <w:tcW w:w="3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w w:val="96"/>
              </w:rPr>
              <w:t>15,112,843</w:t>
            </w:r>
          </w:p>
        </w:tc>
        <w:tc>
          <w:tcPr>
            <w:tcW w:w="20" w:type="dxa"/>
            <w:vAlign w:val="bottom"/>
          </w:tcPr>
          <w:p>
            <w:pPr>
              <w:spacing w:after="0"/>
              <w:rPr>
                <w:sz w:val="19"/>
                <w:szCs w:val="19"/>
                <w:color w:val="auto"/>
              </w:rPr>
            </w:pPr>
          </w:p>
        </w:tc>
      </w:tr>
      <w:tr>
        <w:trPr>
          <w:trHeight w:val="221"/>
        </w:trPr>
        <w:tc>
          <w:tcPr>
            <w:tcW w:w="2600" w:type="dxa"/>
            <w:vAlign w:val="bottom"/>
            <w:shd w:val="clear" w:color="auto" w:fill="C0C0C0"/>
          </w:tcPr>
          <w:p>
            <w:pPr>
              <w:spacing w:after="0"/>
              <w:rPr>
                <w:sz w:val="20"/>
                <w:szCs w:val="20"/>
                <w:color w:val="auto"/>
              </w:rPr>
            </w:pPr>
            <w:r>
              <w:rPr>
                <w:rFonts w:ascii="Arial" w:cs="Arial" w:eastAsia="Arial" w:hAnsi="Arial"/>
                <w:sz w:val="12"/>
                <w:szCs w:val="12"/>
                <w:color w:val="auto"/>
              </w:rPr>
              <w:t>Hames</w:t>
            </w:r>
          </w:p>
        </w:tc>
        <w:tc>
          <w:tcPr>
            <w:tcW w:w="580" w:type="dxa"/>
            <w:vAlign w:val="bottom"/>
            <w:gridSpan w:val="2"/>
            <w:shd w:val="clear" w:color="auto" w:fill="C0C0C0"/>
          </w:tcPr>
          <w:p>
            <w:pPr>
              <w:jc w:val="center"/>
              <w:ind w:left="139"/>
              <w:spacing w:after="0"/>
              <w:rPr>
                <w:sz w:val="20"/>
                <w:szCs w:val="20"/>
                <w:color w:val="auto"/>
              </w:rPr>
            </w:pPr>
            <w:r>
              <w:rPr>
                <w:rFonts w:ascii="Arial" w:cs="Arial" w:eastAsia="Arial" w:hAnsi="Arial"/>
                <w:sz w:val="12"/>
                <w:szCs w:val="12"/>
                <w:color w:val="auto"/>
                <w:w w:val="95"/>
              </w:rPr>
              <w:t>(1)</w:t>
            </w:r>
          </w:p>
        </w:tc>
        <w:tc>
          <w:tcPr>
            <w:tcW w:w="820" w:type="dxa"/>
            <w:vAlign w:val="bottom"/>
            <w:gridSpan w:val="2"/>
            <w:shd w:val="clear" w:color="auto" w:fill="C0C0C0"/>
          </w:tcPr>
          <w:p>
            <w:pPr>
              <w:jc w:val="right"/>
              <w:ind w:right="19"/>
              <w:spacing w:after="0"/>
              <w:rPr>
                <w:sz w:val="20"/>
                <w:szCs w:val="20"/>
                <w:color w:val="auto"/>
              </w:rPr>
            </w:pPr>
            <w:r>
              <w:rPr>
                <w:rFonts w:ascii="Arial" w:cs="Arial" w:eastAsia="Arial" w:hAnsi="Arial"/>
                <w:sz w:val="12"/>
                <w:szCs w:val="12"/>
                <w:color w:val="auto"/>
              </w:rPr>
              <w:t>$256,501</w:t>
            </w: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0C0C0"/>
          </w:tcPr>
          <w:p>
            <w:pPr>
              <w:jc w:val="right"/>
              <w:ind w:right="59"/>
              <w:spacing w:after="0"/>
              <w:rPr>
                <w:sz w:val="20"/>
                <w:szCs w:val="20"/>
                <w:color w:val="auto"/>
              </w:rPr>
            </w:pPr>
            <w:r>
              <w:rPr>
                <w:rFonts w:ascii="Arial" w:cs="Arial" w:eastAsia="Arial" w:hAnsi="Arial"/>
                <w:sz w:val="12"/>
                <w:szCs w:val="12"/>
                <w:color w:val="auto"/>
              </w:rPr>
              <w:t>595,091</w:t>
            </w: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0C0C0"/>
          </w:tcPr>
          <w:p>
            <w:pPr>
              <w:jc w:val="right"/>
              <w:ind w:right="119"/>
              <w:spacing w:after="0"/>
              <w:rPr>
                <w:sz w:val="20"/>
                <w:szCs w:val="20"/>
                <w:color w:val="auto"/>
              </w:rPr>
            </w:pPr>
            <w:r>
              <w:rPr>
                <w:rFonts w:ascii="Arial" w:cs="Arial" w:eastAsia="Arial" w:hAnsi="Arial"/>
                <w:sz w:val="12"/>
                <w:szCs w:val="12"/>
                <w:color w:val="auto"/>
                <w:w w:val="97"/>
              </w:rPr>
              <w:t>1,602,720</w:t>
            </w:r>
          </w:p>
        </w:tc>
        <w:tc>
          <w:tcPr>
            <w:tcW w:w="2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6,513,000</w:t>
            </w:r>
          </w:p>
        </w:tc>
        <w:tc>
          <w:tcPr>
            <w:tcW w:w="200" w:type="dxa"/>
            <w:vAlign w:val="bottom"/>
            <w:shd w:val="clear" w:color="auto" w:fill="C0C0C0"/>
          </w:tcPr>
          <w:p>
            <w:pPr>
              <w:spacing w:after="0"/>
              <w:rPr>
                <w:sz w:val="19"/>
                <w:szCs w:val="19"/>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9"/>
              </w:rPr>
              <w:t>10,186,750</w:t>
            </w:r>
          </w:p>
        </w:tc>
        <w:tc>
          <w:tcPr>
            <w:tcW w:w="800" w:type="dxa"/>
            <w:vAlign w:val="bottom"/>
            <w:gridSpan w:val="2"/>
            <w:shd w:val="clear" w:color="auto" w:fill="C0C0C0"/>
          </w:tcPr>
          <w:p>
            <w:pPr>
              <w:jc w:val="center"/>
              <w:ind w:left="119"/>
              <w:spacing w:after="0"/>
              <w:rPr>
                <w:sz w:val="20"/>
                <w:szCs w:val="20"/>
                <w:color w:val="auto"/>
              </w:rPr>
            </w:pPr>
            <w:r>
              <w:rPr>
                <w:rFonts w:ascii="Arial" w:cs="Arial" w:eastAsia="Arial" w:hAnsi="Arial"/>
                <w:sz w:val="12"/>
                <w:szCs w:val="12"/>
                <w:color w:val="auto"/>
              </w:rPr>
              <w:t>$46,132</w:t>
            </w:r>
          </w:p>
        </w:tc>
        <w:tc>
          <w:tcPr>
            <w:tcW w:w="2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2"/>
                <w:szCs w:val="12"/>
                <w:color w:val="auto"/>
              </w:rPr>
              <w:t>75,290</w:t>
            </w:r>
          </w:p>
        </w:tc>
        <w:tc>
          <w:tcPr>
            <w:tcW w:w="1020" w:type="dxa"/>
            <w:vAlign w:val="bottom"/>
            <w:gridSpan w:val="2"/>
            <w:shd w:val="clear" w:color="auto" w:fill="C0C0C0"/>
          </w:tcPr>
          <w:p>
            <w:pPr>
              <w:jc w:val="right"/>
              <w:ind w:right="119"/>
              <w:spacing w:after="0"/>
              <w:rPr>
                <w:sz w:val="20"/>
                <w:szCs w:val="20"/>
                <w:color w:val="auto"/>
              </w:rPr>
            </w:pPr>
            <w:r>
              <w:rPr>
                <w:rFonts w:ascii="Arial" w:cs="Arial" w:eastAsia="Arial" w:hAnsi="Arial"/>
                <w:sz w:val="12"/>
                <w:szCs w:val="12"/>
                <w:color w:val="auto"/>
              </w:rPr>
              <w:t>0</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6"/>
              </w:rPr>
              <w:t>19,275,484</w:t>
            </w:r>
          </w:p>
        </w:tc>
        <w:tc>
          <w:tcPr>
            <w:tcW w:w="20" w:type="dxa"/>
            <w:vAlign w:val="bottom"/>
          </w:tcPr>
          <w:p>
            <w:pPr>
              <w:spacing w:after="0"/>
              <w:rPr>
                <w:sz w:val="19"/>
                <w:szCs w:val="19"/>
                <w:color w:val="auto"/>
              </w:rPr>
            </w:pPr>
          </w:p>
        </w:tc>
      </w:tr>
      <w:tr>
        <w:trPr>
          <w:trHeight w:val="201"/>
        </w:trPr>
        <w:tc>
          <w:tcPr>
            <w:tcW w:w="2600" w:type="dxa"/>
            <w:vAlign w:val="bottom"/>
          </w:tcPr>
          <w:p>
            <w:pPr>
              <w:spacing w:after="0"/>
              <w:rPr>
                <w:sz w:val="20"/>
                <w:szCs w:val="20"/>
                <w:color w:val="auto"/>
              </w:rPr>
            </w:pPr>
            <w:r>
              <w:rPr>
                <w:rFonts w:ascii="Arial" w:cs="Arial" w:eastAsia="Arial" w:hAnsi="Arial"/>
                <w:sz w:val="12"/>
                <w:szCs w:val="12"/>
                <w:color w:val="auto"/>
              </w:rPr>
              <w:t>Delfassy</w:t>
            </w:r>
          </w:p>
        </w:tc>
        <w:tc>
          <w:tcPr>
            <w:tcW w:w="580" w:type="dxa"/>
            <w:vAlign w:val="bottom"/>
            <w:gridSpan w:val="2"/>
          </w:tcPr>
          <w:p>
            <w:pPr>
              <w:jc w:val="center"/>
              <w:ind w:left="139"/>
              <w:spacing w:after="0"/>
              <w:rPr>
                <w:sz w:val="20"/>
                <w:szCs w:val="20"/>
                <w:color w:val="auto"/>
              </w:rPr>
            </w:pPr>
            <w:r>
              <w:rPr>
                <w:rFonts w:ascii="Arial" w:cs="Arial" w:eastAsia="Arial" w:hAnsi="Arial"/>
                <w:sz w:val="12"/>
                <w:szCs w:val="12"/>
                <w:color w:val="auto"/>
                <w:w w:val="95"/>
              </w:rPr>
              <w:t>(1)</w:t>
            </w:r>
          </w:p>
        </w:tc>
        <w:tc>
          <w:tcPr>
            <w:tcW w:w="820" w:type="dxa"/>
            <w:vAlign w:val="bottom"/>
            <w:gridSpan w:val="2"/>
          </w:tcPr>
          <w:p>
            <w:pPr>
              <w:jc w:val="right"/>
              <w:ind w:right="19"/>
              <w:spacing w:after="0"/>
              <w:rPr>
                <w:sz w:val="20"/>
                <w:szCs w:val="20"/>
                <w:color w:val="auto"/>
              </w:rPr>
            </w:pPr>
            <w:r>
              <w:rPr>
                <w:rFonts w:ascii="Arial" w:cs="Arial" w:eastAsia="Arial" w:hAnsi="Arial"/>
                <w:sz w:val="12"/>
                <w:szCs w:val="12"/>
                <w:color w:val="auto"/>
              </w:rPr>
              <w:t>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2"/>
                <w:szCs w:val="12"/>
                <w:color w:val="auto"/>
              </w:rPr>
              <w:t>0</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19"/>
              <w:spacing w:after="0"/>
              <w:rPr>
                <w:sz w:val="20"/>
                <w:szCs w:val="20"/>
                <w:color w:val="auto"/>
              </w:rPr>
            </w:pPr>
            <w:r>
              <w:rPr>
                <w:rFonts w:ascii="Arial" w:cs="Arial" w:eastAsia="Arial" w:hAnsi="Arial"/>
                <w:sz w:val="12"/>
                <w:szCs w:val="12"/>
                <w:color w:val="auto"/>
                <w:w w:val="97"/>
              </w:rPr>
              <w:t>2,466,398</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5,010,000</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4,421,440</w:t>
            </w:r>
          </w:p>
        </w:tc>
        <w:tc>
          <w:tcPr>
            <w:tcW w:w="800" w:type="dxa"/>
            <w:vAlign w:val="bottom"/>
            <w:gridSpan w:val="2"/>
          </w:tcPr>
          <w:p>
            <w:pPr>
              <w:jc w:val="center"/>
              <w:ind w:left="119"/>
              <w:spacing w:after="0"/>
              <w:rPr>
                <w:sz w:val="20"/>
                <w:szCs w:val="20"/>
                <w:color w:val="auto"/>
              </w:rPr>
            </w:pPr>
            <w:r>
              <w:rPr>
                <w:rFonts w:ascii="Arial" w:cs="Arial" w:eastAsia="Arial" w:hAnsi="Arial"/>
                <w:sz w:val="12"/>
                <w:szCs w:val="12"/>
                <w:color w:val="auto"/>
              </w:rPr>
              <w:t>$26,985</w:t>
            </w:r>
          </w:p>
        </w:tc>
        <w:tc>
          <w:tcPr>
            <w:tcW w:w="2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105,752</w:t>
            </w:r>
          </w:p>
        </w:tc>
        <w:tc>
          <w:tcPr>
            <w:tcW w:w="1020" w:type="dxa"/>
            <w:vAlign w:val="bottom"/>
            <w:gridSpan w:val="2"/>
          </w:tcPr>
          <w:p>
            <w:pPr>
              <w:jc w:val="right"/>
              <w:ind w:right="119"/>
              <w:spacing w:after="0"/>
              <w:rPr>
                <w:sz w:val="20"/>
                <w:szCs w:val="20"/>
                <w:color w:val="auto"/>
              </w:rPr>
            </w:pPr>
            <w:r>
              <w:rPr>
                <w:rFonts w:ascii="Arial" w:cs="Arial" w:eastAsia="Arial" w:hAnsi="Arial"/>
                <w:sz w:val="12"/>
                <w:szCs w:val="12"/>
                <w:color w:val="auto"/>
              </w:rPr>
              <w:t>0</w:t>
            </w:r>
          </w:p>
        </w:tc>
        <w:tc>
          <w:tcPr>
            <w:tcW w:w="3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w w:val="96"/>
              </w:rPr>
              <w:t>12,030,575</w:t>
            </w:r>
          </w:p>
        </w:tc>
        <w:tc>
          <w:tcPr>
            <w:tcW w:w="20" w:type="dxa"/>
            <w:vAlign w:val="bottom"/>
          </w:tcPr>
          <w:p>
            <w:pPr>
              <w:spacing w:after="0"/>
              <w:rPr>
                <w:sz w:val="17"/>
                <w:szCs w:val="17"/>
                <w:color w:val="auto"/>
              </w:rPr>
            </w:pPr>
          </w:p>
        </w:tc>
      </w:tr>
      <w:tr>
        <w:trPr>
          <w:trHeight w:val="249"/>
        </w:trPr>
        <w:tc>
          <w:tcPr>
            <w:tcW w:w="2600" w:type="dxa"/>
            <w:vAlign w:val="bottom"/>
          </w:tcPr>
          <w:p>
            <w:pPr>
              <w:spacing w:after="0"/>
              <w:rPr>
                <w:sz w:val="20"/>
                <w:szCs w:val="20"/>
                <w:color w:val="auto"/>
              </w:rPr>
            </w:pPr>
            <w:r>
              <w:rPr>
                <w:rFonts w:ascii="Arial" w:cs="Arial" w:eastAsia="Arial" w:hAnsi="Arial"/>
                <w:sz w:val="20"/>
                <w:szCs w:val="20"/>
                <w:color w:val="auto"/>
              </w:rPr>
              <w:t>____________________</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14" w:lineRule="exact"/>
        <w:rPr>
          <w:sz w:val="20"/>
          <w:szCs w:val="20"/>
          <w:color w:val="auto"/>
        </w:rPr>
      </w:pPr>
    </w:p>
    <w:p>
      <w:pPr>
        <w:ind w:left="402" w:right="180" w:hanging="402"/>
        <w:spacing w:after="0" w:line="250" w:lineRule="auto"/>
        <w:tabs>
          <w:tab w:leader="none" w:pos="402" w:val="left"/>
        </w:tabs>
        <w:numPr>
          <w:ilvl w:val="0"/>
          <w:numId w:val="40"/>
        </w:numPr>
        <w:rPr>
          <w:rFonts w:ascii="Arial" w:cs="Arial" w:eastAsia="Arial" w:hAnsi="Arial"/>
          <w:sz w:val="16"/>
          <w:szCs w:val="16"/>
          <w:color w:val="auto"/>
        </w:rPr>
      </w:pPr>
      <w:r>
        <w:rPr>
          <w:rFonts w:ascii="Arial" w:cs="Arial" w:eastAsia="Arial" w:hAnsi="Arial"/>
          <w:sz w:val="16"/>
          <w:szCs w:val="16"/>
          <w:color w:val="auto"/>
        </w:rPr>
        <w:t>Because the amount of a bonus is subject to the Compensation Committee’s discretion considering the facts and circumstances of the termination, it is not possible to predict the amount of bonus, if any, the executive officer would have received.</w:t>
      </w:r>
    </w:p>
    <w:p>
      <w:pPr>
        <w:spacing w:after="0" w:line="204" w:lineRule="exact"/>
        <w:rPr>
          <w:rFonts w:ascii="Arial" w:cs="Arial" w:eastAsia="Arial" w:hAnsi="Arial"/>
          <w:sz w:val="16"/>
          <w:szCs w:val="16"/>
          <w:color w:val="auto"/>
        </w:rPr>
      </w:pPr>
    </w:p>
    <w:p>
      <w:pPr>
        <w:ind w:left="402" w:right="140" w:hanging="402"/>
        <w:spacing w:after="0" w:line="245" w:lineRule="auto"/>
        <w:tabs>
          <w:tab w:leader="none" w:pos="402" w:val="left"/>
        </w:tabs>
        <w:numPr>
          <w:ilvl w:val="0"/>
          <w:numId w:val="40"/>
        </w:numPr>
        <w:rPr>
          <w:rFonts w:ascii="Arial" w:cs="Arial" w:eastAsia="Arial" w:hAnsi="Arial"/>
          <w:sz w:val="16"/>
          <w:szCs w:val="16"/>
          <w:color w:val="auto"/>
        </w:rPr>
      </w:pPr>
      <w:r>
        <w:rPr>
          <w:rFonts w:ascii="Arial" w:cs="Arial" w:eastAsia="Arial" w:hAnsi="Arial"/>
          <w:sz w:val="16"/>
          <w:szCs w:val="16"/>
          <w:color w:val="auto"/>
        </w:rPr>
        <w:t>Value of the benefit payable in a lump sum to the executive officer’s beneficiary calculated as required by the terms of the plan assuming the earliest possible payment date. The plan provides that in the event of death, the beneficiary receives 50 percent of the participant’s accrued benefit, reduced by the age-applicable joint and 50 percent survivor factor. Mr. Delfassy does not participate in this plan.</w:t>
      </w:r>
    </w:p>
    <w:p>
      <w:pPr>
        <w:spacing w:after="0" w:line="184"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42" w:right="340" w:hanging="442"/>
        <w:spacing w:after="0" w:line="250" w:lineRule="auto"/>
        <w:tabs>
          <w:tab w:leader="none" w:pos="442" w:val="left"/>
        </w:tabs>
        <w:numPr>
          <w:ilvl w:val="0"/>
          <w:numId w:val="41"/>
        </w:numPr>
        <w:rPr>
          <w:rFonts w:ascii="Arial" w:cs="Arial" w:eastAsia="Arial" w:hAnsi="Arial"/>
          <w:sz w:val="16"/>
          <w:szCs w:val="16"/>
          <w:color w:val="auto"/>
        </w:rPr>
      </w:pPr>
      <w:r>
        <w:rPr>
          <w:rFonts w:ascii="Arial" w:cs="Arial" w:eastAsia="Arial" w:hAnsi="Arial"/>
          <w:sz w:val="16"/>
          <w:szCs w:val="16"/>
          <w:color w:val="auto"/>
        </w:rPr>
        <w:t>Aggregate account value as of December 31, 2007. The amounts shown in the 2007 Nonqualified Deferred Compensation table on page 40 include the amounts shown in this column.</w:t>
      </w:r>
    </w:p>
    <w:p>
      <w:pPr>
        <w:spacing w:after="0" w:line="204" w:lineRule="exact"/>
        <w:rPr>
          <w:rFonts w:ascii="Arial" w:cs="Arial" w:eastAsia="Arial" w:hAnsi="Arial"/>
          <w:sz w:val="16"/>
          <w:szCs w:val="16"/>
          <w:color w:val="auto"/>
        </w:rPr>
      </w:pPr>
    </w:p>
    <w:p>
      <w:pPr>
        <w:ind w:left="442" w:right="100" w:hanging="442"/>
        <w:spacing w:after="0" w:line="243" w:lineRule="auto"/>
        <w:tabs>
          <w:tab w:leader="none" w:pos="442" w:val="left"/>
        </w:tabs>
        <w:numPr>
          <w:ilvl w:val="0"/>
          <w:numId w:val="41"/>
        </w:numPr>
        <w:rPr>
          <w:rFonts w:ascii="Arial" w:cs="Arial" w:eastAsia="Arial" w:hAnsi="Arial"/>
          <w:sz w:val="16"/>
          <w:szCs w:val="16"/>
          <w:color w:val="auto"/>
        </w:rPr>
      </w:pPr>
      <w:r>
        <w:rPr>
          <w:rFonts w:ascii="Arial" w:cs="Arial" w:eastAsia="Arial" w:hAnsi="Arial"/>
          <w:sz w:val="16"/>
          <w:szCs w:val="16"/>
          <w:color w:val="auto"/>
        </w:rPr>
        <w:t>Calculated by multiplying the number of outstanding RSUs by the closing price of TI common stock as of December 31, 2007 ($33.40). Because the executive officer’s estate will receive his RSU awards in the event of his death, all outstanding RSUs are assumed to be vested for purposes of this table. Please see the Outstanding Equity Awards at Fiscal Year-End 2007 table on pages 34-35 for the number of unvested RSUs as of December 31, 2007, and see page 37 for a discussion of an additional outstanding RSU award held by Mr. Templeton.</w:t>
      </w:r>
    </w:p>
    <w:p>
      <w:pPr>
        <w:spacing w:after="0" w:line="210" w:lineRule="exact"/>
        <w:rPr>
          <w:rFonts w:ascii="Arial" w:cs="Arial" w:eastAsia="Arial" w:hAnsi="Arial"/>
          <w:sz w:val="16"/>
          <w:szCs w:val="16"/>
          <w:color w:val="auto"/>
        </w:rPr>
      </w:pPr>
    </w:p>
    <w:p>
      <w:pPr>
        <w:ind w:left="442" w:right="160" w:hanging="442"/>
        <w:spacing w:after="0" w:line="245" w:lineRule="auto"/>
        <w:tabs>
          <w:tab w:leader="none" w:pos="442" w:val="left"/>
        </w:tabs>
        <w:numPr>
          <w:ilvl w:val="0"/>
          <w:numId w:val="41"/>
        </w:numPr>
        <w:rPr>
          <w:rFonts w:ascii="Arial" w:cs="Arial" w:eastAsia="Arial" w:hAnsi="Arial"/>
          <w:sz w:val="16"/>
          <w:szCs w:val="16"/>
          <w:color w:val="auto"/>
        </w:rPr>
      </w:pPr>
      <w:r>
        <w:rPr>
          <w:rFonts w:ascii="Arial" w:cs="Arial" w:eastAsia="Arial" w:hAnsi="Arial"/>
          <w:sz w:val="16"/>
          <w:szCs w:val="16"/>
          <w:color w:val="auto"/>
        </w:rPr>
        <w:t>Calculated as the difference between the grant price of all outstanding in-the-money options and the closing price of TI common stock as of December 31, 2007 ($33.40), multiplied by the number of shares under such options as of December 31, 2007. Because the executive officer’s estate will inherit his options and they will continue to become exercisable according to their terms, all outstanding options (exercisable and unexercisable) are assumed to be</w:t>
      </w:r>
    </w:p>
    <w:p>
      <w:pPr>
        <w:sectPr>
          <w:pgSz w:w="11900" w:h="16838" w:orient="portrait"/>
          <w:cols w:equalWidth="0" w:num="1">
            <w:col w:w="11442"/>
          </w:cols>
          <w:pgMar w:left="238" w:top="124" w:right="219" w:bottom="0" w:gutter="0" w:footer="0" w:header="0"/>
        </w:sectPr>
      </w:pPr>
    </w:p>
    <w:bookmarkStart w:id="29" w:name="page30"/>
    <w:bookmarkEnd w:id="29"/>
    <w:p>
      <w:pPr>
        <w:ind w:left="442" w:right="760"/>
        <w:spacing w:after="0" w:line="250" w:lineRule="auto"/>
        <w:rPr>
          <w:sz w:val="20"/>
          <w:szCs w:val="20"/>
          <w:color w:val="auto"/>
        </w:rPr>
      </w:pPr>
      <w:r>
        <w:rPr>
          <w:rFonts w:ascii="Arial" w:cs="Arial" w:eastAsia="Arial" w:hAnsi="Arial"/>
          <w:sz w:val="16"/>
          <w:szCs w:val="16"/>
          <w:color w:val="auto"/>
        </w:rPr>
        <w:t>exercisable for purposes of this table. Please see the Outstanding Equity Awards at Fiscal Year-End 2007 table on pages 34-35 for the number of exercisable and unexercisable options as of December 31, 2007.</w:t>
      </w:r>
    </w:p>
    <w:p>
      <w:pPr>
        <w:spacing w:after="0" w:line="205" w:lineRule="exact"/>
        <w:rPr>
          <w:sz w:val="20"/>
          <w:szCs w:val="20"/>
          <w:color w:val="auto"/>
        </w:rPr>
      </w:pPr>
    </w:p>
    <w:p>
      <w:pPr>
        <w:ind w:left="442" w:hanging="442"/>
        <w:spacing w:after="0"/>
        <w:tabs>
          <w:tab w:leader="none" w:pos="442" w:val="left"/>
        </w:tabs>
        <w:numPr>
          <w:ilvl w:val="0"/>
          <w:numId w:val="42"/>
        </w:numPr>
        <w:rPr>
          <w:rFonts w:ascii="Arial" w:cs="Arial" w:eastAsia="Arial" w:hAnsi="Arial"/>
          <w:sz w:val="16"/>
          <w:szCs w:val="16"/>
          <w:color w:val="auto"/>
        </w:rPr>
      </w:pPr>
      <w:r>
        <w:rPr>
          <w:rFonts w:ascii="Arial" w:cs="Arial" w:eastAsia="Arial" w:hAnsi="Arial"/>
          <w:sz w:val="16"/>
          <w:szCs w:val="16"/>
          <w:color w:val="auto"/>
        </w:rPr>
        <w:t>Amounts earned in 2007.</w:t>
      </w:r>
    </w:p>
    <w:p>
      <w:pPr>
        <w:spacing w:after="0" w:line="220" w:lineRule="exact"/>
        <w:rPr>
          <w:rFonts w:ascii="Arial" w:cs="Arial" w:eastAsia="Arial" w:hAnsi="Arial"/>
          <w:sz w:val="16"/>
          <w:szCs w:val="16"/>
          <w:color w:val="auto"/>
        </w:rPr>
      </w:pPr>
    </w:p>
    <w:p>
      <w:pPr>
        <w:ind w:left="442" w:right="160" w:hanging="442"/>
        <w:spacing w:after="0" w:line="250" w:lineRule="auto"/>
        <w:tabs>
          <w:tab w:leader="none" w:pos="442" w:val="left"/>
        </w:tabs>
        <w:numPr>
          <w:ilvl w:val="0"/>
          <w:numId w:val="42"/>
        </w:numPr>
        <w:rPr>
          <w:rFonts w:ascii="Arial" w:cs="Arial" w:eastAsia="Arial" w:hAnsi="Arial"/>
          <w:sz w:val="16"/>
          <w:szCs w:val="16"/>
          <w:color w:val="auto"/>
        </w:rPr>
      </w:pPr>
      <w:r>
        <w:rPr>
          <w:rFonts w:ascii="Arial" w:cs="Arial" w:eastAsia="Arial" w:hAnsi="Arial"/>
          <w:sz w:val="16"/>
          <w:szCs w:val="16"/>
          <w:color w:val="auto"/>
        </w:rPr>
        <w:t>Calculated by multiplying the number of hours remaining in the named executive officer’s time bank by the applicable base salary rate as of December 31, 2007.</w:t>
      </w:r>
    </w:p>
    <w:p>
      <w:pPr>
        <w:spacing w:after="0" w:line="204" w:lineRule="exact"/>
        <w:rPr>
          <w:rFonts w:ascii="Arial" w:cs="Arial" w:eastAsia="Arial" w:hAnsi="Arial"/>
          <w:sz w:val="16"/>
          <w:szCs w:val="16"/>
          <w:color w:val="auto"/>
        </w:rPr>
      </w:pPr>
    </w:p>
    <w:p>
      <w:pPr>
        <w:ind w:left="442" w:hanging="442"/>
        <w:spacing w:after="0"/>
        <w:tabs>
          <w:tab w:leader="none" w:pos="442"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Proceeds of Mr. Engibous’s executive life insurance policy.</w:t>
      </w:r>
    </w:p>
    <w:p>
      <w:pPr>
        <w:spacing w:after="0" w:line="17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Involuntary Termination For Cause</w:t>
      </w:r>
    </w:p>
    <w:p>
      <w:pPr>
        <w:spacing w:after="0" w:line="284"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2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Qualified</w:t>
            </w:r>
          </w:p>
        </w:tc>
        <w:tc>
          <w:tcPr>
            <w:tcW w:w="20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2"/>
                <w:szCs w:val="12"/>
                <w:b w:val="1"/>
                <w:bCs w:val="1"/>
                <w:color w:val="auto"/>
              </w:rPr>
              <w:t>Nonqualified</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Defined</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center"/>
              <w:ind w:right="119"/>
              <w:spacing w:after="0"/>
              <w:rPr>
                <w:sz w:val="20"/>
                <w:szCs w:val="20"/>
                <w:color w:val="auto"/>
              </w:rPr>
            </w:pPr>
            <w:r>
              <w:rPr>
                <w:rFonts w:ascii="Arial" w:cs="Arial" w:eastAsia="Arial" w:hAnsi="Arial"/>
                <w:sz w:val="12"/>
                <w:szCs w:val="12"/>
                <w:b w:val="1"/>
                <w:bCs w:val="1"/>
                <w:color w:val="auto"/>
                <w:w w:val="99"/>
              </w:rPr>
              <w:t>Defined</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Benefit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center"/>
              <w:ind w:right="119"/>
              <w:spacing w:after="0"/>
              <w:rPr>
                <w:sz w:val="20"/>
                <w:szCs w:val="20"/>
                <w:color w:val="auto"/>
              </w:rPr>
            </w:pPr>
            <w:r>
              <w:rPr>
                <w:rFonts w:ascii="Arial" w:cs="Arial" w:eastAsia="Arial" w:hAnsi="Arial"/>
                <w:sz w:val="12"/>
                <w:szCs w:val="12"/>
                <w:b w:val="1"/>
                <w:bCs w:val="1"/>
                <w:color w:val="auto"/>
                <w:w w:val="98"/>
              </w:rPr>
              <w:t>Benefit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w w:val="98"/>
              </w:rPr>
              <w:t>Pension</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center"/>
              <w:ind w:right="119"/>
              <w:spacing w:after="0"/>
              <w:rPr>
                <w:sz w:val="20"/>
                <w:szCs w:val="20"/>
                <w:color w:val="auto"/>
              </w:rPr>
            </w:pPr>
            <w:r>
              <w:rPr>
                <w:rFonts w:ascii="Arial" w:cs="Arial" w:eastAsia="Arial" w:hAnsi="Arial"/>
                <w:sz w:val="12"/>
                <w:szCs w:val="12"/>
                <w:b w:val="1"/>
                <w:bCs w:val="1"/>
                <w:color w:val="auto"/>
              </w:rPr>
              <w:t>Pension</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center"/>
              <w:ind w:right="159"/>
              <w:spacing w:after="0"/>
              <w:rPr>
                <w:sz w:val="20"/>
                <w:szCs w:val="20"/>
                <w:color w:val="auto"/>
              </w:rPr>
            </w:pPr>
            <w:r>
              <w:rPr>
                <w:rFonts w:ascii="Arial" w:cs="Arial" w:eastAsia="Arial" w:hAnsi="Arial"/>
                <w:sz w:val="12"/>
                <w:szCs w:val="12"/>
                <w:b w:val="1"/>
                <w:bCs w:val="1"/>
                <w:color w:val="auto"/>
              </w:rPr>
              <w:t>Deferred</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Profit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9"/>
              </w:rPr>
              <w:t>Time</w:t>
            </w:r>
          </w:p>
        </w:tc>
        <w:tc>
          <w:tcPr>
            <w:tcW w:w="9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Perquisites</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2"/>
                <w:szCs w:val="12"/>
                <w:b w:val="1"/>
                <w:bCs w:val="1"/>
                <w:color w:val="auto"/>
              </w:rPr>
              <w:t>Bonus</w:t>
            </w:r>
          </w:p>
        </w:tc>
        <w:tc>
          <w:tcPr>
            <w:tcW w:w="200" w:type="dxa"/>
            <w:vAlign w:val="bottom"/>
          </w:tcPr>
          <w:p>
            <w:pPr>
              <w:spacing w:after="0"/>
              <w:rPr>
                <w:sz w:val="19"/>
                <w:szCs w:val="19"/>
                <w:color w:val="auto"/>
              </w:rPr>
            </w:pPr>
          </w:p>
        </w:tc>
        <w:tc>
          <w:tcPr>
            <w:tcW w:w="660" w:type="dxa"/>
            <w:vAlign w:val="bottom"/>
          </w:tcPr>
          <w:p>
            <w:pPr>
              <w:jc w:val="center"/>
              <w:spacing w:after="0"/>
              <w:rPr>
                <w:sz w:val="20"/>
                <w:szCs w:val="20"/>
                <w:color w:val="auto"/>
              </w:rPr>
            </w:pPr>
            <w:r>
              <w:rPr>
                <w:rFonts w:ascii="Arial" w:cs="Arial" w:eastAsia="Arial" w:hAnsi="Arial"/>
                <w:sz w:val="12"/>
                <w:szCs w:val="12"/>
                <w:b w:val="1"/>
                <w:bCs w:val="1"/>
                <w:color w:val="auto"/>
              </w:rPr>
              <w:t>Plan</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center"/>
              <w:ind w:right="139"/>
              <w:spacing w:after="0"/>
              <w:rPr>
                <w:sz w:val="20"/>
                <w:szCs w:val="20"/>
                <w:color w:val="auto"/>
              </w:rPr>
            </w:pPr>
            <w:r>
              <w:rPr>
                <w:rFonts w:ascii="Arial" w:cs="Arial" w:eastAsia="Arial" w:hAnsi="Arial"/>
                <w:sz w:val="12"/>
                <w:szCs w:val="12"/>
                <w:b w:val="1"/>
                <w:bCs w:val="1"/>
                <w:color w:val="auto"/>
              </w:rPr>
              <w:t>Plan</w:t>
            </w:r>
          </w:p>
        </w:tc>
        <w:tc>
          <w:tcPr>
            <w:tcW w:w="200" w:type="dxa"/>
            <w:vAlign w:val="bottom"/>
          </w:tcPr>
          <w:p>
            <w:pPr>
              <w:spacing w:after="0"/>
              <w:rPr>
                <w:sz w:val="19"/>
                <w:szCs w:val="19"/>
                <w:color w:val="auto"/>
              </w:rPr>
            </w:pPr>
          </w:p>
        </w:tc>
        <w:tc>
          <w:tcPr>
            <w:tcW w:w="960" w:type="dxa"/>
            <w:vAlign w:val="bottom"/>
            <w:gridSpan w:val="2"/>
          </w:tcPr>
          <w:p>
            <w:pPr>
              <w:jc w:val="center"/>
              <w:spacing w:after="0"/>
              <w:rPr>
                <w:sz w:val="20"/>
                <w:szCs w:val="20"/>
                <w:color w:val="auto"/>
              </w:rPr>
            </w:pPr>
            <w:r>
              <w:rPr>
                <w:rFonts w:ascii="Arial" w:cs="Arial" w:eastAsia="Arial" w:hAnsi="Arial"/>
                <w:sz w:val="12"/>
                <w:szCs w:val="12"/>
                <w:b w:val="1"/>
                <w:bCs w:val="1"/>
                <w:color w:val="auto"/>
              </w:rPr>
              <w:t>Compensation</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Stock</w:t>
            </w:r>
          </w:p>
        </w:tc>
        <w:tc>
          <w:tcPr>
            <w:tcW w:w="200" w:type="dxa"/>
            <w:vAlign w:val="bottom"/>
          </w:tcPr>
          <w:p>
            <w:pPr>
              <w:spacing w:after="0"/>
              <w:rPr>
                <w:sz w:val="19"/>
                <w:szCs w:val="19"/>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Sharing</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Bank</w:t>
            </w:r>
          </w:p>
        </w:tc>
        <w:tc>
          <w:tcPr>
            <w:tcW w:w="9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and Life</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7"/>
        </w:trPr>
        <w:tc>
          <w:tcPr>
            <w:tcW w:w="2760" w:type="dxa"/>
            <w:vAlign w:val="bottom"/>
            <w:tcBorders>
              <w:bottom w:val="single" w:sz="8" w:color="auto"/>
            </w:tcBorders>
          </w:tcPr>
          <w:p>
            <w:pPr>
              <w:ind w:left="1220"/>
              <w:spacing w:after="0"/>
              <w:rPr>
                <w:sz w:val="20"/>
                <w:szCs w:val="20"/>
                <w:color w:val="auto"/>
              </w:rPr>
            </w:pPr>
            <w:r>
              <w:rPr>
                <w:rFonts w:ascii="Arial" w:cs="Arial" w:eastAsia="Arial" w:hAnsi="Arial"/>
                <w:sz w:val="12"/>
                <w:szCs w:val="12"/>
                <w:b w:val="1"/>
                <w:bCs w:val="1"/>
                <w:color w:val="auto"/>
              </w:rPr>
              <w:t>Name</w:t>
            </w:r>
          </w:p>
        </w:tc>
        <w:tc>
          <w:tcPr>
            <w:tcW w:w="200" w:type="dxa"/>
            <w:vAlign w:val="bottom"/>
          </w:tcPr>
          <w:p>
            <w:pPr>
              <w:spacing w:after="0"/>
              <w:rPr>
                <w:sz w:val="17"/>
                <w:szCs w:val="17"/>
                <w:color w:val="auto"/>
              </w:rPr>
            </w:pPr>
          </w:p>
        </w:tc>
        <w:tc>
          <w:tcPr>
            <w:tcW w:w="400" w:type="dxa"/>
            <w:vAlign w:val="bottom"/>
            <w:tcBorders>
              <w:bottom w:val="single" w:sz="8" w:color="auto"/>
            </w:tcBorders>
          </w:tcPr>
          <w:p>
            <w:pPr>
              <w:jc w:val="right"/>
              <w:ind w:right="59"/>
              <w:spacing w:after="0"/>
              <w:rPr>
                <w:sz w:val="20"/>
                <w:szCs w:val="20"/>
                <w:color w:val="auto"/>
              </w:rPr>
            </w:pPr>
            <w:r>
              <w:rPr>
                <w:rFonts w:ascii="Arial" w:cs="Arial" w:eastAsia="Arial" w:hAnsi="Arial"/>
                <w:sz w:val="12"/>
                <w:szCs w:val="12"/>
                <w:b w:val="1"/>
                <w:bCs w:val="1"/>
                <w:color w:val="auto"/>
              </w:rPr>
              <w:t>(1)</w:t>
            </w:r>
          </w:p>
        </w:tc>
        <w:tc>
          <w:tcPr>
            <w:tcW w:w="20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(2)</w:t>
            </w: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119"/>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center"/>
              <w:ind w:right="159"/>
              <w:spacing w:after="0"/>
              <w:rPr>
                <w:sz w:val="20"/>
                <w:szCs w:val="20"/>
                <w:color w:val="auto"/>
              </w:rPr>
            </w:pPr>
            <w:r>
              <w:rPr>
                <w:rFonts w:ascii="Arial" w:cs="Arial" w:eastAsia="Arial" w:hAnsi="Arial"/>
                <w:sz w:val="12"/>
                <w:szCs w:val="12"/>
                <w:b w:val="1"/>
                <w:bCs w:val="1"/>
                <w:color w:val="auto"/>
                <w:w w:val="95"/>
              </w:rPr>
              <w:t>(3)</w:t>
            </w:r>
          </w:p>
        </w:tc>
        <w:tc>
          <w:tcPr>
            <w:tcW w:w="200" w:type="dxa"/>
            <w:vAlign w:val="bottom"/>
          </w:tcPr>
          <w:p>
            <w:pPr>
              <w:spacing w:after="0"/>
              <w:rPr>
                <w:sz w:val="17"/>
                <w:szCs w:val="17"/>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RSUs</w:t>
            </w:r>
          </w:p>
        </w:tc>
        <w:tc>
          <w:tcPr>
            <w:tcW w:w="200" w:type="dxa"/>
            <w:vAlign w:val="bottom"/>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6"/>
              </w:rPr>
              <w:t>Options</w:t>
            </w:r>
          </w:p>
        </w:tc>
        <w:tc>
          <w:tcPr>
            <w:tcW w:w="200" w:type="dxa"/>
            <w:vAlign w:val="bottom"/>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(5)</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center"/>
              <w:ind w:right="39"/>
              <w:spacing w:after="0"/>
              <w:rPr>
                <w:sz w:val="20"/>
                <w:szCs w:val="20"/>
                <w:color w:val="auto"/>
              </w:rPr>
            </w:pPr>
            <w:r>
              <w:rPr>
                <w:rFonts w:ascii="Arial" w:cs="Arial" w:eastAsia="Arial" w:hAnsi="Arial"/>
                <w:sz w:val="12"/>
                <w:szCs w:val="12"/>
                <w:b w:val="1"/>
                <w:bCs w:val="1"/>
                <w:color w:val="auto"/>
              </w:rPr>
              <w:t>(6)</w:t>
            </w:r>
          </w:p>
        </w:tc>
        <w:tc>
          <w:tcPr>
            <w:tcW w:w="180" w:type="dxa"/>
            <w:vAlign w:val="bottom"/>
          </w:tcPr>
          <w:p>
            <w:pPr>
              <w:spacing w:after="0"/>
              <w:rPr>
                <w:sz w:val="17"/>
                <w:szCs w:val="17"/>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Insurance</w:t>
            </w:r>
          </w:p>
        </w:tc>
        <w:tc>
          <w:tcPr>
            <w:tcW w:w="200" w:type="dxa"/>
            <w:vAlign w:val="bottom"/>
          </w:tcPr>
          <w:p>
            <w:pPr>
              <w:spacing w:after="0"/>
              <w:rPr>
                <w:sz w:val="17"/>
                <w:szCs w:val="17"/>
                <w:color w:val="auto"/>
              </w:rPr>
            </w:pPr>
          </w:p>
        </w:tc>
        <w:tc>
          <w:tcPr>
            <w:tcW w:w="64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Total</w:t>
            </w:r>
          </w:p>
        </w:tc>
        <w:tc>
          <w:tcPr>
            <w:tcW w:w="20" w:type="dxa"/>
            <w:vAlign w:val="bottom"/>
          </w:tcPr>
          <w:p>
            <w:pPr>
              <w:spacing w:after="0"/>
              <w:rPr>
                <w:sz w:val="17"/>
                <w:szCs w:val="17"/>
                <w:color w:val="auto"/>
              </w:rPr>
            </w:pPr>
          </w:p>
        </w:tc>
      </w:tr>
      <w:tr>
        <w:trPr>
          <w:trHeight w:val="213"/>
        </w:trPr>
        <w:tc>
          <w:tcPr>
            <w:tcW w:w="2760" w:type="dxa"/>
            <w:vAlign w:val="bottom"/>
            <w:shd w:val="clear" w:color="auto" w:fill="C0C0C0"/>
          </w:tcPr>
          <w:p>
            <w:pPr>
              <w:spacing w:after="0"/>
              <w:rPr>
                <w:sz w:val="20"/>
                <w:szCs w:val="20"/>
                <w:color w:val="auto"/>
              </w:rPr>
            </w:pPr>
            <w:r>
              <w:rPr>
                <w:rFonts w:ascii="Arial" w:cs="Arial" w:eastAsia="Arial" w:hAnsi="Arial"/>
                <w:sz w:val="12"/>
                <w:szCs w:val="12"/>
                <w:color w:val="auto"/>
              </w:rPr>
              <w:t>Templeton</w:t>
            </w:r>
          </w:p>
        </w:tc>
        <w:tc>
          <w:tcPr>
            <w:tcW w:w="600" w:type="dxa"/>
            <w:vAlign w:val="bottom"/>
            <w:gridSpan w:val="2"/>
            <w:shd w:val="clear" w:color="auto" w:fill="C0C0C0"/>
          </w:tcPr>
          <w:p>
            <w:pPr>
              <w:jc w:val="right"/>
              <w:ind w:right="99"/>
              <w:spacing w:after="0"/>
              <w:rPr>
                <w:sz w:val="20"/>
                <w:szCs w:val="20"/>
                <w:color w:val="auto"/>
              </w:rPr>
            </w:pPr>
            <w:r>
              <w:rPr>
                <w:rFonts w:ascii="Arial" w:cs="Arial" w:eastAsia="Arial" w:hAnsi="Arial"/>
                <w:sz w:val="12"/>
                <w:szCs w:val="12"/>
                <w:color w:val="auto"/>
              </w:rPr>
              <w:t>0</w:t>
            </w: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$364,975</w:t>
            </w:r>
          </w:p>
        </w:tc>
        <w:tc>
          <w:tcPr>
            <w:tcW w:w="3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0C0C0"/>
          </w:tcPr>
          <w:p>
            <w:pPr>
              <w:jc w:val="right"/>
              <w:ind w:right="59"/>
              <w:spacing w:after="0"/>
              <w:rPr>
                <w:sz w:val="20"/>
                <w:szCs w:val="20"/>
                <w:color w:val="auto"/>
              </w:rPr>
            </w:pPr>
            <w:r>
              <w:rPr>
                <w:rFonts w:ascii="Arial" w:cs="Arial" w:eastAsia="Arial" w:hAnsi="Arial"/>
                <w:sz w:val="12"/>
                <w:szCs w:val="12"/>
                <w:color w:val="auto"/>
              </w:rPr>
              <w:t>269,691</w:t>
            </w:r>
          </w:p>
        </w:tc>
        <w:tc>
          <w:tcPr>
            <w:tcW w:w="4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0C0C0"/>
          </w:tcPr>
          <w:p>
            <w:pPr>
              <w:jc w:val="right"/>
              <w:ind w:right="139"/>
              <w:spacing w:after="0"/>
              <w:rPr>
                <w:sz w:val="20"/>
                <w:szCs w:val="20"/>
                <w:color w:val="auto"/>
              </w:rPr>
            </w:pPr>
            <w:r>
              <w:rPr>
                <w:rFonts w:ascii="Arial" w:cs="Arial" w:eastAsia="Arial" w:hAnsi="Arial"/>
                <w:sz w:val="12"/>
                <w:szCs w:val="12"/>
                <w:color w:val="auto"/>
              </w:rPr>
              <w:t>3,294,862</w:t>
            </w:r>
          </w:p>
        </w:tc>
        <w:tc>
          <w:tcPr>
            <w:tcW w:w="1220" w:type="dxa"/>
            <w:vAlign w:val="bottom"/>
            <w:gridSpan w:val="3"/>
            <w:shd w:val="clear" w:color="auto" w:fill="C0C0C0"/>
          </w:tcPr>
          <w:p>
            <w:pPr>
              <w:jc w:val="right"/>
              <w:ind w:right="200"/>
              <w:spacing w:after="0"/>
              <w:rPr>
                <w:sz w:val="20"/>
                <w:szCs w:val="20"/>
                <w:color w:val="auto"/>
              </w:rPr>
            </w:pPr>
            <w:r>
              <w:rPr>
                <w:rFonts w:ascii="Arial" w:cs="Arial" w:eastAsia="Arial" w:hAnsi="Arial"/>
                <w:sz w:val="12"/>
                <w:szCs w:val="12"/>
                <w:color w:val="auto"/>
              </w:rPr>
              <w:t>$4,008,000 (4)</w:t>
            </w:r>
          </w:p>
        </w:tc>
        <w:tc>
          <w:tcPr>
            <w:tcW w:w="460" w:type="dxa"/>
            <w:vAlign w:val="bottom"/>
            <w:shd w:val="clear" w:color="auto" w:fill="C0C0C0"/>
          </w:tcPr>
          <w:p>
            <w:pPr>
              <w:jc w:val="right"/>
              <w:ind w:right="159"/>
              <w:spacing w:after="0"/>
              <w:rPr>
                <w:sz w:val="20"/>
                <w:szCs w:val="20"/>
                <w:color w:val="auto"/>
              </w:rPr>
            </w:pPr>
            <w:r>
              <w:rPr>
                <w:rFonts w:ascii="Arial" w:cs="Arial" w:eastAsia="Arial" w:hAnsi="Arial"/>
                <w:sz w:val="12"/>
                <w:szCs w:val="12"/>
                <w:color w:val="auto"/>
              </w:rPr>
              <w:t>0</w:t>
            </w:r>
          </w:p>
        </w:tc>
        <w:tc>
          <w:tcPr>
            <w:tcW w:w="800" w:type="dxa"/>
            <w:vAlign w:val="bottom"/>
            <w:gridSpan w:val="2"/>
            <w:shd w:val="clear" w:color="auto" w:fill="C0C0C0"/>
          </w:tcPr>
          <w:p>
            <w:pPr>
              <w:jc w:val="center"/>
              <w:ind w:left="159"/>
              <w:spacing w:after="0"/>
              <w:rPr>
                <w:sz w:val="20"/>
                <w:szCs w:val="20"/>
                <w:color w:val="auto"/>
              </w:rPr>
            </w:pPr>
            <w:r>
              <w:rPr>
                <w:rFonts w:ascii="Arial" w:cs="Arial" w:eastAsia="Arial" w:hAnsi="Arial"/>
                <w:sz w:val="12"/>
                <w:szCs w:val="12"/>
                <w:color w:val="auto"/>
              </w:rPr>
              <w:t>$95,822</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149,517</w:t>
            </w:r>
          </w:p>
        </w:tc>
        <w:tc>
          <w:tcPr>
            <w:tcW w:w="180" w:type="dxa"/>
            <w:vAlign w:val="bottom"/>
            <w:shd w:val="clear" w:color="auto" w:fill="C0C0C0"/>
          </w:tcPr>
          <w:p>
            <w:pPr>
              <w:spacing w:after="0"/>
              <w:rPr>
                <w:sz w:val="18"/>
                <w:szCs w:val="18"/>
                <w:color w:val="auto"/>
              </w:rPr>
            </w:pPr>
          </w:p>
        </w:tc>
        <w:tc>
          <w:tcPr>
            <w:tcW w:w="740" w:type="dxa"/>
            <w:vAlign w:val="bottom"/>
            <w:shd w:val="clear" w:color="auto" w:fill="C0C0C0"/>
          </w:tcPr>
          <w:p>
            <w:pPr>
              <w:jc w:val="right"/>
              <w:ind w:right="119"/>
              <w:spacing w:after="0"/>
              <w:rPr>
                <w:sz w:val="20"/>
                <w:szCs w:val="20"/>
                <w:color w:val="auto"/>
              </w:rPr>
            </w:pPr>
            <w:r>
              <w:rPr>
                <w:rFonts w:ascii="Arial" w:cs="Arial" w:eastAsia="Arial" w:hAnsi="Arial"/>
                <w:sz w:val="12"/>
                <w:szCs w:val="12"/>
                <w:color w:val="auto"/>
              </w:rPr>
              <w:t>0</w:t>
            </w:r>
          </w:p>
        </w:tc>
        <w:tc>
          <w:tcPr>
            <w:tcW w:w="200" w:type="dxa"/>
            <w:vAlign w:val="bottom"/>
            <w:shd w:val="clear" w:color="auto" w:fill="C0C0C0"/>
          </w:tcPr>
          <w:p>
            <w:pPr>
              <w:spacing w:after="0"/>
              <w:rPr>
                <w:sz w:val="18"/>
                <w:szCs w:val="18"/>
                <w:color w:val="auto"/>
              </w:rPr>
            </w:pPr>
          </w:p>
        </w:tc>
        <w:tc>
          <w:tcPr>
            <w:tcW w:w="640" w:type="dxa"/>
            <w:vAlign w:val="bottom"/>
            <w:shd w:val="clear" w:color="auto" w:fill="C0C0C0"/>
          </w:tcPr>
          <w:p>
            <w:pPr>
              <w:ind w:left="40"/>
              <w:spacing w:after="0"/>
              <w:rPr>
                <w:sz w:val="20"/>
                <w:szCs w:val="20"/>
                <w:color w:val="auto"/>
              </w:rPr>
            </w:pPr>
            <w:r>
              <w:rPr>
                <w:rFonts w:ascii="Arial" w:cs="Arial" w:eastAsia="Arial" w:hAnsi="Arial"/>
                <w:sz w:val="12"/>
                <w:szCs w:val="12"/>
                <w:color w:val="auto"/>
                <w:w w:val="96"/>
              </w:rPr>
              <w:t>$8,182,867</w:t>
            </w:r>
          </w:p>
        </w:tc>
        <w:tc>
          <w:tcPr>
            <w:tcW w:w="20" w:type="dxa"/>
            <w:vAlign w:val="bottom"/>
          </w:tcPr>
          <w:p>
            <w:pPr>
              <w:spacing w:after="0"/>
              <w:rPr>
                <w:sz w:val="18"/>
                <w:szCs w:val="18"/>
                <w:color w:val="auto"/>
              </w:rPr>
            </w:pPr>
          </w:p>
        </w:tc>
      </w:tr>
      <w:tr>
        <w:trPr>
          <w:trHeight w:val="221"/>
        </w:trPr>
        <w:tc>
          <w:tcPr>
            <w:tcW w:w="2760" w:type="dxa"/>
            <w:vAlign w:val="bottom"/>
          </w:tcPr>
          <w:p>
            <w:pPr>
              <w:spacing w:after="0"/>
              <w:rPr>
                <w:sz w:val="20"/>
                <w:szCs w:val="20"/>
                <w:color w:val="auto"/>
              </w:rPr>
            </w:pPr>
            <w:r>
              <w:rPr>
                <w:rFonts w:ascii="Arial" w:cs="Arial" w:eastAsia="Arial" w:hAnsi="Arial"/>
                <w:sz w:val="12"/>
                <w:szCs w:val="12"/>
                <w:color w:val="auto"/>
              </w:rPr>
              <w:t>March</w:t>
            </w:r>
          </w:p>
        </w:tc>
        <w:tc>
          <w:tcPr>
            <w:tcW w:w="600" w:type="dxa"/>
            <w:vAlign w:val="bottom"/>
            <w:gridSpan w:val="2"/>
          </w:tcPr>
          <w:p>
            <w:pPr>
              <w:jc w:val="right"/>
              <w:ind w:right="99"/>
              <w:spacing w:after="0"/>
              <w:rPr>
                <w:sz w:val="20"/>
                <w:szCs w:val="20"/>
                <w:color w:val="auto"/>
              </w:rPr>
            </w:pPr>
            <w:r>
              <w:rPr>
                <w:rFonts w:ascii="Arial" w:cs="Arial" w:eastAsia="Arial" w:hAnsi="Arial"/>
                <w:sz w:val="12"/>
                <w:szCs w:val="12"/>
                <w:color w:val="auto"/>
              </w:rPr>
              <w:t>0</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$318,956</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59"/>
              <w:spacing w:after="0"/>
              <w:rPr>
                <w:sz w:val="20"/>
                <w:szCs w:val="20"/>
                <w:color w:val="auto"/>
              </w:rPr>
            </w:pPr>
            <w:r>
              <w:rPr>
                <w:rFonts w:ascii="Arial" w:cs="Arial" w:eastAsia="Arial" w:hAnsi="Arial"/>
                <w:sz w:val="12"/>
                <w:szCs w:val="12"/>
                <w:color w:val="auto"/>
              </w:rPr>
              <w:t>856,338</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39"/>
              <w:spacing w:after="0"/>
              <w:rPr>
                <w:sz w:val="20"/>
                <w:szCs w:val="20"/>
                <w:color w:val="auto"/>
              </w:rPr>
            </w:pPr>
            <w:r>
              <w:rPr>
                <w:rFonts w:ascii="Arial" w:cs="Arial" w:eastAsia="Arial" w:hAnsi="Arial"/>
                <w:sz w:val="12"/>
                <w:szCs w:val="12"/>
                <w:color w:val="auto"/>
              </w:rPr>
              <w:t>90,410</w:t>
            </w:r>
          </w:p>
        </w:tc>
        <w:tc>
          <w:tcPr>
            <w:tcW w:w="1020" w:type="dxa"/>
            <w:vAlign w:val="bottom"/>
            <w:gridSpan w:val="2"/>
          </w:tcPr>
          <w:p>
            <w:pPr>
              <w:jc w:val="right"/>
              <w:ind w:right="119"/>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9"/>
                <w:szCs w:val="19"/>
                <w:color w:val="auto"/>
              </w:rPr>
            </w:pPr>
          </w:p>
        </w:tc>
        <w:tc>
          <w:tcPr>
            <w:tcW w:w="460" w:type="dxa"/>
            <w:vAlign w:val="bottom"/>
          </w:tcPr>
          <w:p>
            <w:pPr>
              <w:jc w:val="right"/>
              <w:ind w:right="159"/>
              <w:spacing w:after="0"/>
              <w:rPr>
                <w:sz w:val="20"/>
                <w:szCs w:val="20"/>
                <w:color w:val="auto"/>
              </w:rPr>
            </w:pPr>
            <w:r>
              <w:rPr>
                <w:rFonts w:ascii="Arial" w:cs="Arial" w:eastAsia="Arial" w:hAnsi="Arial"/>
                <w:sz w:val="12"/>
                <w:szCs w:val="12"/>
                <w:color w:val="auto"/>
              </w:rPr>
              <w:t>0</w:t>
            </w:r>
          </w:p>
        </w:tc>
        <w:tc>
          <w:tcPr>
            <w:tcW w:w="800" w:type="dxa"/>
            <w:vAlign w:val="bottom"/>
            <w:gridSpan w:val="2"/>
          </w:tcPr>
          <w:p>
            <w:pPr>
              <w:jc w:val="center"/>
              <w:ind w:left="159"/>
              <w:spacing w:after="0"/>
              <w:rPr>
                <w:sz w:val="20"/>
                <w:szCs w:val="20"/>
                <w:color w:val="auto"/>
              </w:rPr>
            </w:pPr>
            <w:r>
              <w:rPr>
                <w:rFonts w:ascii="Arial" w:cs="Arial" w:eastAsia="Arial" w:hAnsi="Arial"/>
                <w:sz w:val="12"/>
                <w:szCs w:val="12"/>
                <w:color w:val="auto"/>
              </w:rPr>
              <w:t>$44,248</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102,055</w:t>
            </w:r>
          </w:p>
        </w:tc>
        <w:tc>
          <w:tcPr>
            <w:tcW w:w="180" w:type="dxa"/>
            <w:vAlign w:val="bottom"/>
          </w:tcPr>
          <w:p>
            <w:pPr>
              <w:spacing w:after="0"/>
              <w:rPr>
                <w:sz w:val="19"/>
                <w:szCs w:val="19"/>
                <w:color w:val="auto"/>
              </w:rPr>
            </w:pPr>
          </w:p>
        </w:tc>
        <w:tc>
          <w:tcPr>
            <w:tcW w:w="740" w:type="dxa"/>
            <w:vAlign w:val="bottom"/>
          </w:tcPr>
          <w:p>
            <w:pPr>
              <w:jc w:val="right"/>
              <w:ind w:right="119"/>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9"/>
                <w:szCs w:val="19"/>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color w:val="auto"/>
                <w:w w:val="99"/>
              </w:rPr>
              <w:t>$1,412,007</w:t>
            </w:r>
          </w:p>
        </w:tc>
      </w:tr>
      <w:tr>
        <w:trPr>
          <w:trHeight w:val="221"/>
        </w:trPr>
        <w:tc>
          <w:tcPr>
            <w:tcW w:w="2760" w:type="dxa"/>
            <w:vAlign w:val="bottom"/>
            <w:shd w:val="clear" w:color="auto" w:fill="C0C0C0"/>
          </w:tcPr>
          <w:p>
            <w:pPr>
              <w:spacing w:after="0"/>
              <w:rPr>
                <w:sz w:val="20"/>
                <w:szCs w:val="20"/>
                <w:color w:val="auto"/>
              </w:rPr>
            </w:pPr>
            <w:r>
              <w:rPr>
                <w:rFonts w:ascii="Arial" w:cs="Arial" w:eastAsia="Arial" w:hAnsi="Arial"/>
                <w:sz w:val="12"/>
                <w:szCs w:val="12"/>
                <w:color w:val="auto"/>
              </w:rPr>
              <w:t>Engibous</w:t>
            </w:r>
          </w:p>
        </w:tc>
        <w:tc>
          <w:tcPr>
            <w:tcW w:w="600" w:type="dxa"/>
            <w:vAlign w:val="bottom"/>
            <w:gridSpan w:val="2"/>
            <w:shd w:val="clear" w:color="auto" w:fill="C0C0C0"/>
          </w:tcPr>
          <w:p>
            <w:pPr>
              <w:jc w:val="right"/>
              <w:ind w:right="99"/>
              <w:spacing w:after="0"/>
              <w:rPr>
                <w:sz w:val="20"/>
                <w:szCs w:val="20"/>
                <w:color w:val="auto"/>
              </w:rPr>
            </w:pPr>
            <w:r>
              <w:rPr>
                <w:rFonts w:ascii="Arial" w:cs="Arial" w:eastAsia="Arial" w:hAnsi="Arial"/>
                <w:sz w:val="12"/>
                <w:szCs w:val="12"/>
                <w:color w:val="auto"/>
              </w:rPr>
              <w:t>0</w:t>
            </w: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$762,479</w:t>
            </w:r>
          </w:p>
        </w:tc>
        <w:tc>
          <w:tcPr>
            <w:tcW w:w="3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0C0C0"/>
          </w:tcPr>
          <w:p>
            <w:pPr>
              <w:jc w:val="right"/>
              <w:ind w:right="59"/>
              <w:spacing w:after="0"/>
              <w:rPr>
                <w:sz w:val="20"/>
                <w:szCs w:val="20"/>
                <w:color w:val="auto"/>
              </w:rPr>
            </w:pPr>
            <w:r>
              <w:rPr>
                <w:rFonts w:ascii="Arial" w:cs="Arial" w:eastAsia="Arial" w:hAnsi="Arial"/>
                <w:sz w:val="12"/>
                <w:szCs w:val="12"/>
                <w:color w:val="auto"/>
                <w:w w:val="97"/>
              </w:rPr>
              <w:t>5,636,650</w:t>
            </w:r>
          </w:p>
        </w:tc>
        <w:tc>
          <w:tcPr>
            <w:tcW w:w="4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0C0C0"/>
          </w:tcPr>
          <w:p>
            <w:pPr>
              <w:jc w:val="right"/>
              <w:ind w:right="139"/>
              <w:spacing w:after="0"/>
              <w:rPr>
                <w:sz w:val="20"/>
                <w:szCs w:val="20"/>
                <w:color w:val="auto"/>
              </w:rPr>
            </w:pPr>
            <w:r>
              <w:rPr>
                <w:rFonts w:ascii="Arial" w:cs="Arial" w:eastAsia="Arial" w:hAnsi="Arial"/>
                <w:sz w:val="12"/>
                <w:szCs w:val="12"/>
                <w:color w:val="auto"/>
              </w:rPr>
              <w:t>1,637,942</w:t>
            </w:r>
          </w:p>
        </w:tc>
        <w:tc>
          <w:tcPr>
            <w:tcW w:w="1020" w:type="dxa"/>
            <w:vAlign w:val="bottom"/>
            <w:gridSpan w:val="2"/>
            <w:shd w:val="clear" w:color="auto" w:fill="C0C0C0"/>
          </w:tcPr>
          <w:p>
            <w:pPr>
              <w:jc w:val="right"/>
              <w:ind w:right="119"/>
              <w:spacing w:after="0"/>
              <w:rPr>
                <w:sz w:val="20"/>
                <w:szCs w:val="20"/>
                <w:color w:val="auto"/>
              </w:rPr>
            </w:pPr>
            <w:r>
              <w:rPr>
                <w:rFonts w:ascii="Arial" w:cs="Arial" w:eastAsia="Arial" w:hAnsi="Arial"/>
                <w:sz w:val="12"/>
                <w:szCs w:val="12"/>
                <w:color w:val="auto"/>
              </w:rPr>
              <w:t>0</w:t>
            </w:r>
          </w:p>
        </w:tc>
        <w:tc>
          <w:tcPr>
            <w:tcW w:w="200" w:type="dxa"/>
            <w:vAlign w:val="bottom"/>
            <w:shd w:val="clear" w:color="auto" w:fill="C0C0C0"/>
          </w:tcPr>
          <w:p>
            <w:pPr>
              <w:spacing w:after="0"/>
              <w:rPr>
                <w:sz w:val="19"/>
                <w:szCs w:val="19"/>
                <w:color w:val="auto"/>
              </w:rPr>
            </w:pPr>
          </w:p>
        </w:tc>
        <w:tc>
          <w:tcPr>
            <w:tcW w:w="460" w:type="dxa"/>
            <w:vAlign w:val="bottom"/>
            <w:shd w:val="clear" w:color="auto" w:fill="C0C0C0"/>
          </w:tcPr>
          <w:p>
            <w:pPr>
              <w:jc w:val="right"/>
              <w:ind w:right="159"/>
              <w:spacing w:after="0"/>
              <w:rPr>
                <w:sz w:val="20"/>
                <w:szCs w:val="20"/>
                <w:color w:val="auto"/>
              </w:rPr>
            </w:pPr>
            <w:r>
              <w:rPr>
                <w:rFonts w:ascii="Arial" w:cs="Arial" w:eastAsia="Arial" w:hAnsi="Arial"/>
                <w:sz w:val="12"/>
                <w:szCs w:val="12"/>
                <w:color w:val="auto"/>
              </w:rPr>
              <w:t>0</w:t>
            </w:r>
          </w:p>
        </w:tc>
        <w:tc>
          <w:tcPr>
            <w:tcW w:w="800" w:type="dxa"/>
            <w:vAlign w:val="bottom"/>
            <w:gridSpan w:val="2"/>
            <w:shd w:val="clear" w:color="auto" w:fill="C0C0C0"/>
          </w:tcPr>
          <w:p>
            <w:pPr>
              <w:jc w:val="center"/>
              <w:ind w:left="159"/>
              <w:spacing w:after="0"/>
              <w:rPr>
                <w:sz w:val="20"/>
                <w:szCs w:val="20"/>
                <w:color w:val="auto"/>
              </w:rPr>
            </w:pPr>
            <w:r>
              <w:rPr>
                <w:rFonts w:ascii="Arial" w:cs="Arial" w:eastAsia="Arial" w:hAnsi="Arial"/>
                <w:sz w:val="12"/>
                <w:szCs w:val="12"/>
                <w:color w:val="auto"/>
              </w:rPr>
              <w:t>$31,354</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2"/>
                <w:szCs w:val="12"/>
                <w:color w:val="auto"/>
              </w:rPr>
              <w:t>145,557</w:t>
            </w:r>
          </w:p>
        </w:tc>
        <w:tc>
          <w:tcPr>
            <w:tcW w:w="180" w:type="dxa"/>
            <w:vAlign w:val="bottom"/>
            <w:shd w:val="clear" w:color="auto" w:fill="C0C0C0"/>
          </w:tcPr>
          <w:p>
            <w:pPr>
              <w:spacing w:after="0"/>
              <w:rPr>
                <w:sz w:val="19"/>
                <w:szCs w:val="19"/>
                <w:color w:val="auto"/>
              </w:rPr>
            </w:pPr>
          </w:p>
        </w:tc>
        <w:tc>
          <w:tcPr>
            <w:tcW w:w="940" w:type="dxa"/>
            <w:vAlign w:val="bottom"/>
            <w:gridSpan w:val="2"/>
            <w:shd w:val="clear" w:color="auto" w:fill="C0C0C0"/>
          </w:tcPr>
          <w:p>
            <w:pPr>
              <w:jc w:val="right"/>
              <w:ind w:right="200"/>
              <w:spacing w:after="0"/>
              <w:rPr>
                <w:sz w:val="20"/>
                <w:szCs w:val="20"/>
                <w:color w:val="auto"/>
              </w:rPr>
            </w:pPr>
            <w:r>
              <w:rPr>
                <w:rFonts w:ascii="Arial" w:cs="Arial" w:eastAsia="Arial" w:hAnsi="Arial"/>
                <w:sz w:val="12"/>
                <w:szCs w:val="12"/>
                <w:color w:val="auto"/>
              </w:rPr>
              <w:t>$272,330 (7)</w:t>
            </w:r>
          </w:p>
        </w:tc>
        <w:tc>
          <w:tcPr>
            <w:tcW w:w="640" w:type="dxa"/>
            <w:vAlign w:val="bottom"/>
            <w:shd w:val="clear" w:color="auto" w:fill="C0C0C0"/>
          </w:tcPr>
          <w:p>
            <w:pPr>
              <w:ind w:left="40"/>
              <w:spacing w:after="0"/>
              <w:rPr>
                <w:sz w:val="20"/>
                <w:szCs w:val="20"/>
                <w:color w:val="auto"/>
              </w:rPr>
            </w:pPr>
            <w:r>
              <w:rPr>
                <w:rFonts w:ascii="Arial" w:cs="Arial" w:eastAsia="Arial" w:hAnsi="Arial"/>
                <w:sz w:val="12"/>
                <w:szCs w:val="12"/>
                <w:color w:val="auto"/>
                <w:w w:val="96"/>
              </w:rPr>
              <w:t>$8,486,312</w:t>
            </w:r>
          </w:p>
        </w:tc>
        <w:tc>
          <w:tcPr>
            <w:tcW w:w="20" w:type="dxa"/>
            <w:vAlign w:val="bottom"/>
          </w:tcPr>
          <w:p>
            <w:pPr>
              <w:spacing w:after="0"/>
              <w:rPr>
                <w:sz w:val="19"/>
                <w:szCs w:val="19"/>
                <w:color w:val="auto"/>
              </w:rPr>
            </w:pPr>
          </w:p>
        </w:tc>
      </w:tr>
      <w:tr>
        <w:trPr>
          <w:trHeight w:val="221"/>
        </w:trPr>
        <w:tc>
          <w:tcPr>
            <w:tcW w:w="2760" w:type="dxa"/>
            <w:vAlign w:val="bottom"/>
          </w:tcPr>
          <w:p>
            <w:pPr>
              <w:spacing w:after="0"/>
              <w:rPr>
                <w:sz w:val="20"/>
                <w:szCs w:val="20"/>
                <w:color w:val="auto"/>
              </w:rPr>
            </w:pPr>
            <w:r>
              <w:rPr>
                <w:rFonts w:ascii="Arial" w:cs="Arial" w:eastAsia="Arial" w:hAnsi="Arial"/>
                <w:sz w:val="12"/>
                <w:szCs w:val="12"/>
                <w:color w:val="auto"/>
              </w:rPr>
              <w:t>Lowe</w:t>
            </w:r>
          </w:p>
        </w:tc>
        <w:tc>
          <w:tcPr>
            <w:tcW w:w="600" w:type="dxa"/>
            <w:vAlign w:val="bottom"/>
            <w:gridSpan w:val="2"/>
          </w:tcPr>
          <w:p>
            <w:pPr>
              <w:jc w:val="right"/>
              <w:ind w:right="99"/>
              <w:spacing w:after="0"/>
              <w:rPr>
                <w:sz w:val="20"/>
                <w:szCs w:val="20"/>
                <w:color w:val="auto"/>
              </w:rPr>
            </w:pPr>
            <w:r>
              <w:rPr>
                <w:rFonts w:ascii="Arial" w:cs="Arial" w:eastAsia="Arial" w:hAnsi="Arial"/>
                <w:sz w:val="12"/>
                <w:szCs w:val="12"/>
                <w:color w:val="auto"/>
              </w:rPr>
              <w:t>0</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$369,507</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59"/>
              <w:spacing w:after="0"/>
              <w:rPr>
                <w:sz w:val="20"/>
                <w:szCs w:val="20"/>
                <w:color w:val="auto"/>
              </w:rPr>
            </w:pPr>
            <w:r>
              <w:rPr>
                <w:rFonts w:ascii="Arial" w:cs="Arial" w:eastAsia="Arial" w:hAnsi="Arial"/>
                <w:sz w:val="12"/>
                <w:szCs w:val="12"/>
                <w:color w:val="auto"/>
                <w:w w:val="97"/>
              </w:rPr>
              <w:t>1,018,940</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39"/>
              <w:spacing w:after="0"/>
              <w:rPr>
                <w:sz w:val="20"/>
                <w:szCs w:val="20"/>
                <w:color w:val="auto"/>
              </w:rPr>
            </w:pPr>
            <w:r>
              <w:rPr>
                <w:rFonts w:ascii="Arial" w:cs="Arial" w:eastAsia="Arial" w:hAnsi="Arial"/>
                <w:sz w:val="12"/>
                <w:szCs w:val="12"/>
                <w:color w:val="auto"/>
              </w:rPr>
              <w:t>1,707,941</w:t>
            </w:r>
          </w:p>
        </w:tc>
        <w:tc>
          <w:tcPr>
            <w:tcW w:w="1020" w:type="dxa"/>
            <w:vAlign w:val="bottom"/>
            <w:gridSpan w:val="2"/>
          </w:tcPr>
          <w:p>
            <w:pPr>
              <w:jc w:val="right"/>
              <w:ind w:right="119"/>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9"/>
                <w:szCs w:val="19"/>
                <w:color w:val="auto"/>
              </w:rPr>
            </w:pPr>
          </w:p>
        </w:tc>
        <w:tc>
          <w:tcPr>
            <w:tcW w:w="460" w:type="dxa"/>
            <w:vAlign w:val="bottom"/>
          </w:tcPr>
          <w:p>
            <w:pPr>
              <w:jc w:val="right"/>
              <w:ind w:right="159"/>
              <w:spacing w:after="0"/>
              <w:rPr>
                <w:sz w:val="20"/>
                <w:szCs w:val="20"/>
                <w:color w:val="auto"/>
              </w:rPr>
            </w:pPr>
            <w:r>
              <w:rPr>
                <w:rFonts w:ascii="Arial" w:cs="Arial" w:eastAsia="Arial" w:hAnsi="Arial"/>
                <w:sz w:val="12"/>
                <w:szCs w:val="12"/>
                <w:color w:val="auto"/>
              </w:rPr>
              <w:t>0</w:t>
            </w:r>
          </w:p>
        </w:tc>
        <w:tc>
          <w:tcPr>
            <w:tcW w:w="800" w:type="dxa"/>
            <w:vAlign w:val="bottom"/>
            <w:gridSpan w:val="2"/>
          </w:tcPr>
          <w:p>
            <w:pPr>
              <w:jc w:val="center"/>
              <w:ind w:left="159"/>
              <w:spacing w:after="0"/>
              <w:rPr>
                <w:sz w:val="20"/>
                <w:szCs w:val="20"/>
                <w:color w:val="auto"/>
              </w:rPr>
            </w:pPr>
            <w:r>
              <w:rPr>
                <w:rFonts w:ascii="Arial" w:cs="Arial" w:eastAsia="Arial" w:hAnsi="Arial"/>
                <w:sz w:val="12"/>
                <w:szCs w:val="12"/>
                <w:color w:val="auto"/>
              </w:rPr>
              <w:t>$51,661</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2"/>
                <w:szCs w:val="12"/>
                <w:color w:val="auto"/>
              </w:rPr>
              <w:t>74,782</w:t>
            </w:r>
          </w:p>
        </w:tc>
        <w:tc>
          <w:tcPr>
            <w:tcW w:w="740" w:type="dxa"/>
            <w:vAlign w:val="bottom"/>
          </w:tcPr>
          <w:p>
            <w:pPr>
              <w:jc w:val="right"/>
              <w:ind w:right="119"/>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9"/>
                <w:szCs w:val="19"/>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color w:val="auto"/>
                <w:w w:val="99"/>
              </w:rPr>
              <w:t>$3,222,831</w:t>
            </w:r>
          </w:p>
        </w:tc>
      </w:tr>
      <w:tr>
        <w:trPr>
          <w:trHeight w:val="221"/>
        </w:trPr>
        <w:tc>
          <w:tcPr>
            <w:tcW w:w="2760" w:type="dxa"/>
            <w:vAlign w:val="bottom"/>
            <w:shd w:val="clear" w:color="auto" w:fill="C0C0C0"/>
          </w:tcPr>
          <w:p>
            <w:pPr>
              <w:spacing w:after="0"/>
              <w:rPr>
                <w:sz w:val="20"/>
                <w:szCs w:val="20"/>
                <w:color w:val="auto"/>
              </w:rPr>
            </w:pPr>
            <w:r>
              <w:rPr>
                <w:rFonts w:ascii="Arial" w:cs="Arial" w:eastAsia="Arial" w:hAnsi="Arial"/>
                <w:sz w:val="12"/>
                <w:szCs w:val="12"/>
                <w:color w:val="auto"/>
              </w:rPr>
              <w:t>Hames</w:t>
            </w:r>
          </w:p>
        </w:tc>
        <w:tc>
          <w:tcPr>
            <w:tcW w:w="600" w:type="dxa"/>
            <w:vAlign w:val="bottom"/>
            <w:gridSpan w:val="2"/>
            <w:shd w:val="clear" w:color="auto" w:fill="C0C0C0"/>
          </w:tcPr>
          <w:p>
            <w:pPr>
              <w:jc w:val="right"/>
              <w:ind w:right="99"/>
              <w:spacing w:after="0"/>
              <w:rPr>
                <w:sz w:val="20"/>
                <w:szCs w:val="20"/>
                <w:color w:val="auto"/>
              </w:rPr>
            </w:pPr>
            <w:r>
              <w:rPr>
                <w:rFonts w:ascii="Arial" w:cs="Arial" w:eastAsia="Arial" w:hAnsi="Arial"/>
                <w:sz w:val="12"/>
                <w:szCs w:val="12"/>
                <w:color w:val="auto"/>
              </w:rPr>
              <w:t>0</w:t>
            </w: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$505,871</w:t>
            </w:r>
          </w:p>
        </w:tc>
        <w:tc>
          <w:tcPr>
            <w:tcW w:w="38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0C0C0"/>
          </w:tcPr>
          <w:p>
            <w:pPr>
              <w:jc w:val="right"/>
              <w:ind w:right="59"/>
              <w:spacing w:after="0"/>
              <w:rPr>
                <w:sz w:val="20"/>
                <w:szCs w:val="20"/>
                <w:color w:val="auto"/>
              </w:rPr>
            </w:pPr>
            <w:r>
              <w:rPr>
                <w:rFonts w:ascii="Arial" w:cs="Arial" w:eastAsia="Arial" w:hAnsi="Arial"/>
                <w:sz w:val="12"/>
                <w:szCs w:val="12"/>
                <w:color w:val="auto"/>
                <w:w w:val="97"/>
              </w:rPr>
              <w:t>1,173,636</w:t>
            </w:r>
          </w:p>
        </w:tc>
        <w:tc>
          <w:tcPr>
            <w:tcW w:w="4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0C0C0"/>
          </w:tcPr>
          <w:p>
            <w:pPr>
              <w:jc w:val="right"/>
              <w:ind w:right="139"/>
              <w:spacing w:after="0"/>
              <w:rPr>
                <w:sz w:val="20"/>
                <w:szCs w:val="20"/>
                <w:color w:val="auto"/>
              </w:rPr>
            </w:pPr>
            <w:r>
              <w:rPr>
                <w:rFonts w:ascii="Arial" w:cs="Arial" w:eastAsia="Arial" w:hAnsi="Arial"/>
                <w:sz w:val="12"/>
                <w:szCs w:val="12"/>
                <w:color w:val="auto"/>
              </w:rPr>
              <w:t>1,602,720</w:t>
            </w:r>
          </w:p>
        </w:tc>
        <w:tc>
          <w:tcPr>
            <w:tcW w:w="1020" w:type="dxa"/>
            <w:vAlign w:val="bottom"/>
            <w:gridSpan w:val="2"/>
            <w:shd w:val="clear" w:color="auto" w:fill="C0C0C0"/>
          </w:tcPr>
          <w:p>
            <w:pPr>
              <w:jc w:val="right"/>
              <w:ind w:right="119"/>
              <w:spacing w:after="0"/>
              <w:rPr>
                <w:sz w:val="20"/>
                <w:szCs w:val="20"/>
                <w:color w:val="auto"/>
              </w:rPr>
            </w:pPr>
            <w:r>
              <w:rPr>
                <w:rFonts w:ascii="Arial" w:cs="Arial" w:eastAsia="Arial" w:hAnsi="Arial"/>
                <w:sz w:val="12"/>
                <w:szCs w:val="12"/>
                <w:color w:val="auto"/>
              </w:rPr>
              <w:t>0</w:t>
            </w:r>
          </w:p>
        </w:tc>
        <w:tc>
          <w:tcPr>
            <w:tcW w:w="200" w:type="dxa"/>
            <w:vAlign w:val="bottom"/>
            <w:shd w:val="clear" w:color="auto" w:fill="C0C0C0"/>
          </w:tcPr>
          <w:p>
            <w:pPr>
              <w:spacing w:after="0"/>
              <w:rPr>
                <w:sz w:val="19"/>
                <w:szCs w:val="19"/>
                <w:color w:val="auto"/>
              </w:rPr>
            </w:pPr>
          </w:p>
        </w:tc>
        <w:tc>
          <w:tcPr>
            <w:tcW w:w="460" w:type="dxa"/>
            <w:vAlign w:val="bottom"/>
            <w:shd w:val="clear" w:color="auto" w:fill="C0C0C0"/>
          </w:tcPr>
          <w:p>
            <w:pPr>
              <w:jc w:val="right"/>
              <w:ind w:right="159"/>
              <w:spacing w:after="0"/>
              <w:rPr>
                <w:sz w:val="20"/>
                <w:szCs w:val="20"/>
                <w:color w:val="auto"/>
              </w:rPr>
            </w:pPr>
            <w:r>
              <w:rPr>
                <w:rFonts w:ascii="Arial" w:cs="Arial" w:eastAsia="Arial" w:hAnsi="Arial"/>
                <w:sz w:val="12"/>
                <w:szCs w:val="12"/>
                <w:color w:val="auto"/>
              </w:rPr>
              <w:t>0</w:t>
            </w:r>
          </w:p>
        </w:tc>
        <w:tc>
          <w:tcPr>
            <w:tcW w:w="800" w:type="dxa"/>
            <w:vAlign w:val="bottom"/>
            <w:gridSpan w:val="2"/>
            <w:shd w:val="clear" w:color="auto" w:fill="C0C0C0"/>
          </w:tcPr>
          <w:p>
            <w:pPr>
              <w:jc w:val="center"/>
              <w:ind w:left="159"/>
              <w:spacing w:after="0"/>
              <w:rPr>
                <w:sz w:val="20"/>
                <w:szCs w:val="20"/>
                <w:color w:val="auto"/>
              </w:rPr>
            </w:pPr>
            <w:r>
              <w:rPr>
                <w:rFonts w:ascii="Arial" w:cs="Arial" w:eastAsia="Arial" w:hAnsi="Arial"/>
                <w:sz w:val="12"/>
                <w:szCs w:val="12"/>
                <w:color w:val="auto"/>
              </w:rPr>
              <w:t>$46,132</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0C0C0"/>
          </w:tcPr>
          <w:p>
            <w:pPr>
              <w:jc w:val="right"/>
              <w:ind w:right="180"/>
              <w:spacing w:after="0"/>
              <w:rPr>
                <w:sz w:val="20"/>
                <w:szCs w:val="20"/>
                <w:color w:val="auto"/>
              </w:rPr>
            </w:pPr>
            <w:r>
              <w:rPr>
                <w:rFonts w:ascii="Arial" w:cs="Arial" w:eastAsia="Arial" w:hAnsi="Arial"/>
                <w:sz w:val="12"/>
                <w:szCs w:val="12"/>
                <w:color w:val="auto"/>
              </w:rPr>
              <w:t>75,290</w:t>
            </w:r>
          </w:p>
        </w:tc>
        <w:tc>
          <w:tcPr>
            <w:tcW w:w="740" w:type="dxa"/>
            <w:vAlign w:val="bottom"/>
            <w:shd w:val="clear" w:color="auto" w:fill="C0C0C0"/>
          </w:tcPr>
          <w:p>
            <w:pPr>
              <w:jc w:val="right"/>
              <w:ind w:right="119"/>
              <w:spacing w:after="0"/>
              <w:rPr>
                <w:sz w:val="20"/>
                <w:szCs w:val="20"/>
                <w:color w:val="auto"/>
              </w:rPr>
            </w:pPr>
            <w:r>
              <w:rPr>
                <w:rFonts w:ascii="Arial" w:cs="Arial" w:eastAsia="Arial" w:hAnsi="Arial"/>
                <w:sz w:val="12"/>
                <w:szCs w:val="12"/>
                <w:color w:val="auto"/>
              </w:rPr>
              <w:t>0</w:t>
            </w:r>
          </w:p>
        </w:tc>
        <w:tc>
          <w:tcPr>
            <w:tcW w:w="200" w:type="dxa"/>
            <w:vAlign w:val="bottom"/>
            <w:shd w:val="clear" w:color="auto" w:fill="C0C0C0"/>
          </w:tcPr>
          <w:p>
            <w:pPr>
              <w:spacing w:after="0"/>
              <w:rPr>
                <w:sz w:val="19"/>
                <w:szCs w:val="19"/>
                <w:color w:val="auto"/>
              </w:rPr>
            </w:pPr>
          </w:p>
        </w:tc>
        <w:tc>
          <w:tcPr>
            <w:tcW w:w="640" w:type="dxa"/>
            <w:vAlign w:val="bottom"/>
            <w:shd w:val="clear" w:color="auto" w:fill="C0C0C0"/>
          </w:tcPr>
          <w:p>
            <w:pPr>
              <w:ind w:left="40"/>
              <w:spacing w:after="0"/>
              <w:rPr>
                <w:sz w:val="20"/>
                <w:szCs w:val="20"/>
                <w:color w:val="auto"/>
              </w:rPr>
            </w:pPr>
            <w:r>
              <w:rPr>
                <w:rFonts w:ascii="Arial" w:cs="Arial" w:eastAsia="Arial" w:hAnsi="Arial"/>
                <w:sz w:val="12"/>
                <w:szCs w:val="12"/>
                <w:color w:val="auto"/>
                <w:w w:val="96"/>
              </w:rPr>
              <w:t>$3,403,649</w:t>
            </w:r>
          </w:p>
        </w:tc>
        <w:tc>
          <w:tcPr>
            <w:tcW w:w="20" w:type="dxa"/>
            <w:vAlign w:val="bottom"/>
          </w:tcPr>
          <w:p>
            <w:pPr>
              <w:spacing w:after="0"/>
              <w:rPr>
                <w:sz w:val="19"/>
                <w:szCs w:val="19"/>
                <w:color w:val="auto"/>
              </w:rPr>
            </w:pPr>
          </w:p>
        </w:tc>
      </w:tr>
      <w:tr>
        <w:trPr>
          <w:trHeight w:val="201"/>
        </w:trPr>
        <w:tc>
          <w:tcPr>
            <w:tcW w:w="2760" w:type="dxa"/>
            <w:vAlign w:val="bottom"/>
          </w:tcPr>
          <w:p>
            <w:pPr>
              <w:spacing w:after="0"/>
              <w:rPr>
                <w:sz w:val="20"/>
                <w:szCs w:val="20"/>
                <w:color w:val="auto"/>
              </w:rPr>
            </w:pPr>
            <w:r>
              <w:rPr>
                <w:rFonts w:ascii="Arial" w:cs="Arial" w:eastAsia="Arial" w:hAnsi="Arial"/>
                <w:sz w:val="12"/>
                <w:szCs w:val="12"/>
                <w:color w:val="auto"/>
              </w:rPr>
              <w:t>Delfassy</w:t>
            </w:r>
          </w:p>
        </w:tc>
        <w:tc>
          <w:tcPr>
            <w:tcW w:w="600" w:type="dxa"/>
            <w:vAlign w:val="bottom"/>
            <w:gridSpan w:val="2"/>
          </w:tcPr>
          <w:p>
            <w:pPr>
              <w:jc w:val="right"/>
              <w:ind w:right="99"/>
              <w:spacing w:after="0"/>
              <w:rPr>
                <w:sz w:val="20"/>
                <w:szCs w:val="20"/>
                <w:color w:val="auto"/>
              </w:rPr>
            </w:pPr>
            <w:r>
              <w:rPr>
                <w:rFonts w:ascii="Arial" w:cs="Arial" w:eastAsia="Arial" w:hAnsi="Arial"/>
                <w:sz w:val="12"/>
                <w:szCs w:val="12"/>
                <w:color w:val="auto"/>
              </w:rPr>
              <w:t>0</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2"/>
                <w:szCs w:val="12"/>
                <w:color w:val="auto"/>
              </w:rPr>
              <w:t>0</w:t>
            </w:r>
          </w:p>
        </w:tc>
        <w:tc>
          <w:tcPr>
            <w:tcW w:w="4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139"/>
              <w:spacing w:after="0"/>
              <w:rPr>
                <w:sz w:val="20"/>
                <w:szCs w:val="20"/>
                <w:color w:val="auto"/>
              </w:rPr>
            </w:pPr>
            <w:r>
              <w:rPr>
                <w:rFonts w:ascii="Arial" w:cs="Arial" w:eastAsia="Arial" w:hAnsi="Arial"/>
                <w:sz w:val="12"/>
                <w:szCs w:val="12"/>
                <w:color w:val="auto"/>
              </w:rPr>
              <w:t>2,466,398</w:t>
            </w:r>
          </w:p>
        </w:tc>
        <w:tc>
          <w:tcPr>
            <w:tcW w:w="1020" w:type="dxa"/>
            <w:vAlign w:val="bottom"/>
            <w:gridSpan w:val="2"/>
          </w:tcPr>
          <w:p>
            <w:pPr>
              <w:jc w:val="right"/>
              <w:ind w:right="119"/>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7"/>
                <w:szCs w:val="17"/>
                <w:color w:val="auto"/>
              </w:rPr>
            </w:pPr>
          </w:p>
        </w:tc>
        <w:tc>
          <w:tcPr>
            <w:tcW w:w="460" w:type="dxa"/>
            <w:vAlign w:val="bottom"/>
          </w:tcPr>
          <w:p>
            <w:pPr>
              <w:jc w:val="right"/>
              <w:ind w:right="159"/>
              <w:spacing w:after="0"/>
              <w:rPr>
                <w:sz w:val="20"/>
                <w:szCs w:val="20"/>
                <w:color w:val="auto"/>
              </w:rPr>
            </w:pPr>
            <w:r>
              <w:rPr>
                <w:rFonts w:ascii="Arial" w:cs="Arial" w:eastAsia="Arial" w:hAnsi="Arial"/>
                <w:sz w:val="12"/>
                <w:szCs w:val="12"/>
                <w:color w:val="auto"/>
              </w:rPr>
              <w:t>0</w:t>
            </w:r>
          </w:p>
        </w:tc>
        <w:tc>
          <w:tcPr>
            <w:tcW w:w="800" w:type="dxa"/>
            <w:vAlign w:val="bottom"/>
            <w:gridSpan w:val="2"/>
          </w:tcPr>
          <w:p>
            <w:pPr>
              <w:jc w:val="center"/>
              <w:ind w:left="159"/>
              <w:spacing w:after="0"/>
              <w:rPr>
                <w:sz w:val="20"/>
                <w:szCs w:val="20"/>
                <w:color w:val="auto"/>
              </w:rPr>
            </w:pPr>
            <w:r>
              <w:rPr>
                <w:rFonts w:ascii="Arial" w:cs="Arial" w:eastAsia="Arial" w:hAnsi="Arial"/>
                <w:sz w:val="12"/>
                <w:szCs w:val="12"/>
                <w:color w:val="auto"/>
              </w:rPr>
              <w:t>$26,985</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105,752</w:t>
            </w:r>
          </w:p>
        </w:tc>
        <w:tc>
          <w:tcPr>
            <w:tcW w:w="180" w:type="dxa"/>
            <w:vAlign w:val="bottom"/>
          </w:tcPr>
          <w:p>
            <w:pPr>
              <w:spacing w:after="0"/>
              <w:rPr>
                <w:sz w:val="17"/>
                <w:szCs w:val="17"/>
                <w:color w:val="auto"/>
              </w:rPr>
            </w:pPr>
          </w:p>
        </w:tc>
        <w:tc>
          <w:tcPr>
            <w:tcW w:w="740" w:type="dxa"/>
            <w:vAlign w:val="bottom"/>
          </w:tcPr>
          <w:p>
            <w:pPr>
              <w:jc w:val="right"/>
              <w:ind w:right="119"/>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7"/>
                <w:szCs w:val="17"/>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color w:val="auto"/>
                <w:w w:val="99"/>
              </w:rPr>
              <w:t>$2,599,135</w:t>
            </w:r>
          </w:p>
        </w:tc>
      </w:tr>
      <w:tr>
        <w:trPr>
          <w:trHeight w:val="249"/>
        </w:trPr>
        <w:tc>
          <w:tcPr>
            <w:tcW w:w="2760" w:type="dxa"/>
            <w:vAlign w:val="bottom"/>
          </w:tcPr>
          <w:p>
            <w:pPr>
              <w:spacing w:after="0"/>
              <w:rPr>
                <w:sz w:val="20"/>
                <w:szCs w:val="20"/>
                <w:color w:val="auto"/>
              </w:rPr>
            </w:pPr>
            <w:r>
              <w:rPr>
                <w:rFonts w:ascii="Arial" w:cs="Arial" w:eastAsia="Arial" w:hAnsi="Arial"/>
                <w:sz w:val="20"/>
                <w:szCs w:val="20"/>
                <w:color w:val="auto"/>
              </w:rPr>
              <w:t>____________________</w:t>
            </w: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14" w:lineRule="exact"/>
        <w:rPr>
          <w:sz w:val="20"/>
          <w:szCs w:val="20"/>
          <w:color w:val="auto"/>
        </w:rPr>
      </w:pPr>
    </w:p>
    <w:p>
      <w:pPr>
        <w:ind w:left="442" w:hanging="442"/>
        <w:spacing w:after="0"/>
        <w:tabs>
          <w:tab w:leader="none" w:pos="4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It is presumed that in the event of termination for cause no bonus would be awarded.</w:t>
      </w:r>
    </w:p>
    <w:p>
      <w:pPr>
        <w:spacing w:after="0" w:line="257" w:lineRule="exact"/>
        <w:rPr>
          <w:rFonts w:ascii="Arial" w:cs="Arial" w:eastAsia="Arial" w:hAnsi="Arial"/>
          <w:sz w:val="16"/>
          <w:szCs w:val="16"/>
          <w:color w:val="auto"/>
        </w:rPr>
      </w:pPr>
    </w:p>
    <w:p>
      <w:pPr>
        <w:ind w:left="442" w:right="220" w:hanging="442"/>
        <w:spacing w:after="0" w:line="250" w:lineRule="auto"/>
        <w:tabs>
          <w:tab w:leader="none" w:pos="4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Lump sum value of the December 31, 2007, accrued benefit calculated as required by the terms of the plan assuming the earliest possible payment date. Mr. Delfassy does not participate in this plan.</w:t>
      </w:r>
    </w:p>
    <w:p>
      <w:pPr>
        <w:spacing w:after="0" w:line="204" w:lineRule="exact"/>
        <w:rPr>
          <w:rFonts w:ascii="Arial" w:cs="Arial" w:eastAsia="Arial" w:hAnsi="Arial"/>
          <w:sz w:val="16"/>
          <w:szCs w:val="16"/>
          <w:color w:val="auto"/>
        </w:rPr>
      </w:pPr>
    </w:p>
    <w:p>
      <w:pPr>
        <w:ind w:left="442" w:right="340" w:hanging="442"/>
        <w:spacing w:after="0" w:line="250" w:lineRule="auto"/>
        <w:tabs>
          <w:tab w:leader="none" w:pos="4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Aggregate account value as of December 31, 2007. The amounts shown in the 2007 Nonqualified Deferred Compensation table on page 40 include the amounts shown in this column.</w:t>
      </w:r>
    </w:p>
    <w:p>
      <w:pPr>
        <w:spacing w:after="0" w:line="204" w:lineRule="exact"/>
        <w:rPr>
          <w:rFonts w:ascii="Arial" w:cs="Arial" w:eastAsia="Arial" w:hAnsi="Arial"/>
          <w:sz w:val="16"/>
          <w:szCs w:val="16"/>
          <w:color w:val="auto"/>
        </w:rPr>
      </w:pPr>
    </w:p>
    <w:p>
      <w:pPr>
        <w:ind w:left="442" w:hanging="442"/>
        <w:spacing w:after="0"/>
        <w:tabs>
          <w:tab w:leader="none" w:pos="4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Calculated by multiplying 120,000 vested RSUs by the closing price of the company’s common stock as of December 31, 2007 ($33.40).</w:t>
      </w:r>
    </w:p>
    <w:p>
      <w:pPr>
        <w:spacing w:after="0" w:line="220" w:lineRule="exact"/>
        <w:rPr>
          <w:rFonts w:ascii="Arial" w:cs="Arial" w:eastAsia="Arial" w:hAnsi="Arial"/>
          <w:sz w:val="16"/>
          <w:szCs w:val="16"/>
          <w:color w:val="auto"/>
        </w:rPr>
      </w:pPr>
    </w:p>
    <w:p>
      <w:pPr>
        <w:ind w:left="442" w:hanging="442"/>
        <w:spacing w:after="0"/>
        <w:tabs>
          <w:tab w:leader="none" w:pos="4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Amounts earned in 2007.</w:t>
      </w:r>
    </w:p>
    <w:p>
      <w:pPr>
        <w:spacing w:after="0" w:line="220" w:lineRule="exact"/>
        <w:rPr>
          <w:rFonts w:ascii="Arial" w:cs="Arial" w:eastAsia="Arial" w:hAnsi="Arial"/>
          <w:sz w:val="16"/>
          <w:szCs w:val="16"/>
          <w:color w:val="auto"/>
        </w:rPr>
      </w:pPr>
    </w:p>
    <w:p>
      <w:pPr>
        <w:ind w:left="442" w:right="160" w:hanging="442"/>
        <w:spacing w:after="0" w:line="250" w:lineRule="auto"/>
        <w:tabs>
          <w:tab w:leader="none" w:pos="4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Calculated by multiplying the number of hours remaining in the named executive officer’s time bank by the applicable base salary rate as of December 31, 2007.</w:t>
      </w:r>
    </w:p>
    <w:p>
      <w:pPr>
        <w:spacing w:after="0" w:line="204" w:lineRule="exact"/>
        <w:rPr>
          <w:rFonts w:ascii="Arial" w:cs="Arial" w:eastAsia="Arial" w:hAnsi="Arial"/>
          <w:sz w:val="16"/>
          <w:szCs w:val="16"/>
          <w:color w:val="auto"/>
        </w:rPr>
      </w:pPr>
    </w:p>
    <w:p>
      <w:pPr>
        <w:ind w:left="442" w:hanging="442"/>
        <w:spacing w:after="0"/>
        <w:tabs>
          <w:tab w:leader="none" w:pos="442" w:val="left"/>
        </w:tabs>
        <w:numPr>
          <w:ilvl w:val="0"/>
          <w:numId w:val="43"/>
        </w:numPr>
        <w:rPr>
          <w:rFonts w:ascii="Arial" w:cs="Arial" w:eastAsia="Arial" w:hAnsi="Arial"/>
          <w:sz w:val="16"/>
          <w:szCs w:val="16"/>
          <w:color w:val="auto"/>
        </w:rPr>
      </w:pPr>
      <w:r>
        <w:rPr>
          <w:rFonts w:ascii="Arial" w:cs="Arial" w:eastAsia="Arial" w:hAnsi="Arial"/>
          <w:sz w:val="16"/>
          <w:szCs w:val="16"/>
          <w:color w:val="auto"/>
        </w:rPr>
        <w:t>Cash value of Mr. Engibous’s executive life insurance policy as of December 31, 2007.</w:t>
      </w:r>
    </w:p>
    <w:p>
      <w:pPr>
        <w:spacing w:after="0" w:line="196"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7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Resignation; Involuntary Termination Not for Cause</w:t>
      </w:r>
    </w:p>
    <w:p>
      <w:pPr>
        <w:spacing w:after="0" w:line="284"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Qualified</w:t>
            </w:r>
          </w:p>
        </w:tc>
        <w:tc>
          <w:tcPr>
            <w:tcW w:w="200" w:type="dxa"/>
            <w:vAlign w:val="bottom"/>
          </w:tcPr>
          <w:p>
            <w:pPr>
              <w:spacing w:after="0"/>
              <w:rPr>
                <w:sz w:val="13"/>
                <w:szCs w:val="13"/>
                <w:color w:val="auto"/>
              </w:rPr>
            </w:pPr>
          </w:p>
        </w:tc>
        <w:tc>
          <w:tcPr>
            <w:tcW w:w="800" w:type="dxa"/>
            <w:vAlign w:val="bottom"/>
            <w:gridSpan w:val="2"/>
          </w:tcPr>
          <w:p>
            <w:pPr>
              <w:jc w:val="center"/>
              <w:spacing w:after="0"/>
              <w:rPr>
                <w:sz w:val="20"/>
                <w:szCs w:val="20"/>
                <w:color w:val="auto"/>
              </w:rPr>
            </w:pPr>
            <w:r>
              <w:rPr>
                <w:rFonts w:ascii="Arial" w:cs="Arial" w:eastAsia="Arial" w:hAnsi="Arial"/>
                <w:sz w:val="12"/>
                <w:szCs w:val="12"/>
                <w:b w:val="1"/>
                <w:bCs w:val="1"/>
                <w:color w:val="auto"/>
              </w:rPr>
              <w:t>Nonqualified</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w w:val="99"/>
              </w:rPr>
              <w:t>Defined</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center"/>
              <w:ind w:right="79"/>
              <w:spacing w:after="0"/>
              <w:rPr>
                <w:sz w:val="20"/>
                <w:szCs w:val="20"/>
                <w:color w:val="auto"/>
              </w:rPr>
            </w:pPr>
            <w:r>
              <w:rPr>
                <w:rFonts w:ascii="Arial" w:cs="Arial" w:eastAsia="Arial" w:hAnsi="Arial"/>
                <w:sz w:val="12"/>
                <w:szCs w:val="12"/>
                <w:b w:val="1"/>
                <w:bCs w:val="1"/>
                <w:color w:val="auto"/>
                <w:w w:val="99"/>
              </w:rPr>
              <w:t>Defined</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ind w:right="19"/>
              <w:spacing w:after="0"/>
              <w:rPr>
                <w:sz w:val="20"/>
                <w:szCs w:val="20"/>
                <w:color w:val="auto"/>
              </w:rPr>
            </w:pPr>
            <w:r>
              <w:rPr>
                <w:rFonts w:ascii="Arial" w:cs="Arial" w:eastAsia="Arial" w:hAnsi="Arial"/>
                <w:sz w:val="12"/>
                <w:szCs w:val="12"/>
                <w:b w:val="1"/>
                <w:bCs w:val="1"/>
                <w:color w:val="auto"/>
              </w:rPr>
              <w:t>Benefit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center"/>
              <w:ind w:right="79"/>
              <w:spacing w:after="0"/>
              <w:rPr>
                <w:sz w:val="20"/>
                <w:szCs w:val="20"/>
                <w:color w:val="auto"/>
              </w:rPr>
            </w:pPr>
            <w:r>
              <w:rPr>
                <w:rFonts w:ascii="Arial" w:cs="Arial" w:eastAsia="Arial" w:hAnsi="Arial"/>
                <w:sz w:val="12"/>
                <w:szCs w:val="12"/>
                <w:b w:val="1"/>
                <w:bCs w:val="1"/>
                <w:color w:val="auto"/>
                <w:w w:val="98"/>
              </w:rPr>
              <w:t>Benefit</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Pension</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center"/>
              <w:ind w:right="79"/>
              <w:spacing w:after="0"/>
              <w:rPr>
                <w:sz w:val="20"/>
                <w:szCs w:val="20"/>
                <w:color w:val="auto"/>
              </w:rPr>
            </w:pPr>
            <w:r>
              <w:rPr>
                <w:rFonts w:ascii="Arial" w:cs="Arial" w:eastAsia="Arial" w:hAnsi="Arial"/>
                <w:sz w:val="12"/>
                <w:szCs w:val="12"/>
                <w:b w:val="1"/>
                <w:bCs w:val="1"/>
                <w:color w:val="auto"/>
              </w:rPr>
              <w:t>Pension</w:t>
            </w:r>
          </w:p>
        </w:tc>
        <w:tc>
          <w:tcPr>
            <w:tcW w:w="20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rPr>
              <w:t>Deferred</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center"/>
              <w:ind w:right="39"/>
              <w:spacing w:after="0"/>
              <w:rPr>
                <w:sz w:val="20"/>
                <w:szCs w:val="20"/>
                <w:color w:val="auto"/>
              </w:rPr>
            </w:pPr>
            <w:r>
              <w:rPr>
                <w:rFonts w:ascii="Arial" w:cs="Arial" w:eastAsia="Arial" w:hAnsi="Arial"/>
                <w:sz w:val="12"/>
                <w:szCs w:val="12"/>
                <w:b w:val="1"/>
                <w:bCs w:val="1"/>
                <w:color w:val="auto"/>
                <w:w w:val="97"/>
              </w:rPr>
              <w:t>Stock</w:t>
            </w:r>
          </w:p>
        </w:tc>
        <w:tc>
          <w:tcPr>
            <w:tcW w:w="18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rPr>
              <w:t>Profit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9"/>
              </w:rPr>
              <w:t>Time</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Perquisites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2"/>
                <w:szCs w:val="12"/>
                <w:b w:val="1"/>
                <w:bCs w:val="1"/>
                <w:color w:val="auto"/>
              </w:rPr>
              <w:t>Bonus</w:t>
            </w:r>
          </w:p>
        </w:tc>
        <w:tc>
          <w:tcPr>
            <w:tcW w:w="20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Plan</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center"/>
              <w:ind w:right="59"/>
              <w:spacing w:after="0"/>
              <w:rPr>
                <w:sz w:val="20"/>
                <w:szCs w:val="20"/>
                <w:color w:val="auto"/>
              </w:rPr>
            </w:pPr>
            <w:r>
              <w:rPr>
                <w:rFonts w:ascii="Arial" w:cs="Arial" w:eastAsia="Arial" w:hAnsi="Arial"/>
                <w:sz w:val="12"/>
                <w:szCs w:val="12"/>
                <w:b w:val="1"/>
                <w:bCs w:val="1"/>
                <w:color w:val="auto"/>
              </w:rPr>
              <w:t>Plan</w:t>
            </w:r>
          </w:p>
        </w:tc>
        <w:tc>
          <w:tcPr>
            <w:tcW w:w="200" w:type="dxa"/>
            <w:vAlign w:val="bottom"/>
          </w:tcPr>
          <w:p>
            <w:pPr>
              <w:spacing w:after="0"/>
              <w:rPr>
                <w:sz w:val="19"/>
                <w:szCs w:val="19"/>
                <w:color w:val="auto"/>
              </w:rPr>
            </w:pP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rPr>
              <w:t>Compensation</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center"/>
              <w:ind w:right="59"/>
              <w:spacing w:after="0"/>
              <w:rPr>
                <w:sz w:val="20"/>
                <w:szCs w:val="20"/>
                <w:color w:val="auto"/>
              </w:rPr>
            </w:pPr>
            <w:r>
              <w:rPr>
                <w:rFonts w:ascii="Arial" w:cs="Arial" w:eastAsia="Arial" w:hAnsi="Arial"/>
                <w:sz w:val="12"/>
                <w:szCs w:val="12"/>
                <w:b w:val="1"/>
                <w:bCs w:val="1"/>
                <w:color w:val="auto"/>
              </w:rPr>
              <w:t>Options</w:t>
            </w:r>
          </w:p>
        </w:tc>
        <w:tc>
          <w:tcPr>
            <w:tcW w:w="18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2"/>
                <w:szCs w:val="12"/>
                <w:b w:val="1"/>
                <w:bCs w:val="1"/>
                <w:color w:val="auto"/>
              </w:rPr>
              <w:t>Sharing</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rPr>
              <w:t>Bank</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rPr>
              <w:t>and Life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7"/>
        </w:trPr>
        <w:tc>
          <w:tcPr>
            <w:tcW w:w="2620" w:type="dxa"/>
            <w:vAlign w:val="bottom"/>
            <w:tcBorders>
              <w:bottom w:val="single" w:sz="8" w:color="auto"/>
            </w:tcBorders>
          </w:tcPr>
          <w:p>
            <w:pPr>
              <w:ind w:left="1140"/>
              <w:spacing w:after="0"/>
              <w:rPr>
                <w:sz w:val="20"/>
                <w:szCs w:val="20"/>
                <w:color w:val="auto"/>
              </w:rPr>
            </w:pPr>
            <w:r>
              <w:rPr>
                <w:rFonts w:ascii="Arial" w:cs="Arial" w:eastAsia="Arial" w:hAnsi="Arial"/>
                <w:sz w:val="12"/>
                <w:szCs w:val="12"/>
                <w:b w:val="1"/>
                <w:bCs w:val="1"/>
                <w:color w:val="auto"/>
              </w:rPr>
              <w:t>Name</w:t>
            </w:r>
          </w:p>
        </w:tc>
        <w:tc>
          <w:tcPr>
            <w:tcW w:w="200" w:type="dxa"/>
            <w:vAlign w:val="bottom"/>
          </w:tcPr>
          <w:p>
            <w:pPr>
              <w:spacing w:after="0"/>
              <w:rPr>
                <w:sz w:val="17"/>
                <w:szCs w:val="17"/>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(1)</w:t>
            </w:r>
          </w:p>
        </w:tc>
        <w:tc>
          <w:tcPr>
            <w:tcW w:w="200" w:type="dxa"/>
            <w:vAlign w:val="bottom"/>
          </w:tcPr>
          <w:p>
            <w:pPr>
              <w:spacing w:after="0"/>
              <w:rPr>
                <w:sz w:val="17"/>
                <w:szCs w:val="17"/>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79"/>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179"/>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7"/>
                <w:szCs w:val="17"/>
                <w:color w:val="auto"/>
              </w:rPr>
            </w:pPr>
          </w:p>
        </w:tc>
        <w:tc>
          <w:tcPr>
            <w:tcW w:w="820" w:type="dxa"/>
            <w:vAlign w:val="bottom"/>
            <w:tcBorders>
              <w:bottom w:val="single" w:sz="8" w:color="auto"/>
            </w:tcBorders>
          </w:tcPr>
          <w:p>
            <w:pPr>
              <w:jc w:val="right"/>
              <w:ind w:right="179"/>
              <w:spacing w:after="0"/>
              <w:rPr>
                <w:sz w:val="20"/>
                <w:szCs w:val="20"/>
                <w:color w:val="auto"/>
              </w:rPr>
            </w:pPr>
            <w:r>
              <w:rPr>
                <w:rFonts w:ascii="Arial" w:cs="Arial" w:eastAsia="Arial" w:hAnsi="Arial"/>
                <w:sz w:val="12"/>
                <w:szCs w:val="12"/>
                <w:b w:val="1"/>
                <w:bCs w:val="1"/>
                <w:color w:val="auto"/>
              </w:rPr>
              <w:t>RSUs</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right="39"/>
              <w:spacing w:after="0"/>
              <w:rPr>
                <w:sz w:val="20"/>
                <w:szCs w:val="20"/>
                <w:color w:val="auto"/>
              </w:rPr>
            </w:pPr>
            <w:r>
              <w:rPr>
                <w:rFonts w:ascii="Arial" w:cs="Arial" w:eastAsia="Arial" w:hAnsi="Arial"/>
                <w:sz w:val="12"/>
                <w:szCs w:val="12"/>
                <w:b w:val="1"/>
                <w:bCs w:val="1"/>
                <w:color w:val="auto"/>
              </w:rPr>
              <w:t>(5)</w:t>
            </w:r>
          </w:p>
        </w:tc>
        <w:tc>
          <w:tcPr>
            <w:tcW w:w="180" w:type="dxa"/>
            <w:vAlign w:val="bottom"/>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(6)</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center"/>
              <w:ind w:right="39"/>
              <w:spacing w:after="0"/>
              <w:rPr>
                <w:sz w:val="20"/>
                <w:szCs w:val="20"/>
                <w:color w:val="auto"/>
              </w:rPr>
            </w:pPr>
            <w:r>
              <w:rPr>
                <w:rFonts w:ascii="Arial" w:cs="Arial" w:eastAsia="Arial" w:hAnsi="Arial"/>
                <w:sz w:val="12"/>
                <w:szCs w:val="12"/>
                <w:b w:val="1"/>
                <w:bCs w:val="1"/>
                <w:color w:val="auto"/>
                <w:w w:val="95"/>
              </w:rPr>
              <w:t>(7)</w:t>
            </w:r>
          </w:p>
        </w:tc>
        <w:tc>
          <w:tcPr>
            <w:tcW w:w="20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Insurance</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Total</w:t>
            </w:r>
          </w:p>
        </w:tc>
        <w:tc>
          <w:tcPr>
            <w:tcW w:w="20" w:type="dxa"/>
            <w:vAlign w:val="bottom"/>
          </w:tcPr>
          <w:p>
            <w:pPr>
              <w:spacing w:after="0"/>
              <w:rPr>
                <w:sz w:val="17"/>
                <w:szCs w:val="17"/>
                <w:color w:val="auto"/>
              </w:rPr>
            </w:pPr>
          </w:p>
        </w:tc>
      </w:tr>
      <w:tr>
        <w:trPr>
          <w:trHeight w:val="213"/>
        </w:trPr>
        <w:tc>
          <w:tcPr>
            <w:tcW w:w="2620" w:type="dxa"/>
            <w:vAlign w:val="bottom"/>
            <w:shd w:val="clear" w:color="auto" w:fill="C0C0C0"/>
          </w:tcPr>
          <w:p>
            <w:pPr>
              <w:spacing w:after="0"/>
              <w:rPr>
                <w:sz w:val="20"/>
                <w:szCs w:val="20"/>
                <w:color w:val="auto"/>
              </w:rPr>
            </w:pPr>
            <w:r>
              <w:rPr>
                <w:rFonts w:ascii="Arial" w:cs="Arial" w:eastAsia="Arial" w:hAnsi="Arial"/>
                <w:sz w:val="12"/>
                <w:szCs w:val="12"/>
                <w:color w:val="auto"/>
              </w:rPr>
              <w:t>Templeton</w:t>
            </w:r>
          </w:p>
        </w:tc>
        <w:tc>
          <w:tcPr>
            <w:tcW w:w="580" w:type="dxa"/>
            <w:vAlign w:val="bottom"/>
            <w:gridSpan w:val="2"/>
            <w:shd w:val="clear" w:color="auto" w:fill="C0C0C0"/>
          </w:tcPr>
          <w:p>
            <w:pPr>
              <w:jc w:val="center"/>
              <w:ind w:left="139"/>
              <w:spacing w:after="0"/>
              <w:rPr>
                <w:sz w:val="20"/>
                <w:szCs w:val="20"/>
                <w:color w:val="auto"/>
              </w:rPr>
            </w:pPr>
            <w:r>
              <w:rPr>
                <w:rFonts w:ascii="Arial" w:cs="Arial" w:eastAsia="Arial" w:hAnsi="Arial"/>
                <w:sz w:val="12"/>
                <w:szCs w:val="12"/>
                <w:color w:val="auto"/>
                <w:w w:val="95"/>
              </w:rPr>
              <w:t>(1)</w:t>
            </w:r>
          </w:p>
        </w:tc>
        <w:tc>
          <w:tcPr>
            <w:tcW w:w="840" w:type="dxa"/>
            <w:vAlign w:val="bottom"/>
            <w:gridSpan w:val="2"/>
            <w:shd w:val="clear" w:color="auto" w:fill="C0C0C0"/>
          </w:tcPr>
          <w:p>
            <w:pPr>
              <w:jc w:val="right"/>
              <w:ind w:right="19"/>
              <w:spacing w:after="0"/>
              <w:rPr>
                <w:sz w:val="20"/>
                <w:szCs w:val="20"/>
                <w:color w:val="auto"/>
              </w:rPr>
            </w:pPr>
            <w:r>
              <w:rPr>
                <w:rFonts w:ascii="Arial" w:cs="Arial" w:eastAsia="Arial" w:hAnsi="Arial"/>
                <w:sz w:val="12"/>
                <w:szCs w:val="12"/>
                <w:color w:val="auto"/>
              </w:rPr>
              <w:t>$364,975</w:t>
            </w: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0C0C0"/>
          </w:tcPr>
          <w:p>
            <w:pPr>
              <w:jc w:val="right"/>
              <w:ind w:right="39"/>
              <w:spacing w:after="0"/>
              <w:rPr>
                <w:sz w:val="20"/>
                <w:szCs w:val="20"/>
                <w:color w:val="auto"/>
              </w:rPr>
            </w:pPr>
            <w:r>
              <w:rPr>
                <w:rFonts w:ascii="Arial" w:cs="Arial" w:eastAsia="Arial" w:hAnsi="Arial"/>
                <w:sz w:val="12"/>
                <w:szCs w:val="12"/>
                <w:color w:val="auto"/>
              </w:rPr>
              <w:t>269,691</w:t>
            </w:r>
          </w:p>
        </w:tc>
        <w:tc>
          <w:tcPr>
            <w:tcW w:w="4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0C0C0"/>
          </w:tcPr>
          <w:p>
            <w:pPr>
              <w:jc w:val="right"/>
              <w:ind w:right="39"/>
              <w:spacing w:after="0"/>
              <w:rPr>
                <w:sz w:val="20"/>
                <w:szCs w:val="20"/>
                <w:color w:val="auto"/>
              </w:rPr>
            </w:pPr>
            <w:r>
              <w:rPr>
                <w:rFonts w:ascii="Arial" w:cs="Arial" w:eastAsia="Arial" w:hAnsi="Arial"/>
                <w:sz w:val="12"/>
                <w:szCs w:val="12"/>
                <w:color w:val="auto"/>
                <w:w w:val="97"/>
              </w:rPr>
              <w:t>3,294,862</w:t>
            </w:r>
          </w:p>
        </w:tc>
        <w:tc>
          <w:tcPr>
            <w:tcW w:w="1220" w:type="dxa"/>
            <w:vAlign w:val="bottom"/>
            <w:gridSpan w:val="3"/>
            <w:shd w:val="clear" w:color="auto" w:fill="C0C0C0"/>
          </w:tcPr>
          <w:p>
            <w:pPr>
              <w:jc w:val="right"/>
              <w:ind w:right="200"/>
              <w:spacing w:after="0"/>
              <w:rPr>
                <w:sz w:val="20"/>
                <w:szCs w:val="20"/>
                <w:color w:val="auto"/>
              </w:rPr>
            </w:pPr>
            <w:r>
              <w:rPr>
                <w:rFonts w:ascii="Arial" w:cs="Arial" w:eastAsia="Arial" w:hAnsi="Arial"/>
                <w:sz w:val="12"/>
                <w:szCs w:val="12"/>
                <w:color w:val="auto"/>
              </w:rPr>
              <w:t>$4,008,000 (4)</w:t>
            </w:r>
          </w:p>
        </w:tc>
        <w:tc>
          <w:tcPr>
            <w:tcW w:w="10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9"/>
              </w:rPr>
              <w:t>30,658,125</w:t>
            </w:r>
          </w:p>
        </w:tc>
        <w:tc>
          <w:tcPr>
            <w:tcW w:w="780" w:type="dxa"/>
            <w:vAlign w:val="bottom"/>
            <w:gridSpan w:val="2"/>
            <w:shd w:val="clear" w:color="auto" w:fill="C0C0C0"/>
          </w:tcPr>
          <w:p>
            <w:pPr>
              <w:jc w:val="center"/>
              <w:ind w:left="139"/>
              <w:spacing w:after="0"/>
              <w:rPr>
                <w:sz w:val="20"/>
                <w:szCs w:val="20"/>
                <w:color w:val="auto"/>
              </w:rPr>
            </w:pPr>
            <w:r>
              <w:rPr>
                <w:rFonts w:ascii="Arial" w:cs="Arial" w:eastAsia="Arial" w:hAnsi="Arial"/>
                <w:sz w:val="12"/>
                <w:szCs w:val="12"/>
                <w:color w:val="auto"/>
              </w:rPr>
              <w:t>$95,822</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6"/>
              </w:rPr>
              <w:t>149,517</w:t>
            </w:r>
          </w:p>
        </w:tc>
        <w:tc>
          <w:tcPr>
            <w:tcW w:w="200" w:type="dxa"/>
            <w:vAlign w:val="bottom"/>
            <w:shd w:val="clear" w:color="auto" w:fill="C0C0C0"/>
          </w:tcPr>
          <w:p>
            <w:pPr>
              <w:spacing w:after="0"/>
              <w:rPr>
                <w:sz w:val="18"/>
                <w:szCs w:val="18"/>
                <w:color w:val="auto"/>
              </w:rPr>
            </w:pPr>
          </w:p>
        </w:tc>
        <w:tc>
          <w:tcPr>
            <w:tcW w:w="720" w:type="dxa"/>
            <w:vAlign w:val="bottom"/>
            <w:shd w:val="clear" w:color="auto" w:fill="C0C0C0"/>
          </w:tcPr>
          <w:p>
            <w:pPr>
              <w:jc w:val="right"/>
              <w:ind w:right="119"/>
              <w:spacing w:after="0"/>
              <w:rPr>
                <w:sz w:val="20"/>
                <w:szCs w:val="20"/>
                <w:color w:val="auto"/>
              </w:rPr>
            </w:pPr>
            <w:r>
              <w:rPr>
                <w:rFonts w:ascii="Arial" w:cs="Arial" w:eastAsia="Arial" w:hAnsi="Arial"/>
                <w:sz w:val="12"/>
                <w:szCs w:val="12"/>
                <w:color w:val="auto"/>
              </w:rPr>
              <w:t>0</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6"/>
              </w:rPr>
              <w:t>38,840,992</w:t>
            </w:r>
          </w:p>
        </w:tc>
        <w:tc>
          <w:tcPr>
            <w:tcW w:w="20" w:type="dxa"/>
            <w:vAlign w:val="bottom"/>
          </w:tcPr>
          <w:p>
            <w:pPr>
              <w:spacing w:after="0"/>
              <w:rPr>
                <w:sz w:val="18"/>
                <w:szCs w:val="18"/>
                <w:color w:val="auto"/>
              </w:rPr>
            </w:pPr>
          </w:p>
        </w:tc>
      </w:tr>
      <w:tr>
        <w:trPr>
          <w:trHeight w:val="221"/>
        </w:trPr>
        <w:tc>
          <w:tcPr>
            <w:tcW w:w="2620" w:type="dxa"/>
            <w:vAlign w:val="bottom"/>
          </w:tcPr>
          <w:p>
            <w:pPr>
              <w:spacing w:after="0"/>
              <w:rPr>
                <w:sz w:val="20"/>
                <w:szCs w:val="20"/>
                <w:color w:val="auto"/>
              </w:rPr>
            </w:pPr>
            <w:r>
              <w:rPr>
                <w:rFonts w:ascii="Arial" w:cs="Arial" w:eastAsia="Arial" w:hAnsi="Arial"/>
                <w:sz w:val="12"/>
                <w:szCs w:val="12"/>
                <w:color w:val="auto"/>
              </w:rPr>
              <w:t>March</w:t>
            </w:r>
          </w:p>
        </w:tc>
        <w:tc>
          <w:tcPr>
            <w:tcW w:w="580" w:type="dxa"/>
            <w:vAlign w:val="bottom"/>
            <w:gridSpan w:val="2"/>
          </w:tcPr>
          <w:p>
            <w:pPr>
              <w:jc w:val="center"/>
              <w:ind w:left="139"/>
              <w:spacing w:after="0"/>
              <w:rPr>
                <w:sz w:val="20"/>
                <w:szCs w:val="20"/>
                <w:color w:val="auto"/>
              </w:rPr>
            </w:pPr>
            <w:r>
              <w:rPr>
                <w:rFonts w:ascii="Arial" w:cs="Arial" w:eastAsia="Arial" w:hAnsi="Arial"/>
                <w:sz w:val="12"/>
                <w:szCs w:val="12"/>
                <w:color w:val="auto"/>
                <w:w w:val="95"/>
              </w:rPr>
              <w:t>(1)</w:t>
            </w:r>
          </w:p>
        </w:tc>
        <w:tc>
          <w:tcPr>
            <w:tcW w:w="840" w:type="dxa"/>
            <w:vAlign w:val="bottom"/>
            <w:gridSpan w:val="2"/>
          </w:tcPr>
          <w:p>
            <w:pPr>
              <w:jc w:val="right"/>
              <w:ind w:right="19"/>
              <w:spacing w:after="0"/>
              <w:rPr>
                <w:sz w:val="20"/>
                <w:szCs w:val="20"/>
                <w:color w:val="auto"/>
              </w:rPr>
            </w:pPr>
            <w:r>
              <w:rPr>
                <w:rFonts w:ascii="Arial" w:cs="Arial" w:eastAsia="Arial" w:hAnsi="Arial"/>
                <w:sz w:val="12"/>
                <w:szCs w:val="12"/>
                <w:color w:val="auto"/>
              </w:rPr>
              <w:t>$318,956</w:t>
            </w: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auto"/>
              </w:rPr>
              <w:t>856,338</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39"/>
              <w:spacing w:after="0"/>
              <w:rPr>
                <w:sz w:val="20"/>
                <w:szCs w:val="20"/>
                <w:color w:val="auto"/>
              </w:rPr>
            </w:pPr>
            <w:r>
              <w:rPr>
                <w:rFonts w:ascii="Arial" w:cs="Arial" w:eastAsia="Arial" w:hAnsi="Arial"/>
                <w:sz w:val="12"/>
                <w:szCs w:val="12"/>
                <w:color w:val="auto"/>
              </w:rPr>
              <w:t>90,410</w:t>
            </w:r>
          </w:p>
        </w:tc>
        <w:tc>
          <w:tcPr>
            <w:tcW w:w="1020" w:type="dxa"/>
            <w:vAlign w:val="bottom"/>
            <w:gridSpan w:val="2"/>
          </w:tcPr>
          <w:p>
            <w:pPr>
              <w:jc w:val="right"/>
              <w:ind w:right="119"/>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3,004,434</w:t>
            </w:r>
          </w:p>
        </w:tc>
        <w:tc>
          <w:tcPr>
            <w:tcW w:w="780" w:type="dxa"/>
            <w:vAlign w:val="bottom"/>
            <w:gridSpan w:val="2"/>
          </w:tcPr>
          <w:p>
            <w:pPr>
              <w:jc w:val="center"/>
              <w:ind w:left="139"/>
              <w:spacing w:after="0"/>
              <w:rPr>
                <w:sz w:val="20"/>
                <w:szCs w:val="20"/>
                <w:color w:val="auto"/>
              </w:rPr>
            </w:pPr>
            <w:r>
              <w:rPr>
                <w:rFonts w:ascii="Arial" w:cs="Arial" w:eastAsia="Arial" w:hAnsi="Arial"/>
                <w:sz w:val="12"/>
                <w:szCs w:val="12"/>
                <w:color w:val="auto"/>
              </w:rPr>
              <w:t>$44,248</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102,055</w:t>
            </w:r>
          </w:p>
        </w:tc>
        <w:tc>
          <w:tcPr>
            <w:tcW w:w="200" w:type="dxa"/>
            <w:vAlign w:val="bottom"/>
          </w:tcPr>
          <w:p>
            <w:pPr>
              <w:spacing w:after="0"/>
              <w:rPr>
                <w:sz w:val="19"/>
                <w:szCs w:val="19"/>
                <w:color w:val="auto"/>
              </w:rPr>
            </w:pPr>
          </w:p>
        </w:tc>
        <w:tc>
          <w:tcPr>
            <w:tcW w:w="720" w:type="dxa"/>
            <w:vAlign w:val="bottom"/>
          </w:tcPr>
          <w:p>
            <w:pPr>
              <w:jc w:val="right"/>
              <w:ind w:right="119"/>
              <w:spacing w:after="0"/>
              <w:rPr>
                <w:sz w:val="20"/>
                <w:szCs w:val="20"/>
                <w:color w:val="auto"/>
              </w:rPr>
            </w:pPr>
            <w:r>
              <w:rPr>
                <w:rFonts w:ascii="Arial" w:cs="Arial" w:eastAsia="Arial" w:hAnsi="Arial"/>
                <w:sz w:val="12"/>
                <w:szCs w:val="12"/>
                <w:color w:val="auto"/>
              </w:rPr>
              <w:t>0</w:t>
            </w:r>
          </w:p>
        </w:tc>
        <w:tc>
          <w:tcPr>
            <w:tcW w:w="3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4,416,441</w:t>
            </w:r>
          </w:p>
        </w:tc>
      </w:tr>
      <w:tr>
        <w:trPr>
          <w:trHeight w:val="221"/>
        </w:trPr>
        <w:tc>
          <w:tcPr>
            <w:tcW w:w="2620" w:type="dxa"/>
            <w:vAlign w:val="bottom"/>
            <w:shd w:val="clear" w:color="auto" w:fill="C0C0C0"/>
          </w:tcPr>
          <w:p>
            <w:pPr>
              <w:spacing w:after="0"/>
              <w:rPr>
                <w:sz w:val="20"/>
                <w:szCs w:val="20"/>
                <w:color w:val="auto"/>
              </w:rPr>
            </w:pPr>
            <w:r>
              <w:rPr>
                <w:rFonts w:ascii="Arial" w:cs="Arial" w:eastAsia="Arial" w:hAnsi="Arial"/>
                <w:sz w:val="12"/>
                <w:szCs w:val="12"/>
                <w:color w:val="auto"/>
              </w:rPr>
              <w:t>Engibous</w:t>
            </w:r>
          </w:p>
        </w:tc>
        <w:tc>
          <w:tcPr>
            <w:tcW w:w="580" w:type="dxa"/>
            <w:vAlign w:val="bottom"/>
            <w:gridSpan w:val="2"/>
            <w:shd w:val="clear" w:color="auto" w:fill="C0C0C0"/>
          </w:tcPr>
          <w:p>
            <w:pPr>
              <w:jc w:val="center"/>
              <w:ind w:left="139"/>
              <w:spacing w:after="0"/>
              <w:rPr>
                <w:sz w:val="20"/>
                <w:szCs w:val="20"/>
                <w:color w:val="auto"/>
              </w:rPr>
            </w:pPr>
            <w:r>
              <w:rPr>
                <w:rFonts w:ascii="Arial" w:cs="Arial" w:eastAsia="Arial" w:hAnsi="Arial"/>
                <w:sz w:val="12"/>
                <w:szCs w:val="12"/>
                <w:color w:val="auto"/>
                <w:w w:val="95"/>
              </w:rPr>
              <w:t>(1)</w:t>
            </w:r>
          </w:p>
        </w:tc>
        <w:tc>
          <w:tcPr>
            <w:tcW w:w="840" w:type="dxa"/>
            <w:vAlign w:val="bottom"/>
            <w:gridSpan w:val="2"/>
            <w:shd w:val="clear" w:color="auto" w:fill="C0C0C0"/>
          </w:tcPr>
          <w:p>
            <w:pPr>
              <w:jc w:val="right"/>
              <w:ind w:right="19"/>
              <w:spacing w:after="0"/>
              <w:rPr>
                <w:sz w:val="20"/>
                <w:szCs w:val="20"/>
                <w:color w:val="auto"/>
              </w:rPr>
            </w:pPr>
            <w:r>
              <w:rPr>
                <w:rFonts w:ascii="Arial" w:cs="Arial" w:eastAsia="Arial" w:hAnsi="Arial"/>
                <w:sz w:val="12"/>
                <w:szCs w:val="12"/>
                <w:color w:val="auto"/>
              </w:rPr>
              <w:t>$762,479</w:t>
            </w: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0C0C0"/>
          </w:tcPr>
          <w:p>
            <w:pPr>
              <w:jc w:val="right"/>
              <w:ind w:right="39"/>
              <w:spacing w:after="0"/>
              <w:rPr>
                <w:sz w:val="20"/>
                <w:szCs w:val="20"/>
                <w:color w:val="auto"/>
              </w:rPr>
            </w:pPr>
            <w:r>
              <w:rPr>
                <w:rFonts w:ascii="Arial" w:cs="Arial" w:eastAsia="Arial" w:hAnsi="Arial"/>
                <w:sz w:val="12"/>
                <w:szCs w:val="12"/>
                <w:color w:val="auto"/>
              </w:rPr>
              <w:t>5,636,650</w:t>
            </w:r>
          </w:p>
        </w:tc>
        <w:tc>
          <w:tcPr>
            <w:tcW w:w="4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0C0C0"/>
          </w:tcPr>
          <w:p>
            <w:pPr>
              <w:jc w:val="right"/>
              <w:ind w:right="39"/>
              <w:spacing w:after="0"/>
              <w:rPr>
                <w:sz w:val="20"/>
                <w:szCs w:val="20"/>
                <w:color w:val="auto"/>
              </w:rPr>
            </w:pPr>
            <w:r>
              <w:rPr>
                <w:rFonts w:ascii="Arial" w:cs="Arial" w:eastAsia="Arial" w:hAnsi="Arial"/>
                <w:sz w:val="12"/>
                <w:szCs w:val="12"/>
                <w:color w:val="auto"/>
                <w:w w:val="97"/>
              </w:rPr>
              <w:t>1,637,942</w:t>
            </w:r>
          </w:p>
        </w:tc>
        <w:tc>
          <w:tcPr>
            <w:tcW w:w="1020" w:type="dxa"/>
            <w:vAlign w:val="bottom"/>
            <w:gridSpan w:val="2"/>
            <w:shd w:val="clear" w:color="auto" w:fill="C0C0C0"/>
          </w:tcPr>
          <w:p>
            <w:pPr>
              <w:jc w:val="right"/>
              <w:ind w:right="119"/>
              <w:spacing w:after="0"/>
              <w:rPr>
                <w:sz w:val="20"/>
                <w:szCs w:val="20"/>
                <w:color w:val="auto"/>
              </w:rPr>
            </w:pPr>
            <w:r>
              <w:rPr>
                <w:rFonts w:ascii="Arial" w:cs="Arial" w:eastAsia="Arial" w:hAnsi="Arial"/>
                <w:sz w:val="12"/>
                <w:szCs w:val="12"/>
                <w:color w:val="auto"/>
              </w:rPr>
              <w:t>0</w:t>
            </w:r>
          </w:p>
        </w:tc>
        <w:tc>
          <w:tcPr>
            <w:tcW w:w="200" w:type="dxa"/>
            <w:vAlign w:val="bottom"/>
            <w:shd w:val="clear" w:color="auto" w:fill="C0C0C0"/>
          </w:tcPr>
          <w:p>
            <w:pPr>
              <w:spacing w:after="0"/>
              <w:rPr>
                <w:sz w:val="19"/>
                <w:szCs w:val="19"/>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9"/>
              </w:rPr>
              <w:t>40,789,575</w:t>
            </w:r>
          </w:p>
        </w:tc>
        <w:tc>
          <w:tcPr>
            <w:tcW w:w="780" w:type="dxa"/>
            <w:vAlign w:val="bottom"/>
            <w:gridSpan w:val="2"/>
            <w:shd w:val="clear" w:color="auto" w:fill="C0C0C0"/>
          </w:tcPr>
          <w:p>
            <w:pPr>
              <w:jc w:val="center"/>
              <w:ind w:left="139"/>
              <w:spacing w:after="0"/>
              <w:rPr>
                <w:sz w:val="20"/>
                <w:szCs w:val="20"/>
                <w:color w:val="auto"/>
              </w:rPr>
            </w:pPr>
            <w:r>
              <w:rPr>
                <w:rFonts w:ascii="Arial" w:cs="Arial" w:eastAsia="Arial" w:hAnsi="Arial"/>
                <w:sz w:val="12"/>
                <w:szCs w:val="12"/>
                <w:color w:val="auto"/>
              </w:rPr>
              <w:t>$31,354</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6"/>
              </w:rPr>
              <w:t>145,557</w:t>
            </w:r>
          </w:p>
        </w:tc>
        <w:tc>
          <w:tcPr>
            <w:tcW w:w="200" w:type="dxa"/>
            <w:vAlign w:val="bottom"/>
            <w:shd w:val="clear" w:color="auto" w:fill="C0C0C0"/>
          </w:tcPr>
          <w:p>
            <w:pPr>
              <w:spacing w:after="0"/>
              <w:rPr>
                <w:sz w:val="19"/>
                <w:szCs w:val="19"/>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$272,330 (8)</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6"/>
              </w:rPr>
              <w:t>49,275,887</w:t>
            </w:r>
          </w:p>
        </w:tc>
        <w:tc>
          <w:tcPr>
            <w:tcW w:w="20" w:type="dxa"/>
            <w:vAlign w:val="bottom"/>
          </w:tcPr>
          <w:p>
            <w:pPr>
              <w:spacing w:after="0"/>
              <w:rPr>
                <w:sz w:val="19"/>
                <w:szCs w:val="19"/>
                <w:color w:val="auto"/>
              </w:rPr>
            </w:pPr>
          </w:p>
        </w:tc>
      </w:tr>
      <w:tr>
        <w:trPr>
          <w:trHeight w:val="221"/>
        </w:trPr>
        <w:tc>
          <w:tcPr>
            <w:tcW w:w="2620" w:type="dxa"/>
            <w:vAlign w:val="bottom"/>
          </w:tcPr>
          <w:p>
            <w:pPr>
              <w:spacing w:after="0"/>
              <w:rPr>
                <w:sz w:val="20"/>
                <w:szCs w:val="20"/>
                <w:color w:val="auto"/>
              </w:rPr>
            </w:pPr>
            <w:r>
              <w:rPr>
                <w:rFonts w:ascii="Arial" w:cs="Arial" w:eastAsia="Arial" w:hAnsi="Arial"/>
                <w:sz w:val="12"/>
                <w:szCs w:val="12"/>
                <w:color w:val="auto"/>
              </w:rPr>
              <w:t>Lowe</w:t>
            </w:r>
          </w:p>
        </w:tc>
        <w:tc>
          <w:tcPr>
            <w:tcW w:w="580" w:type="dxa"/>
            <w:vAlign w:val="bottom"/>
            <w:gridSpan w:val="2"/>
          </w:tcPr>
          <w:p>
            <w:pPr>
              <w:jc w:val="center"/>
              <w:ind w:left="139"/>
              <w:spacing w:after="0"/>
              <w:rPr>
                <w:sz w:val="20"/>
                <w:szCs w:val="20"/>
                <w:color w:val="auto"/>
              </w:rPr>
            </w:pPr>
            <w:r>
              <w:rPr>
                <w:rFonts w:ascii="Arial" w:cs="Arial" w:eastAsia="Arial" w:hAnsi="Arial"/>
                <w:sz w:val="12"/>
                <w:szCs w:val="12"/>
                <w:color w:val="auto"/>
                <w:w w:val="95"/>
              </w:rPr>
              <w:t>(1)</w:t>
            </w:r>
          </w:p>
        </w:tc>
        <w:tc>
          <w:tcPr>
            <w:tcW w:w="840" w:type="dxa"/>
            <w:vAlign w:val="bottom"/>
            <w:gridSpan w:val="2"/>
          </w:tcPr>
          <w:p>
            <w:pPr>
              <w:jc w:val="right"/>
              <w:ind w:right="19"/>
              <w:spacing w:after="0"/>
              <w:rPr>
                <w:sz w:val="20"/>
                <w:szCs w:val="20"/>
                <w:color w:val="auto"/>
              </w:rPr>
            </w:pPr>
            <w:r>
              <w:rPr>
                <w:rFonts w:ascii="Arial" w:cs="Arial" w:eastAsia="Arial" w:hAnsi="Arial"/>
                <w:sz w:val="12"/>
                <w:szCs w:val="12"/>
                <w:color w:val="auto"/>
              </w:rPr>
              <w:t>$369,507</w:t>
            </w:r>
          </w:p>
        </w:tc>
        <w:tc>
          <w:tcPr>
            <w:tcW w:w="3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39"/>
              <w:spacing w:after="0"/>
              <w:rPr>
                <w:sz w:val="20"/>
                <w:szCs w:val="20"/>
                <w:color w:val="auto"/>
              </w:rPr>
            </w:pPr>
            <w:r>
              <w:rPr>
                <w:rFonts w:ascii="Arial" w:cs="Arial" w:eastAsia="Arial" w:hAnsi="Arial"/>
                <w:sz w:val="12"/>
                <w:szCs w:val="12"/>
                <w:color w:val="auto"/>
              </w:rPr>
              <w:t>1,018,940</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39"/>
              <w:spacing w:after="0"/>
              <w:rPr>
                <w:sz w:val="20"/>
                <w:szCs w:val="20"/>
                <w:color w:val="auto"/>
              </w:rPr>
            </w:pPr>
            <w:r>
              <w:rPr>
                <w:rFonts w:ascii="Arial" w:cs="Arial" w:eastAsia="Arial" w:hAnsi="Arial"/>
                <w:sz w:val="12"/>
                <w:szCs w:val="12"/>
                <w:color w:val="auto"/>
                <w:w w:val="97"/>
              </w:rPr>
              <w:t>1,707,941</w:t>
            </w:r>
          </w:p>
        </w:tc>
        <w:tc>
          <w:tcPr>
            <w:tcW w:w="1020" w:type="dxa"/>
            <w:vAlign w:val="bottom"/>
            <w:gridSpan w:val="2"/>
          </w:tcPr>
          <w:p>
            <w:pPr>
              <w:jc w:val="right"/>
              <w:ind w:right="119"/>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1,736,875</w:t>
            </w:r>
          </w:p>
        </w:tc>
        <w:tc>
          <w:tcPr>
            <w:tcW w:w="780" w:type="dxa"/>
            <w:vAlign w:val="bottom"/>
            <w:gridSpan w:val="2"/>
          </w:tcPr>
          <w:p>
            <w:pPr>
              <w:jc w:val="center"/>
              <w:ind w:left="139"/>
              <w:spacing w:after="0"/>
              <w:rPr>
                <w:sz w:val="20"/>
                <w:szCs w:val="20"/>
                <w:color w:val="auto"/>
              </w:rPr>
            </w:pPr>
            <w:r>
              <w:rPr>
                <w:rFonts w:ascii="Arial" w:cs="Arial" w:eastAsia="Arial" w:hAnsi="Arial"/>
                <w:sz w:val="12"/>
                <w:szCs w:val="12"/>
                <w:color w:val="auto"/>
              </w:rPr>
              <w:t>$51,661</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2"/>
                <w:szCs w:val="12"/>
                <w:color w:val="auto"/>
              </w:rPr>
              <w:t>74,782</w:t>
            </w:r>
          </w:p>
        </w:tc>
        <w:tc>
          <w:tcPr>
            <w:tcW w:w="720" w:type="dxa"/>
            <w:vAlign w:val="bottom"/>
          </w:tcPr>
          <w:p>
            <w:pPr>
              <w:jc w:val="right"/>
              <w:ind w:right="119"/>
              <w:spacing w:after="0"/>
              <w:rPr>
                <w:sz w:val="20"/>
                <w:szCs w:val="20"/>
                <w:color w:val="auto"/>
              </w:rPr>
            </w:pPr>
            <w:r>
              <w:rPr>
                <w:rFonts w:ascii="Arial" w:cs="Arial" w:eastAsia="Arial" w:hAnsi="Arial"/>
                <w:sz w:val="12"/>
                <w:szCs w:val="12"/>
                <w:color w:val="auto"/>
              </w:rPr>
              <w:t>0</w:t>
            </w:r>
          </w:p>
        </w:tc>
        <w:tc>
          <w:tcPr>
            <w:tcW w:w="3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4,959,706</w:t>
            </w:r>
          </w:p>
        </w:tc>
      </w:tr>
      <w:tr>
        <w:trPr>
          <w:trHeight w:val="221"/>
        </w:trPr>
        <w:tc>
          <w:tcPr>
            <w:tcW w:w="2620" w:type="dxa"/>
            <w:vAlign w:val="bottom"/>
            <w:shd w:val="clear" w:color="auto" w:fill="C0C0C0"/>
          </w:tcPr>
          <w:p>
            <w:pPr>
              <w:spacing w:after="0"/>
              <w:rPr>
                <w:sz w:val="20"/>
                <w:szCs w:val="20"/>
                <w:color w:val="auto"/>
              </w:rPr>
            </w:pPr>
            <w:r>
              <w:rPr>
                <w:rFonts w:ascii="Arial" w:cs="Arial" w:eastAsia="Arial" w:hAnsi="Arial"/>
                <w:sz w:val="12"/>
                <w:szCs w:val="12"/>
                <w:color w:val="auto"/>
              </w:rPr>
              <w:t>Hames</w:t>
            </w:r>
          </w:p>
        </w:tc>
        <w:tc>
          <w:tcPr>
            <w:tcW w:w="580" w:type="dxa"/>
            <w:vAlign w:val="bottom"/>
            <w:gridSpan w:val="2"/>
            <w:shd w:val="clear" w:color="auto" w:fill="C0C0C0"/>
          </w:tcPr>
          <w:p>
            <w:pPr>
              <w:jc w:val="center"/>
              <w:ind w:left="139"/>
              <w:spacing w:after="0"/>
              <w:rPr>
                <w:sz w:val="20"/>
                <w:szCs w:val="20"/>
                <w:color w:val="auto"/>
              </w:rPr>
            </w:pPr>
            <w:r>
              <w:rPr>
                <w:rFonts w:ascii="Arial" w:cs="Arial" w:eastAsia="Arial" w:hAnsi="Arial"/>
                <w:sz w:val="12"/>
                <w:szCs w:val="12"/>
                <w:color w:val="auto"/>
                <w:w w:val="95"/>
              </w:rPr>
              <w:t>(1</w:t>
            </w:r>
            <w:r>
              <w:rPr>
                <w:rFonts w:ascii="Arial" w:cs="Arial" w:eastAsia="Arial" w:hAnsi="Arial"/>
                <w:sz w:val="12"/>
                <w:szCs w:val="12"/>
                <w:b w:val="1"/>
                <w:bCs w:val="1"/>
                <w:color w:val="auto"/>
                <w:w w:val="95"/>
              </w:rPr>
              <w:t>)</w:t>
            </w:r>
          </w:p>
        </w:tc>
        <w:tc>
          <w:tcPr>
            <w:tcW w:w="840" w:type="dxa"/>
            <w:vAlign w:val="bottom"/>
            <w:gridSpan w:val="2"/>
            <w:shd w:val="clear" w:color="auto" w:fill="C0C0C0"/>
          </w:tcPr>
          <w:p>
            <w:pPr>
              <w:jc w:val="right"/>
              <w:ind w:right="19"/>
              <w:spacing w:after="0"/>
              <w:rPr>
                <w:sz w:val="20"/>
                <w:szCs w:val="20"/>
                <w:color w:val="auto"/>
              </w:rPr>
            </w:pPr>
            <w:r>
              <w:rPr>
                <w:rFonts w:ascii="Arial" w:cs="Arial" w:eastAsia="Arial" w:hAnsi="Arial"/>
                <w:sz w:val="12"/>
                <w:szCs w:val="12"/>
                <w:color w:val="auto"/>
              </w:rPr>
              <w:t>$505,871</w:t>
            </w:r>
          </w:p>
        </w:tc>
        <w:tc>
          <w:tcPr>
            <w:tcW w:w="3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0C0C0"/>
          </w:tcPr>
          <w:p>
            <w:pPr>
              <w:jc w:val="right"/>
              <w:ind w:right="39"/>
              <w:spacing w:after="0"/>
              <w:rPr>
                <w:sz w:val="20"/>
                <w:szCs w:val="20"/>
                <w:color w:val="auto"/>
              </w:rPr>
            </w:pPr>
            <w:r>
              <w:rPr>
                <w:rFonts w:ascii="Arial" w:cs="Arial" w:eastAsia="Arial" w:hAnsi="Arial"/>
                <w:sz w:val="12"/>
                <w:szCs w:val="12"/>
                <w:color w:val="auto"/>
              </w:rPr>
              <w:t>1,173,636</w:t>
            </w:r>
          </w:p>
        </w:tc>
        <w:tc>
          <w:tcPr>
            <w:tcW w:w="4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0C0C0"/>
          </w:tcPr>
          <w:p>
            <w:pPr>
              <w:jc w:val="right"/>
              <w:ind w:right="39"/>
              <w:spacing w:after="0"/>
              <w:rPr>
                <w:sz w:val="20"/>
                <w:szCs w:val="20"/>
                <w:color w:val="auto"/>
              </w:rPr>
            </w:pPr>
            <w:r>
              <w:rPr>
                <w:rFonts w:ascii="Arial" w:cs="Arial" w:eastAsia="Arial" w:hAnsi="Arial"/>
                <w:sz w:val="12"/>
                <w:szCs w:val="12"/>
                <w:color w:val="auto"/>
                <w:w w:val="97"/>
              </w:rPr>
              <w:t>1,602,720</w:t>
            </w:r>
          </w:p>
        </w:tc>
        <w:tc>
          <w:tcPr>
            <w:tcW w:w="1020" w:type="dxa"/>
            <w:vAlign w:val="bottom"/>
            <w:gridSpan w:val="2"/>
            <w:shd w:val="clear" w:color="auto" w:fill="C0C0C0"/>
          </w:tcPr>
          <w:p>
            <w:pPr>
              <w:jc w:val="right"/>
              <w:ind w:right="119"/>
              <w:spacing w:after="0"/>
              <w:rPr>
                <w:sz w:val="20"/>
                <w:szCs w:val="20"/>
                <w:color w:val="auto"/>
              </w:rPr>
            </w:pPr>
            <w:r>
              <w:rPr>
                <w:rFonts w:ascii="Arial" w:cs="Arial" w:eastAsia="Arial" w:hAnsi="Arial"/>
                <w:sz w:val="12"/>
                <w:szCs w:val="12"/>
                <w:color w:val="auto"/>
              </w:rPr>
              <w:t>0</w:t>
            </w:r>
          </w:p>
        </w:tc>
        <w:tc>
          <w:tcPr>
            <w:tcW w:w="200" w:type="dxa"/>
            <w:vAlign w:val="bottom"/>
            <w:shd w:val="clear" w:color="auto" w:fill="C0C0C0"/>
          </w:tcPr>
          <w:p>
            <w:pPr>
              <w:spacing w:after="0"/>
              <w:rPr>
                <w:sz w:val="19"/>
                <w:szCs w:val="19"/>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9,124,375</w:t>
            </w:r>
          </w:p>
        </w:tc>
        <w:tc>
          <w:tcPr>
            <w:tcW w:w="780" w:type="dxa"/>
            <w:vAlign w:val="bottom"/>
            <w:gridSpan w:val="2"/>
            <w:shd w:val="clear" w:color="auto" w:fill="C0C0C0"/>
          </w:tcPr>
          <w:p>
            <w:pPr>
              <w:jc w:val="center"/>
              <w:ind w:left="139"/>
              <w:spacing w:after="0"/>
              <w:rPr>
                <w:sz w:val="20"/>
                <w:szCs w:val="20"/>
                <w:color w:val="auto"/>
              </w:rPr>
            </w:pPr>
            <w:r>
              <w:rPr>
                <w:rFonts w:ascii="Arial" w:cs="Arial" w:eastAsia="Arial" w:hAnsi="Arial"/>
                <w:sz w:val="12"/>
                <w:szCs w:val="12"/>
                <w:color w:val="auto"/>
              </w:rPr>
              <w:t>$46,132</w:t>
            </w:r>
          </w:p>
        </w:tc>
        <w:tc>
          <w:tcPr>
            <w:tcW w:w="30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0C0C0"/>
          </w:tcPr>
          <w:p>
            <w:pPr>
              <w:jc w:val="right"/>
              <w:ind w:right="200"/>
              <w:spacing w:after="0"/>
              <w:rPr>
                <w:sz w:val="20"/>
                <w:szCs w:val="20"/>
                <w:color w:val="auto"/>
              </w:rPr>
            </w:pPr>
            <w:r>
              <w:rPr>
                <w:rFonts w:ascii="Arial" w:cs="Arial" w:eastAsia="Arial" w:hAnsi="Arial"/>
                <w:sz w:val="12"/>
                <w:szCs w:val="12"/>
                <w:color w:val="auto"/>
              </w:rPr>
              <w:t>75,290</w:t>
            </w:r>
          </w:p>
        </w:tc>
        <w:tc>
          <w:tcPr>
            <w:tcW w:w="720" w:type="dxa"/>
            <w:vAlign w:val="bottom"/>
            <w:shd w:val="clear" w:color="auto" w:fill="C0C0C0"/>
          </w:tcPr>
          <w:p>
            <w:pPr>
              <w:jc w:val="right"/>
              <w:ind w:right="119"/>
              <w:spacing w:after="0"/>
              <w:rPr>
                <w:sz w:val="20"/>
                <w:szCs w:val="20"/>
                <w:color w:val="auto"/>
              </w:rPr>
            </w:pPr>
            <w:r>
              <w:rPr>
                <w:rFonts w:ascii="Arial" w:cs="Arial" w:eastAsia="Arial" w:hAnsi="Arial"/>
                <w:sz w:val="12"/>
                <w:szCs w:val="12"/>
                <w:color w:val="auto"/>
              </w:rPr>
              <w:t>0</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6"/>
              </w:rPr>
              <w:t>12,528,024</w:t>
            </w:r>
          </w:p>
        </w:tc>
        <w:tc>
          <w:tcPr>
            <w:tcW w:w="20" w:type="dxa"/>
            <w:vAlign w:val="bottom"/>
          </w:tcPr>
          <w:p>
            <w:pPr>
              <w:spacing w:after="0"/>
              <w:rPr>
                <w:sz w:val="19"/>
                <w:szCs w:val="19"/>
                <w:color w:val="auto"/>
              </w:rPr>
            </w:pPr>
          </w:p>
        </w:tc>
      </w:tr>
      <w:tr>
        <w:trPr>
          <w:trHeight w:val="201"/>
        </w:trPr>
        <w:tc>
          <w:tcPr>
            <w:tcW w:w="2620" w:type="dxa"/>
            <w:vAlign w:val="bottom"/>
          </w:tcPr>
          <w:p>
            <w:pPr>
              <w:spacing w:after="0"/>
              <w:rPr>
                <w:sz w:val="20"/>
                <w:szCs w:val="20"/>
                <w:color w:val="auto"/>
              </w:rPr>
            </w:pPr>
            <w:r>
              <w:rPr>
                <w:rFonts w:ascii="Arial" w:cs="Arial" w:eastAsia="Arial" w:hAnsi="Arial"/>
                <w:sz w:val="12"/>
                <w:szCs w:val="12"/>
                <w:color w:val="auto"/>
              </w:rPr>
              <w:t>Delfassy</w:t>
            </w:r>
          </w:p>
        </w:tc>
        <w:tc>
          <w:tcPr>
            <w:tcW w:w="580" w:type="dxa"/>
            <w:vAlign w:val="bottom"/>
            <w:gridSpan w:val="2"/>
          </w:tcPr>
          <w:p>
            <w:pPr>
              <w:jc w:val="center"/>
              <w:ind w:left="139"/>
              <w:spacing w:after="0"/>
              <w:rPr>
                <w:sz w:val="20"/>
                <w:szCs w:val="20"/>
                <w:color w:val="auto"/>
              </w:rPr>
            </w:pPr>
            <w:r>
              <w:rPr>
                <w:rFonts w:ascii="Arial" w:cs="Arial" w:eastAsia="Arial" w:hAnsi="Arial"/>
                <w:sz w:val="12"/>
                <w:szCs w:val="12"/>
                <w:color w:val="auto"/>
                <w:w w:val="95"/>
              </w:rPr>
              <w:t>(1)</w:t>
            </w:r>
          </w:p>
        </w:tc>
        <w:tc>
          <w:tcPr>
            <w:tcW w:w="840" w:type="dxa"/>
            <w:vAlign w:val="bottom"/>
            <w:gridSpan w:val="2"/>
          </w:tcPr>
          <w:p>
            <w:pPr>
              <w:jc w:val="right"/>
              <w:ind w:right="19"/>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39"/>
              <w:spacing w:after="0"/>
              <w:rPr>
                <w:sz w:val="20"/>
                <w:szCs w:val="20"/>
                <w:color w:val="auto"/>
              </w:rPr>
            </w:pPr>
            <w:r>
              <w:rPr>
                <w:rFonts w:ascii="Arial" w:cs="Arial" w:eastAsia="Arial" w:hAnsi="Arial"/>
                <w:sz w:val="12"/>
                <w:szCs w:val="12"/>
                <w:color w:val="auto"/>
              </w:rPr>
              <w:t>0</w:t>
            </w:r>
          </w:p>
        </w:tc>
        <w:tc>
          <w:tcPr>
            <w:tcW w:w="4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39"/>
              <w:spacing w:after="0"/>
              <w:rPr>
                <w:sz w:val="20"/>
                <w:szCs w:val="20"/>
                <w:color w:val="auto"/>
              </w:rPr>
            </w:pPr>
            <w:r>
              <w:rPr>
                <w:rFonts w:ascii="Arial" w:cs="Arial" w:eastAsia="Arial" w:hAnsi="Arial"/>
                <w:sz w:val="12"/>
                <w:szCs w:val="12"/>
                <w:color w:val="auto"/>
                <w:w w:val="97"/>
              </w:rPr>
              <w:t>2,466,398</w:t>
            </w:r>
          </w:p>
        </w:tc>
        <w:tc>
          <w:tcPr>
            <w:tcW w:w="1020" w:type="dxa"/>
            <w:vAlign w:val="bottom"/>
            <w:gridSpan w:val="2"/>
          </w:tcPr>
          <w:p>
            <w:pPr>
              <w:jc w:val="right"/>
              <w:ind w:right="119"/>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3,727,315</w:t>
            </w:r>
          </w:p>
        </w:tc>
        <w:tc>
          <w:tcPr>
            <w:tcW w:w="780" w:type="dxa"/>
            <w:vAlign w:val="bottom"/>
            <w:gridSpan w:val="2"/>
          </w:tcPr>
          <w:p>
            <w:pPr>
              <w:jc w:val="center"/>
              <w:ind w:left="139"/>
              <w:spacing w:after="0"/>
              <w:rPr>
                <w:sz w:val="20"/>
                <w:szCs w:val="20"/>
                <w:color w:val="auto"/>
              </w:rPr>
            </w:pPr>
            <w:r>
              <w:rPr>
                <w:rFonts w:ascii="Arial" w:cs="Arial" w:eastAsia="Arial" w:hAnsi="Arial"/>
                <w:sz w:val="12"/>
                <w:szCs w:val="12"/>
                <w:color w:val="auto"/>
              </w:rPr>
              <w:t>$26,985</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w w:val="96"/>
              </w:rPr>
              <w:t>105,752</w:t>
            </w:r>
          </w:p>
        </w:tc>
        <w:tc>
          <w:tcPr>
            <w:tcW w:w="200" w:type="dxa"/>
            <w:vAlign w:val="bottom"/>
          </w:tcPr>
          <w:p>
            <w:pPr>
              <w:spacing w:after="0"/>
              <w:rPr>
                <w:sz w:val="17"/>
                <w:szCs w:val="17"/>
                <w:color w:val="auto"/>
              </w:rPr>
            </w:pPr>
          </w:p>
        </w:tc>
        <w:tc>
          <w:tcPr>
            <w:tcW w:w="720" w:type="dxa"/>
            <w:vAlign w:val="bottom"/>
          </w:tcPr>
          <w:p>
            <w:pPr>
              <w:jc w:val="right"/>
              <w:ind w:right="119"/>
              <w:spacing w:after="0"/>
              <w:rPr>
                <w:sz w:val="20"/>
                <w:szCs w:val="20"/>
                <w:color w:val="auto"/>
              </w:rPr>
            </w:pPr>
            <w:r>
              <w:rPr>
                <w:rFonts w:ascii="Arial" w:cs="Arial" w:eastAsia="Arial" w:hAnsi="Arial"/>
                <w:sz w:val="12"/>
                <w:szCs w:val="12"/>
                <w:color w:val="auto"/>
              </w:rPr>
              <w:t>0</w:t>
            </w:r>
          </w:p>
        </w:tc>
        <w:tc>
          <w:tcPr>
            <w:tcW w:w="3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6,326,450</w:t>
            </w:r>
          </w:p>
        </w:tc>
      </w:tr>
      <w:tr>
        <w:trPr>
          <w:trHeight w:val="249"/>
        </w:trPr>
        <w:tc>
          <w:tcPr>
            <w:tcW w:w="2620" w:type="dxa"/>
            <w:vAlign w:val="bottom"/>
          </w:tcPr>
          <w:p>
            <w:pPr>
              <w:spacing w:after="0"/>
              <w:rPr>
                <w:sz w:val="20"/>
                <w:szCs w:val="20"/>
                <w:color w:val="auto"/>
              </w:rPr>
            </w:pPr>
            <w:r>
              <w:rPr>
                <w:rFonts w:ascii="Arial" w:cs="Arial" w:eastAsia="Arial" w:hAnsi="Arial"/>
                <w:sz w:val="20"/>
                <w:szCs w:val="20"/>
                <w:color w:val="auto"/>
              </w:rPr>
              <w:t>____________________</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14" w:lineRule="exact"/>
        <w:rPr>
          <w:sz w:val="20"/>
          <w:szCs w:val="20"/>
          <w:color w:val="auto"/>
        </w:rPr>
      </w:pPr>
    </w:p>
    <w:p>
      <w:pPr>
        <w:ind w:left="402" w:right="180" w:hanging="402"/>
        <w:spacing w:after="0" w:line="250" w:lineRule="auto"/>
        <w:tabs>
          <w:tab w:leader="none" w:pos="4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Because the amount of a bonus is subject to the Compensation Committee’s discretion considering the facts and circumstances of the termination, it is not possible to predict the amount of bonus, if any, the executive officer would have received.</w:t>
      </w:r>
    </w:p>
    <w:p>
      <w:pPr>
        <w:spacing w:after="0" w:line="204" w:lineRule="exact"/>
        <w:rPr>
          <w:rFonts w:ascii="Arial" w:cs="Arial" w:eastAsia="Arial" w:hAnsi="Arial"/>
          <w:sz w:val="16"/>
          <w:szCs w:val="16"/>
          <w:color w:val="auto"/>
        </w:rPr>
      </w:pPr>
    </w:p>
    <w:p>
      <w:pPr>
        <w:ind w:left="402" w:right="280" w:hanging="402"/>
        <w:spacing w:after="0" w:line="250" w:lineRule="auto"/>
        <w:tabs>
          <w:tab w:leader="none" w:pos="4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Lump sum value of the December 31, 2007, accrued benefit calculated as required by the terms of the plan assuming the earliest possible payment date. Mr. Delfassy does not participate in this plan.</w:t>
      </w:r>
    </w:p>
    <w:p>
      <w:pPr>
        <w:spacing w:after="0" w:line="204" w:lineRule="exact"/>
        <w:rPr>
          <w:rFonts w:ascii="Arial" w:cs="Arial" w:eastAsia="Arial" w:hAnsi="Arial"/>
          <w:sz w:val="16"/>
          <w:szCs w:val="16"/>
          <w:color w:val="auto"/>
        </w:rPr>
      </w:pPr>
    </w:p>
    <w:p>
      <w:pPr>
        <w:ind w:left="402" w:right="380" w:hanging="402"/>
        <w:spacing w:after="0" w:line="250" w:lineRule="auto"/>
        <w:tabs>
          <w:tab w:leader="none" w:pos="4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Aggregate account value as of December 31, 2007. The amounts shown in the 2007 Nonqualified Deferred Compensation table on page 40 include the amounts shown in this column.</w:t>
      </w:r>
    </w:p>
    <w:p>
      <w:pPr>
        <w:spacing w:after="0" w:line="204" w:lineRule="exact"/>
        <w:rPr>
          <w:rFonts w:ascii="Arial" w:cs="Arial" w:eastAsia="Arial" w:hAnsi="Arial"/>
          <w:sz w:val="16"/>
          <w:szCs w:val="16"/>
          <w:color w:val="auto"/>
        </w:rPr>
      </w:pPr>
    </w:p>
    <w:p>
      <w:pPr>
        <w:ind w:left="402" w:hanging="402"/>
        <w:spacing w:after="0"/>
        <w:tabs>
          <w:tab w:leader="none" w:pos="4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Calculated by multiplying 120,000 vested RSUs by the closing price of the company’s common stock as of December 31, 2007 ($33.40).</w:t>
      </w:r>
    </w:p>
    <w:p>
      <w:pPr>
        <w:spacing w:after="0" w:line="220" w:lineRule="exact"/>
        <w:rPr>
          <w:rFonts w:ascii="Arial" w:cs="Arial" w:eastAsia="Arial" w:hAnsi="Arial"/>
          <w:sz w:val="16"/>
          <w:szCs w:val="16"/>
          <w:color w:val="auto"/>
        </w:rPr>
      </w:pPr>
    </w:p>
    <w:p>
      <w:pPr>
        <w:ind w:left="402" w:right="40" w:hanging="402"/>
        <w:spacing w:after="0" w:line="242" w:lineRule="auto"/>
        <w:tabs>
          <w:tab w:leader="none" w:pos="4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Calculated as the difference between the grant price of in-the-money exercisable options and the closing price of the company’s common stock as of December 31, 2007 ($33.40), multiplied by the number of shares under such options as of December 31, 2007. This calculation includes all options that were exercisable at December 31, 2007. As of December 31, 2007, all outstanding options granted on or before February 20, 2003, were fully exercisable and the unexercisable portion of all other options would be cancelled upon resignation. See the Outstanding Equity Awards at Fiscal Year-End 2007 table on pages 34-35 for the number of exercisable and unexercisable options as of December 31, 2007.</w:t>
      </w:r>
    </w:p>
    <w:p>
      <w:pPr>
        <w:spacing w:after="0" w:line="211" w:lineRule="exact"/>
        <w:rPr>
          <w:rFonts w:ascii="Arial" w:cs="Arial" w:eastAsia="Arial" w:hAnsi="Arial"/>
          <w:sz w:val="16"/>
          <w:szCs w:val="16"/>
          <w:color w:val="auto"/>
        </w:rPr>
      </w:pPr>
    </w:p>
    <w:p>
      <w:pPr>
        <w:ind w:left="402" w:hanging="402"/>
        <w:spacing w:after="0"/>
        <w:tabs>
          <w:tab w:leader="none" w:pos="402" w:val="left"/>
        </w:tabs>
        <w:numPr>
          <w:ilvl w:val="0"/>
          <w:numId w:val="44"/>
        </w:numPr>
        <w:rPr>
          <w:rFonts w:ascii="Arial" w:cs="Arial" w:eastAsia="Arial" w:hAnsi="Arial"/>
          <w:sz w:val="16"/>
          <w:szCs w:val="16"/>
          <w:color w:val="auto"/>
        </w:rPr>
      </w:pPr>
      <w:r>
        <w:rPr>
          <w:rFonts w:ascii="Arial" w:cs="Arial" w:eastAsia="Arial" w:hAnsi="Arial"/>
          <w:sz w:val="16"/>
          <w:szCs w:val="16"/>
          <w:color w:val="auto"/>
        </w:rPr>
        <w:t>Amounts earned in 2007.</w:t>
      </w:r>
    </w:p>
    <w:p>
      <w:pPr>
        <w:sectPr>
          <w:pgSz w:w="11900" w:h="16838" w:orient="portrait"/>
          <w:cols w:equalWidth="0" w:num="1">
            <w:col w:w="11442"/>
          </w:cols>
          <w:pgMar w:left="238" w:top="142" w:right="219" w:bottom="0" w:gutter="0" w:footer="0" w:header="0"/>
        </w:sectPr>
      </w:pPr>
    </w:p>
    <w:bookmarkStart w:id="30" w:name="page31"/>
    <w:bookmarkEnd w:id="30"/>
    <w:p>
      <w:pPr>
        <w:ind w:left="402" w:right="220" w:hanging="402"/>
        <w:spacing w:after="0" w:line="250" w:lineRule="auto"/>
        <w:tabs>
          <w:tab w:leader="none" w:pos="402" w:val="left"/>
        </w:tabs>
        <w:numPr>
          <w:ilvl w:val="0"/>
          <w:numId w:val="45"/>
        </w:numPr>
        <w:rPr>
          <w:rFonts w:ascii="Arial" w:cs="Arial" w:eastAsia="Arial" w:hAnsi="Arial"/>
          <w:sz w:val="16"/>
          <w:szCs w:val="16"/>
          <w:color w:val="auto"/>
        </w:rPr>
      </w:pPr>
      <w:r>
        <w:rPr>
          <w:rFonts w:ascii="Arial" w:cs="Arial" w:eastAsia="Arial" w:hAnsi="Arial"/>
          <w:sz w:val="16"/>
          <w:szCs w:val="16"/>
          <w:color w:val="auto"/>
        </w:rPr>
        <w:t>Calculated by multiplying the number of hours remaining in the named executive officer’s time bank by the applicable base salary rate as of December 31, 2007.</w:t>
      </w:r>
    </w:p>
    <w:p>
      <w:pPr>
        <w:spacing w:after="0" w:line="204" w:lineRule="exact"/>
        <w:rPr>
          <w:rFonts w:ascii="Arial" w:cs="Arial" w:eastAsia="Arial" w:hAnsi="Arial"/>
          <w:sz w:val="16"/>
          <w:szCs w:val="16"/>
          <w:color w:val="auto"/>
        </w:rPr>
      </w:pPr>
    </w:p>
    <w:p>
      <w:pPr>
        <w:ind w:left="402" w:hanging="402"/>
        <w:spacing w:after="0"/>
        <w:tabs>
          <w:tab w:leader="none" w:pos="402" w:val="left"/>
        </w:tabs>
        <w:numPr>
          <w:ilvl w:val="0"/>
          <w:numId w:val="45"/>
        </w:numPr>
        <w:rPr>
          <w:rFonts w:ascii="Arial" w:cs="Arial" w:eastAsia="Arial" w:hAnsi="Arial"/>
          <w:sz w:val="16"/>
          <w:szCs w:val="16"/>
          <w:color w:val="auto"/>
        </w:rPr>
      </w:pPr>
      <w:r>
        <w:rPr>
          <w:rFonts w:ascii="Arial" w:cs="Arial" w:eastAsia="Arial" w:hAnsi="Arial"/>
          <w:sz w:val="16"/>
          <w:szCs w:val="16"/>
          <w:color w:val="auto"/>
        </w:rPr>
        <w:t>Cash value of Mr. Engibous’s executive life insurance policy as of December 31, 2007.</w:t>
      </w:r>
    </w:p>
    <w:p>
      <w:pPr>
        <w:spacing w:after="0" w:line="196" w:lineRule="exact"/>
        <w:rPr>
          <w:sz w:val="20"/>
          <w:szCs w:val="20"/>
          <w:color w:val="auto"/>
        </w:rPr>
      </w:pPr>
    </w:p>
    <w:p>
      <w:pPr>
        <w:ind w:left="2" w:right="40"/>
        <w:spacing w:after="0" w:line="241" w:lineRule="auto"/>
        <w:rPr>
          <w:sz w:val="20"/>
          <w:szCs w:val="20"/>
          <w:color w:val="auto"/>
        </w:rPr>
      </w:pPr>
      <w:r>
        <w:rPr>
          <w:rFonts w:ascii="Arial" w:cs="Arial" w:eastAsia="Arial" w:hAnsi="Arial"/>
          <w:sz w:val="16"/>
          <w:szCs w:val="16"/>
          <w:color w:val="auto"/>
        </w:rPr>
        <w:t>In the case of a resignation pursuant to a separation arrangement, an executive officer (like other employees above a certain job grade level) will typically be offered a 12-month paid leave of absence before termination, in exchange for a non-compete and non-solicitation commitment and a release of claims against the company. The leave period will be credited to years of service under the pension plans described above. During the leave, the executive officer’s stock options will continue to become exercisable and his RSUs will continue to vest. Amounts paid to an individual during a paid leave of absence are not counted when calculating profit sharing and benefits under the qualified and nonqualified pension plans. During a paid leave of absence an individual does not continue to accrue time bank hours. He retains medical and insurance benefits at essentially the same rates as active company employees during the paid leave of absence period.</w:t>
      </w:r>
    </w:p>
    <w:p>
      <w:pPr>
        <w:spacing w:after="0" w:line="189" w:lineRule="exact"/>
        <w:rPr>
          <w:sz w:val="20"/>
          <w:szCs w:val="20"/>
          <w:color w:val="auto"/>
        </w:rPr>
      </w:pPr>
    </w:p>
    <w:p>
      <w:pPr>
        <w:jc w:val="both"/>
        <w:ind w:left="2" w:right="180"/>
        <w:spacing w:after="0" w:line="243" w:lineRule="auto"/>
        <w:rPr>
          <w:sz w:val="20"/>
          <w:szCs w:val="20"/>
          <w:color w:val="auto"/>
        </w:rPr>
      </w:pPr>
      <w:r>
        <w:rPr>
          <w:rFonts w:ascii="Arial" w:cs="Arial" w:eastAsia="Arial" w:hAnsi="Arial"/>
          <w:sz w:val="16"/>
          <w:szCs w:val="16"/>
          <w:color w:val="auto"/>
        </w:rPr>
        <w:t>In the case of a separation arrangement in which the paid leave of absence expires when the executive officer will be at least 50 years old and have at least 15 years of employment with the company, the separation arrangement will typically include an unpaid leave of absence, to commence at the end of the paid leave and end when the executive officer has reached age 55 or completed 20 years of employment, whichever is later (bridge to retirement). The bridge to retirement will be credited to years of service under the</w:t>
      </w:r>
    </w:p>
    <w:p>
      <w:pPr>
        <w:spacing w:after="0" w:line="186"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96" w:lineRule="exact"/>
        <w:rPr>
          <w:sz w:val="20"/>
          <w:szCs w:val="20"/>
          <w:color w:val="auto"/>
        </w:rPr>
      </w:pPr>
    </w:p>
    <w:p>
      <w:pPr>
        <w:ind w:left="2" w:right="40"/>
        <w:spacing w:after="0" w:line="250" w:lineRule="auto"/>
        <w:rPr>
          <w:sz w:val="20"/>
          <w:szCs w:val="20"/>
          <w:color w:val="auto"/>
        </w:rPr>
      </w:pPr>
      <w:r>
        <w:rPr>
          <w:rFonts w:ascii="Arial" w:cs="Arial" w:eastAsia="Arial" w:hAnsi="Arial"/>
          <w:sz w:val="16"/>
          <w:szCs w:val="16"/>
          <w:color w:val="auto"/>
        </w:rPr>
        <w:t>qualified and nonqualified defined benefit plans described above. The executive officer will not receive profit sharing or accrue time bank hours for the period he is on a bridge to retirement, but he will retain medical and insurance benefits at essentially the same rates as active TI employees.</w:t>
      </w:r>
    </w:p>
    <w:p>
      <w:pPr>
        <w:spacing w:after="0" w:line="180" w:lineRule="exact"/>
        <w:rPr>
          <w:sz w:val="20"/>
          <w:szCs w:val="20"/>
          <w:color w:val="auto"/>
        </w:rPr>
      </w:pPr>
    </w:p>
    <w:p>
      <w:pPr>
        <w:ind w:left="2" w:right="120"/>
        <w:spacing w:after="0" w:line="245" w:lineRule="auto"/>
        <w:rPr>
          <w:sz w:val="20"/>
          <w:szCs w:val="20"/>
          <w:color w:val="auto"/>
        </w:rPr>
      </w:pPr>
      <w:r>
        <w:rPr>
          <w:rFonts w:ascii="Arial" w:cs="Arial" w:eastAsia="Arial" w:hAnsi="Arial"/>
          <w:sz w:val="16"/>
          <w:szCs w:val="16"/>
          <w:color w:val="auto"/>
        </w:rPr>
        <w:t>In January 2007, the company entered into a separation agreement with Mr. Delfassy, which included a paid leave of absence and unpaid bridge to retirement as described above. Payments made in 2007 to Mr. Delfassy under this agreement are reported in the All Other Compensation column of the 2007 Summary Compensation Table. Additional discussion of the terms of this agreement can be found on pages 28-29 of the Compensation Discussion &amp; Analysis.</w:t>
      </w:r>
    </w:p>
    <w:p>
      <w:pPr>
        <w:spacing w:after="0" w:line="184" w:lineRule="exact"/>
        <w:rPr>
          <w:sz w:val="20"/>
          <w:szCs w:val="20"/>
          <w:color w:val="auto"/>
        </w:rPr>
      </w:pPr>
    </w:p>
    <w:p>
      <w:pPr>
        <w:ind w:left="2"/>
        <w:spacing w:after="0"/>
        <w:rPr>
          <w:sz w:val="20"/>
          <w:szCs w:val="20"/>
          <w:color w:val="auto"/>
        </w:rPr>
      </w:pPr>
      <w:r>
        <w:rPr>
          <w:rFonts w:ascii="Arial" w:cs="Arial" w:eastAsia="Arial" w:hAnsi="Arial"/>
          <w:sz w:val="16"/>
          <w:szCs w:val="16"/>
          <w:u w:val="single" w:color="auto"/>
          <w:color w:val="auto"/>
        </w:rPr>
        <w:t>Change in Control</w:t>
      </w:r>
    </w:p>
    <w:p>
      <w:pPr>
        <w:spacing w:after="0" w:line="196" w:lineRule="exact"/>
        <w:rPr>
          <w:sz w:val="20"/>
          <w:szCs w:val="20"/>
          <w:color w:val="auto"/>
        </w:rPr>
      </w:pPr>
    </w:p>
    <w:p>
      <w:pPr>
        <w:ind w:left="2"/>
        <w:spacing w:after="0"/>
        <w:rPr>
          <w:sz w:val="20"/>
          <w:szCs w:val="20"/>
          <w:color w:val="auto"/>
        </w:rPr>
      </w:pPr>
      <w:r>
        <w:rPr>
          <w:rFonts w:ascii="Arial" w:cs="Arial" w:eastAsia="Arial" w:hAnsi="Arial"/>
          <w:sz w:val="16"/>
          <w:szCs w:val="16"/>
          <w:color w:val="auto"/>
        </w:rPr>
        <w:t>We have no program, plan or arrangement providing benefits triggered by a change in control except as described below.</w:t>
      </w:r>
    </w:p>
    <w:p>
      <w:pPr>
        <w:spacing w:after="0" w:line="196" w:lineRule="exact"/>
        <w:rPr>
          <w:sz w:val="20"/>
          <w:szCs w:val="20"/>
          <w:color w:val="auto"/>
        </w:rPr>
      </w:pPr>
    </w:p>
    <w:p>
      <w:pPr>
        <w:ind w:left="2" w:right="240"/>
        <w:spacing w:after="0" w:line="250" w:lineRule="auto"/>
        <w:rPr>
          <w:sz w:val="20"/>
          <w:szCs w:val="20"/>
          <w:color w:val="auto"/>
        </w:rPr>
      </w:pPr>
      <w:r>
        <w:rPr>
          <w:rFonts w:ascii="Arial" w:cs="Arial" w:eastAsia="Arial" w:hAnsi="Arial"/>
          <w:sz w:val="16"/>
          <w:szCs w:val="16"/>
          <w:color w:val="auto"/>
        </w:rPr>
        <w:t>A change in control may trigger payment of the balances under the nonqualified defined benefit plan and the deferred compensation plan. Please see pages 40 and 42 for a discussion of the purpose of these provisions as well as the circumstances and the timing of payment.</w:t>
      </w:r>
    </w:p>
    <w:p>
      <w:pPr>
        <w:spacing w:after="0" w:line="180" w:lineRule="exact"/>
        <w:rPr>
          <w:sz w:val="20"/>
          <w:szCs w:val="20"/>
          <w:color w:val="auto"/>
        </w:rPr>
      </w:pPr>
    </w:p>
    <w:p>
      <w:pPr>
        <w:ind w:left="2" w:right="640"/>
        <w:spacing w:after="0" w:line="250" w:lineRule="auto"/>
        <w:rPr>
          <w:sz w:val="20"/>
          <w:szCs w:val="20"/>
          <w:color w:val="auto"/>
        </w:rPr>
      </w:pPr>
      <w:r>
        <w:rPr>
          <w:rFonts w:ascii="Arial" w:cs="Arial" w:eastAsia="Arial" w:hAnsi="Arial"/>
          <w:sz w:val="16"/>
          <w:szCs w:val="16"/>
          <w:color w:val="auto"/>
        </w:rPr>
        <w:t>Stock options may become fully exercisable, and shares may be issued under RSU awards, upon a change in control. Please see pages 36-37 for further information concerning these terms.</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6"/>
          <w:szCs w:val="16"/>
          <w:color w:val="auto"/>
        </w:rPr>
        <w:t>For a discussion of the impact of these programs on the compensation decisions for 2007, please see page 29.</w:t>
      </w:r>
    </w:p>
    <w:p>
      <w:pPr>
        <w:spacing w:after="0" w:line="196" w:lineRule="exact"/>
        <w:rPr>
          <w:sz w:val="20"/>
          <w:szCs w:val="20"/>
          <w:color w:val="auto"/>
        </w:rPr>
      </w:pPr>
    </w:p>
    <w:p>
      <w:pPr>
        <w:ind w:left="2" w:right="720"/>
        <w:spacing w:after="0" w:line="250" w:lineRule="auto"/>
        <w:rPr>
          <w:sz w:val="20"/>
          <w:szCs w:val="20"/>
          <w:color w:val="auto"/>
        </w:rPr>
      </w:pPr>
      <w:r>
        <w:rPr>
          <w:rFonts w:ascii="Arial" w:cs="Arial" w:eastAsia="Arial" w:hAnsi="Arial"/>
          <w:sz w:val="16"/>
          <w:szCs w:val="16"/>
          <w:color w:val="auto"/>
        </w:rPr>
        <w:t>The following table indicates the incremental amounts that would have been triggered for each executive officer had there been a change in control as of December 31, 2007. The actual amounts that would be paid out can only be determined at the time the change in control occurs.</w:t>
      </w:r>
    </w:p>
    <w:p>
      <w:pPr>
        <w:spacing w:after="0" w:line="249"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rPr>
              <w:t>Qualified</w:t>
            </w:r>
          </w:p>
        </w:tc>
        <w:tc>
          <w:tcPr>
            <w:tcW w:w="200" w:type="dxa"/>
            <w:vAlign w:val="bottom"/>
          </w:tcPr>
          <w:p>
            <w:pPr>
              <w:spacing w:after="0"/>
              <w:rPr>
                <w:sz w:val="13"/>
                <w:szCs w:val="13"/>
                <w:color w:val="auto"/>
              </w:rPr>
            </w:pPr>
          </w:p>
        </w:tc>
        <w:tc>
          <w:tcPr>
            <w:tcW w:w="820" w:type="dxa"/>
            <w:vAlign w:val="bottom"/>
            <w:gridSpan w:val="2"/>
          </w:tcPr>
          <w:p>
            <w:pPr>
              <w:jc w:val="center"/>
              <w:spacing w:after="0"/>
              <w:rPr>
                <w:sz w:val="20"/>
                <w:szCs w:val="20"/>
                <w:color w:val="auto"/>
              </w:rPr>
            </w:pPr>
            <w:r>
              <w:rPr>
                <w:rFonts w:ascii="Arial" w:cs="Arial" w:eastAsia="Arial" w:hAnsi="Arial"/>
                <w:sz w:val="12"/>
                <w:szCs w:val="12"/>
                <w:b w:val="1"/>
                <w:bCs w:val="1"/>
                <w:color w:val="auto"/>
              </w:rPr>
              <w:t>Nonqualified</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1"/>
        </w:trPr>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w w:val="99"/>
              </w:rPr>
              <w:t>Defined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center"/>
              <w:ind w:right="99"/>
              <w:spacing w:after="0"/>
              <w:rPr>
                <w:sz w:val="20"/>
                <w:szCs w:val="20"/>
                <w:color w:val="auto"/>
              </w:rPr>
            </w:pPr>
            <w:r>
              <w:rPr>
                <w:rFonts w:ascii="Arial" w:cs="Arial" w:eastAsia="Arial" w:hAnsi="Arial"/>
                <w:sz w:val="12"/>
                <w:szCs w:val="12"/>
                <w:b w:val="1"/>
                <w:bCs w:val="1"/>
                <w:color w:val="auto"/>
              </w:rPr>
              <w:t>Defined</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rPr>
              <w:t>Benefit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center"/>
              <w:ind w:right="99"/>
              <w:spacing w:after="0"/>
              <w:rPr>
                <w:sz w:val="20"/>
                <w:szCs w:val="20"/>
                <w:color w:val="auto"/>
              </w:rPr>
            </w:pPr>
            <w:r>
              <w:rPr>
                <w:rFonts w:ascii="Arial" w:cs="Arial" w:eastAsia="Arial" w:hAnsi="Arial"/>
                <w:sz w:val="12"/>
                <w:szCs w:val="12"/>
                <w:b w:val="1"/>
                <w:bCs w:val="1"/>
                <w:color w:val="auto"/>
              </w:rPr>
              <w:t>Benefit</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rPr>
              <w:t>Perquisites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rPr>
              <w:t>Pension</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center"/>
              <w:ind w:right="119"/>
              <w:spacing w:after="0"/>
              <w:rPr>
                <w:sz w:val="20"/>
                <w:szCs w:val="20"/>
                <w:color w:val="auto"/>
              </w:rPr>
            </w:pPr>
            <w:r>
              <w:rPr>
                <w:rFonts w:ascii="Arial" w:cs="Arial" w:eastAsia="Arial" w:hAnsi="Arial"/>
                <w:sz w:val="12"/>
                <w:szCs w:val="12"/>
                <w:b w:val="1"/>
                <w:bCs w:val="1"/>
                <w:color w:val="auto"/>
              </w:rPr>
              <w:t>Pension</w:t>
            </w:r>
          </w:p>
        </w:tc>
        <w:tc>
          <w:tcPr>
            <w:tcW w:w="180" w:type="dxa"/>
            <w:vAlign w:val="bottom"/>
          </w:tcPr>
          <w:p>
            <w:pPr>
              <w:spacing w:after="0"/>
              <w:rPr>
                <w:sz w:val="19"/>
                <w:szCs w:val="19"/>
                <w:color w:val="auto"/>
              </w:rPr>
            </w:pPr>
          </w:p>
        </w:tc>
        <w:tc>
          <w:tcPr>
            <w:tcW w:w="920" w:type="dxa"/>
            <w:vAlign w:val="bottom"/>
            <w:gridSpan w:val="2"/>
          </w:tcPr>
          <w:p>
            <w:pPr>
              <w:jc w:val="center"/>
              <w:spacing w:after="0"/>
              <w:rPr>
                <w:sz w:val="20"/>
                <w:szCs w:val="20"/>
                <w:color w:val="auto"/>
              </w:rPr>
            </w:pPr>
            <w:r>
              <w:rPr>
                <w:rFonts w:ascii="Arial" w:cs="Arial" w:eastAsia="Arial" w:hAnsi="Arial"/>
                <w:sz w:val="12"/>
                <w:szCs w:val="12"/>
                <w:b w:val="1"/>
                <w:bCs w:val="1"/>
                <w:color w:val="auto"/>
              </w:rPr>
              <w:t>Deferred</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rPr>
              <w:t>Stock</w:t>
            </w:r>
          </w:p>
        </w:tc>
        <w:tc>
          <w:tcPr>
            <w:tcW w:w="460" w:type="dxa"/>
            <w:vAlign w:val="bottom"/>
          </w:tcPr>
          <w:p>
            <w:pPr>
              <w:jc w:val="right"/>
              <w:ind w:right="19"/>
              <w:spacing w:after="0"/>
              <w:rPr>
                <w:sz w:val="20"/>
                <w:szCs w:val="20"/>
                <w:color w:val="auto"/>
              </w:rPr>
            </w:pPr>
            <w:r>
              <w:rPr>
                <w:rFonts w:ascii="Arial" w:cs="Arial" w:eastAsia="Arial" w:hAnsi="Arial"/>
                <w:sz w:val="12"/>
                <w:szCs w:val="12"/>
                <w:b w:val="1"/>
                <w:bCs w:val="1"/>
                <w:color w:val="auto"/>
              </w:rPr>
              <w:t>Profit</w:t>
            </w:r>
          </w:p>
        </w:tc>
        <w:tc>
          <w:tcPr>
            <w:tcW w:w="200" w:type="dxa"/>
            <w:vAlign w:val="bottom"/>
          </w:tcPr>
          <w:p>
            <w:pPr>
              <w:spacing w:after="0"/>
              <w:rPr>
                <w:sz w:val="19"/>
                <w:szCs w:val="19"/>
                <w:color w:val="auto"/>
              </w:rPr>
            </w:pPr>
          </w:p>
        </w:tc>
        <w:tc>
          <w:tcPr>
            <w:tcW w:w="800" w:type="dxa"/>
            <w:vAlign w:val="bottom"/>
          </w:tcPr>
          <w:p>
            <w:pPr>
              <w:jc w:val="right"/>
              <w:ind w:right="199"/>
              <w:spacing w:after="0"/>
              <w:rPr>
                <w:sz w:val="20"/>
                <w:szCs w:val="20"/>
                <w:color w:val="auto"/>
              </w:rPr>
            </w:pPr>
            <w:r>
              <w:rPr>
                <w:rFonts w:ascii="Arial" w:cs="Arial" w:eastAsia="Arial" w:hAnsi="Arial"/>
                <w:sz w:val="12"/>
                <w:szCs w:val="12"/>
                <w:b w:val="1"/>
                <w:bCs w:val="1"/>
                <w:color w:val="auto"/>
              </w:rPr>
              <w:t>Time</w:t>
            </w:r>
          </w:p>
        </w:tc>
        <w:tc>
          <w:tcPr>
            <w:tcW w:w="18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rPr>
              <w:t>and Life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1"/>
        </w:trPr>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2"/>
                <w:szCs w:val="12"/>
                <w:b w:val="1"/>
                <w:bCs w:val="1"/>
                <w:color w:val="auto"/>
              </w:rPr>
              <w:t>Bonus</w:t>
            </w:r>
          </w:p>
        </w:tc>
        <w:tc>
          <w:tcPr>
            <w:tcW w:w="20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2"/>
                <w:szCs w:val="12"/>
                <w:b w:val="1"/>
                <w:bCs w:val="1"/>
                <w:color w:val="auto"/>
              </w:rPr>
              <w:t>Plan</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center"/>
              <w:ind w:right="99"/>
              <w:spacing w:after="0"/>
              <w:rPr>
                <w:sz w:val="20"/>
                <w:szCs w:val="20"/>
                <w:color w:val="auto"/>
              </w:rPr>
            </w:pPr>
            <w:r>
              <w:rPr>
                <w:rFonts w:ascii="Arial" w:cs="Arial" w:eastAsia="Arial" w:hAnsi="Arial"/>
                <w:sz w:val="12"/>
                <w:szCs w:val="12"/>
                <w:b w:val="1"/>
                <w:bCs w:val="1"/>
                <w:color w:val="auto"/>
              </w:rPr>
              <w:t>Plan</w:t>
            </w:r>
          </w:p>
        </w:tc>
        <w:tc>
          <w:tcPr>
            <w:tcW w:w="180" w:type="dxa"/>
            <w:vAlign w:val="bottom"/>
          </w:tcPr>
          <w:p>
            <w:pPr>
              <w:spacing w:after="0"/>
              <w:rPr>
                <w:sz w:val="19"/>
                <w:szCs w:val="19"/>
                <w:color w:val="auto"/>
              </w:rPr>
            </w:pPr>
          </w:p>
        </w:tc>
        <w:tc>
          <w:tcPr>
            <w:tcW w:w="920" w:type="dxa"/>
            <w:vAlign w:val="bottom"/>
            <w:gridSpan w:val="2"/>
          </w:tcPr>
          <w:p>
            <w:pPr>
              <w:jc w:val="center"/>
              <w:spacing w:after="0"/>
              <w:rPr>
                <w:sz w:val="20"/>
                <w:szCs w:val="20"/>
                <w:color w:val="auto"/>
              </w:rPr>
            </w:pPr>
            <w:r>
              <w:rPr>
                <w:rFonts w:ascii="Arial" w:cs="Arial" w:eastAsia="Arial" w:hAnsi="Arial"/>
                <w:sz w:val="12"/>
                <w:szCs w:val="12"/>
                <w:b w:val="1"/>
                <w:bCs w:val="1"/>
                <w:color w:val="auto"/>
              </w:rPr>
              <w:t>Compensation</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RSUs</w:t>
            </w:r>
          </w:p>
        </w:tc>
        <w:tc>
          <w:tcPr>
            <w:tcW w:w="86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rPr>
              <w:t>Options</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w w:val="98"/>
              </w:rPr>
              <w:t>Sharing</w:t>
            </w:r>
          </w:p>
        </w:tc>
        <w:tc>
          <w:tcPr>
            <w:tcW w:w="200" w:type="dxa"/>
            <w:vAlign w:val="bottom"/>
          </w:tcPr>
          <w:p>
            <w:pPr>
              <w:spacing w:after="0"/>
              <w:rPr>
                <w:sz w:val="19"/>
                <w:szCs w:val="19"/>
                <w:color w:val="auto"/>
              </w:rPr>
            </w:pPr>
          </w:p>
        </w:tc>
        <w:tc>
          <w:tcPr>
            <w:tcW w:w="800" w:type="dxa"/>
            <w:vAlign w:val="bottom"/>
          </w:tcPr>
          <w:p>
            <w:pPr>
              <w:jc w:val="right"/>
              <w:ind w:right="199"/>
              <w:spacing w:after="0"/>
              <w:rPr>
                <w:sz w:val="20"/>
                <w:szCs w:val="20"/>
                <w:color w:val="auto"/>
              </w:rPr>
            </w:pPr>
            <w:r>
              <w:rPr>
                <w:rFonts w:ascii="Arial" w:cs="Arial" w:eastAsia="Arial" w:hAnsi="Arial"/>
                <w:sz w:val="12"/>
                <w:szCs w:val="12"/>
                <w:b w:val="1"/>
                <w:bCs w:val="1"/>
                <w:color w:val="auto"/>
              </w:rPr>
              <w:t>Bank</w:t>
            </w:r>
          </w:p>
        </w:tc>
        <w:tc>
          <w:tcPr>
            <w:tcW w:w="18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8"/>
              </w:rPr>
              <w:t>Insurance</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7"/>
        </w:trPr>
        <w:tc>
          <w:tcPr>
            <w:tcW w:w="2820" w:type="dxa"/>
            <w:vAlign w:val="bottom"/>
            <w:tcBorders>
              <w:bottom w:val="single" w:sz="8" w:color="auto"/>
            </w:tcBorders>
          </w:tcPr>
          <w:p>
            <w:pPr>
              <w:ind w:left="1240"/>
              <w:spacing w:after="0"/>
              <w:rPr>
                <w:sz w:val="20"/>
                <w:szCs w:val="20"/>
                <w:color w:val="auto"/>
              </w:rPr>
            </w:pPr>
            <w:r>
              <w:rPr>
                <w:rFonts w:ascii="Arial" w:cs="Arial" w:eastAsia="Arial" w:hAnsi="Arial"/>
                <w:sz w:val="12"/>
                <w:szCs w:val="12"/>
                <w:b w:val="1"/>
                <w:bCs w:val="1"/>
                <w:color w:val="auto"/>
              </w:rPr>
              <w:t>Name</w:t>
            </w:r>
          </w:p>
        </w:tc>
        <w:tc>
          <w:tcPr>
            <w:tcW w:w="200" w:type="dxa"/>
            <w:vAlign w:val="bottom"/>
          </w:tcPr>
          <w:p>
            <w:pPr>
              <w:spacing w:after="0"/>
              <w:rPr>
                <w:sz w:val="17"/>
                <w:szCs w:val="17"/>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5"/>
              </w:rPr>
              <w:t>(1)</w:t>
            </w:r>
          </w:p>
        </w:tc>
        <w:tc>
          <w:tcPr>
            <w:tcW w:w="200" w:type="dxa"/>
            <w:vAlign w:val="bottom"/>
          </w:tcPr>
          <w:p>
            <w:pPr>
              <w:spacing w:after="0"/>
              <w:rPr>
                <w:sz w:val="17"/>
                <w:szCs w:val="17"/>
                <w:color w:val="auto"/>
              </w:rPr>
            </w:pPr>
          </w:p>
        </w:tc>
        <w:tc>
          <w:tcPr>
            <w:tcW w:w="520" w:type="dxa"/>
            <w:vAlign w:val="bottom"/>
            <w:tcBorders>
              <w:bottom w:val="single" w:sz="8" w:color="auto"/>
            </w:tcBorders>
          </w:tcPr>
          <w:p>
            <w:pPr>
              <w:jc w:val="right"/>
              <w:ind w:right="119"/>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99"/>
              <w:spacing w:after="0"/>
              <w:rPr>
                <w:sz w:val="20"/>
                <w:szCs w:val="20"/>
                <w:color w:val="auto"/>
              </w:rPr>
            </w:pPr>
            <w:r>
              <w:rPr>
                <w:rFonts w:ascii="Arial" w:cs="Arial" w:eastAsia="Arial" w:hAnsi="Arial"/>
                <w:sz w:val="12"/>
                <w:szCs w:val="12"/>
                <w:b w:val="1"/>
                <w:bCs w:val="1"/>
                <w:color w:val="auto"/>
                <w:w w:val="95"/>
              </w:rPr>
              <w:t>(3)</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center"/>
              <w:ind w:right="199"/>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239"/>
              <w:spacing w:after="0"/>
              <w:rPr>
                <w:sz w:val="20"/>
                <w:szCs w:val="20"/>
                <w:color w:val="auto"/>
              </w:rPr>
            </w:pPr>
            <w:r>
              <w:rPr>
                <w:rFonts w:ascii="Arial" w:cs="Arial" w:eastAsia="Arial" w:hAnsi="Arial"/>
                <w:sz w:val="12"/>
                <w:szCs w:val="12"/>
                <w:b w:val="1"/>
                <w:bCs w:val="1"/>
                <w:color w:val="auto"/>
              </w:rPr>
              <w:t>(5)</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59"/>
              <w:spacing w:after="0"/>
              <w:rPr>
                <w:sz w:val="20"/>
                <w:szCs w:val="20"/>
                <w:color w:val="auto"/>
              </w:rPr>
            </w:pPr>
            <w:r>
              <w:rPr>
                <w:rFonts w:ascii="Arial" w:cs="Arial" w:eastAsia="Arial" w:hAnsi="Arial"/>
                <w:sz w:val="12"/>
                <w:szCs w:val="12"/>
                <w:b w:val="1"/>
                <w:bCs w:val="1"/>
                <w:color w:val="auto"/>
                <w:w w:val="95"/>
              </w:rPr>
              <w:t>(6)</w:t>
            </w:r>
          </w:p>
        </w:tc>
        <w:tc>
          <w:tcPr>
            <w:tcW w:w="200" w:type="dxa"/>
            <w:vAlign w:val="bottom"/>
          </w:tcPr>
          <w:p>
            <w:pPr>
              <w:spacing w:after="0"/>
              <w:rPr>
                <w:sz w:val="17"/>
                <w:szCs w:val="17"/>
                <w:color w:val="auto"/>
              </w:rPr>
            </w:pPr>
          </w:p>
        </w:tc>
        <w:tc>
          <w:tcPr>
            <w:tcW w:w="460" w:type="dxa"/>
            <w:vAlign w:val="bottom"/>
            <w:tcBorders>
              <w:bottom w:val="single" w:sz="8" w:color="auto"/>
            </w:tcBorders>
          </w:tcPr>
          <w:p>
            <w:pPr>
              <w:jc w:val="right"/>
              <w:ind w:right="99"/>
              <w:spacing w:after="0"/>
              <w:rPr>
                <w:sz w:val="20"/>
                <w:szCs w:val="20"/>
                <w:color w:val="auto"/>
              </w:rPr>
            </w:pPr>
            <w:r>
              <w:rPr>
                <w:rFonts w:ascii="Arial" w:cs="Arial" w:eastAsia="Arial" w:hAnsi="Arial"/>
                <w:sz w:val="12"/>
                <w:szCs w:val="12"/>
                <w:b w:val="1"/>
                <w:bCs w:val="1"/>
                <w:color w:val="auto"/>
              </w:rPr>
              <w:t>(7)</w:t>
            </w:r>
          </w:p>
        </w:tc>
        <w:tc>
          <w:tcPr>
            <w:tcW w:w="200" w:type="dxa"/>
            <w:vAlign w:val="bottom"/>
          </w:tcPr>
          <w:p>
            <w:pPr>
              <w:spacing w:after="0"/>
              <w:rPr>
                <w:sz w:val="17"/>
                <w:szCs w:val="17"/>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2"/>
                <w:szCs w:val="12"/>
                <w:b w:val="1"/>
                <w:bCs w:val="1"/>
                <w:color w:val="auto"/>
              </w:rPr>
              <w:t>(9)</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2"/>
                <w:szCs w:val="12"/>
                <w:b w:val="1"/>
                <w:bCs w:val="1"/>
                <w:color w:val="auto"/>
              </w:rPr>
              <w:t>Total</w:t>
            </w:r>
          </w:p>
        </w:tc>
        <w:tc>
          <w:tcPr>
            <w:tcW w:w="20" w:type="dxa"/>
            <w:vAlign w:val="bottom"/>
          </w:tcPr>
          <w:p>
            <w:pPr>
              <w:spacing w:after="0"/>
              <w:rPr>
                <w:sz w:val="17"/>
                <w:szCs w:val="17"/>
                <w:color w:val="auto"/>
              </w:rPr>
            </w:pPr>
          </w:p>
        </w:tc>
      </w:tr>
      <w:tr>
        <w:trPr>
          <w:trHeight w:val="213"/>
        </w:trPr>
        <w:tc>
          <w:tcPr>
            <w:tcW w:w="2820" w:type="dxa"/>
            <w:vAlign w:val="bottom"/>
            <w:shd w:val="clear" w:color="auto" w:fill="C0C0C0"/>
          </w:tcPr>
          <w:p>
            <w:pPr>
              <w:spacing w:after="0"/>
              <w:rPr>
                <w:sz w:val="20"/>
                <w:szCs w:val="20"/>
                <w:color w:val="auto"/>
              </w:rPr>
            </w:pPr>
            <w:r>
              <w:rPr>
                <w:rFonts w:ascii="Arial" w:cs="Arial" w:eastAsia="Arial" w:hAnsi="Arial"/>
                <w:sz w:val="12"/>
                <w:szCs w:val="12"/>
                <w:color w:val="auto"/>
              </w:rPr>
              <w:t>Templeton</w:t>
            </w:r>
          </w:p>
        </w:tc>
        <w:tc>
          <w:tcPr>
            <w:tcW w:w="580" w:type="dxa"/>
            <w:vAlign w:val="bottom"/>
            <w:gridSpan w:val="2"/>
            <w:shd w:val="clear" w:color="auto" w:fill="C0C0C0"/>
          </w:tcPr>
          <w:p>
            <w:pPr>
              <w:jc w:val="center"/>
              <w:ind w:left="139"/>
              <w:spacing w:after="0"/>
              <w:rPr>
                <w:sz w:val="20"/>
                <w:szCs w:val="20"/>
                <w:color w:val="auto"/>
              </w:rPr>
            </w:pPr>
            <w:r>
              <w:rPr>
                <w:rFonts w:ascii="Arial" w:cs="Arial" w:eastAsia="Arial" w:hAnsi="Arial"/>
                <w:sz w:val="12"/>
                <w:szCs w:val="12"/>
                <w:color w:val="auto"/>
                <w:w w:val="95"/>
              </w:rPr>
              <w:t>(1)</w:t>
            </w:r>
          </w:p>
        </w:tc>
        <w:tc>
          <w:tcPr>
            <w:tcW w:w="720" w:type="dxa"/>
            <w:vAlign w:val="bottom"/>
            <w:gridSpan w:val="2"/>
            <w:shd w:val="clear" w:color="auto" w:fill="C0C0C0"/>
          </w:tcPr>
          <w:p>
            <w:pPr>
              <w:jc w:val="right"/>
              <w:ind w:right="159"/>
              <w:spacing w:after="0"/>
              <w:rPr>
                <w:sz w:val="20"/>
                <w:szCs w:val="20"/>
                <w:color w:val="auto"/>
              </w:rPr>
            </w:pPr>
            <w:r>
              <w:rPr>
                <w:rFonts w:ascii="Arial" w:cs="Arial" w:eastAsia="Arial" w:hAnsi="Arial"/>
                <w:sz w:val="12"/>
                <w:szCs w:val="12"/>
                <w:color w:val="auto"/>
              </w:rPr>
              <w:t>0</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0C0C0"/>
          </w:tcPr>
          <w:p>
            <w:pPr>
              <w:jc w:val="right"/>
              <w:ind w:right="59"/>
              <w:spacing w:after="0"/>
              <w:rPr>
                <w:sz w:val="20"/>
                <w:szCs w:val="20"/>
                <w:color w:val="auto"/>
              </w:rPr>
            </w:pPr>
            <w:r>
              <w:rPr>
                <w:rFonts w:ascii="Arial" w:cs="Arial" w:eastAsia="Arial" w:hAnsi="Arial"/>
                <w:sz w:val="12"/>
                <w:szCs w:val="12"/>
                <w:color w:val="auto"/>
              </w:rPr>
              <w:t>269,691</w:t>
            </w: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0C0C0"/>
          </w:tcPr>
          <w:p>
            <w:pPr>
              <w:jc w:val="right"/>
              <w:ind w:right="59"/>
              <w:spacing w:after="0"/>
              <w:rPr>
                <w:sz w:val="20"/>
                <w:szCs w:val="20"/>
                <w:color w:val="auto"/>
              </w:rPr>
            </w:pPr>
            <w:r>
              <w:rPr>
                <w:rFonts w:ascii="Arial" w:cs="Arial" w:eastAsia="Arial" w:hAnsi="Arial"/>
                <w:sz w:val="12"/>
                <w:szCs w:val="12"/>
                <w:color w:val="auto"/>
                <w:w w:val="97"/>
              </w:rPr>
              <w:t>3,294,862</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9"/>
              </w:rPr>
              <w:t>10,020,000</w:t>
            </w:r>
          </w:p>
        </w:tc>
        <w:tc>
          <w:tcPr>
            <w:tcW w:w="180" w:type="dxa"/>
            <w:vAlign w:val="bottom"/>
            <w:shd w:val="clear" w:color="auto" w:fill="C0C0C0"/>
          </w:tcPr>
          <w:p>
            <w:pPr>
              <w:spacing w:after="0"/>
              <w:rPr>
                <w:sz w:val="18"/>
                <w:szCs w:val="18"/>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0C0C0"/>
          </w:tcPr>
          <w:p>
            <w:pPr>
              <w:jc w:val="right"/>
              <w:ind w:right="200"/>
              <w:spacing w:after="0"/>
              <w:rPr>
                <w:sz w:val="20"/>
                <w:szCs w:val="20"/>
                <w:color w:val="auto"/>
              </w:rPr>
            </w:pPr>
            <w:r>
              <w:rPr>
                <w:rFonts w:ascii="Arial" w:cs="Arial" w:eastAsia="Arial" w:hAnsi="Arial"/>
                <w:sz w:val="12"/>
                <w:szCs w:val="12"/>
                <w:color w:val="auto"/>
                <w:w w:val="97"/>
              </w:rPr>
              <w:t>4,733,975</w:t>
            </w:r>
          </w:p>
        </w:tc>
        <w:tc>
          <w:tcPr>
            <w:tcW w:w="460" w:type="dxa"/>
            <w:vAlign w:val="bottom"/>
            <w:shd w:val="clear" w:color="auto" w:fill="C0C0C0"/>
          </w:tcPr>
          <w:p>
            <w:pPr>
              <w:jc w:val="right"/>
              <w:ind w:right="139"/>
              <w:spacing w:after="0"/>
              <w:rPr>
                <w:sz w:val="20"/>
                <w:szCs w:val="20"/>
                <w:color w:val="auto"/>
              </w:rPr>
            </w:pPr>
            <w:r>
              <w:rPr>
                <w:rFonts w:ascii="Arial" w:cs="Arial" w:eastAsia="Arial" w:hAnsi="Arial"/>
                <w:sz w:val="12"/>
                <w:szCs w:val="12"/>
                <w:color w:val="auto"/>
              </w:rPr>
              <w:t>0</w:t>
            </w:r>
          </w:p>
        </w:tc>
        <w:tc>
          <w:tcPr>
            <w:tcW w:w="1000" w:type="dxa"/>
            <w:vAlign w:val="bottom"/>
            <w:gridSpan w:val="2"/>
            <w:shd w:val="clear" w:color="auto" w:fill="C0C0C0"/>
          </w:tcPr>
          <w:p>
            <w:pPr>
              <w:jc w:val="right"/>
              <w:ind w:right="319"/>
              <w:spacing w:after="0"/>
              <w:rPr>
                <w:sz w:val="20"/>
                <w:szCs w:val="20"/>
                <w:color w:val="auto"/>
              </w:rPr>
            </w:pPr>
            <w:r>
              <w:rPr>
                <w:rFonts w:ascii="Arial" w:cs="Arial" w:eastAsia="Arial" w:hAnsi="Arial"/>
                <w:sz w:val="12"/>
                <w:szCs w:val="12"/>
                <w:color w:val="auto"/>
              </w:rPr>
              <w:t>0</w:t>
            </w:r>
          </w:p>
        </w:tc>
        <w:tc>
          <w:tcPr>
            <w:tcW w:w="860" w:type="dxa"/>
            <w:vAlign w:val="bottom"/>
            <w:gridSpan w:val="2"/>
            <w:shd w:val="clear" w:color="auto" w:fill="C0C0C0"/>
          </w:tcPr>
          <w:p>
            <w:pPr>
              <w:jc w:val="right"/>
              <w:ind w:right="239"/>
              <w:spacing w:after="0"/>
              <w:rPr>
                <w:sz w:val="20"/>
                <w:szCs w:val="20"/>
                <w:color w:val="auto"/>
              </w:rPr>
            </w:pPr>
            <w:r>
              <w:rPr>
                <w:rFonts w:ascii="Arial" w:cs="Arial" w:eastAsia="Arial" w:hAnsi="Arial"/>
                <w:sz w:val="12"/>
                <w:szCs w:val="12"/>
                <w:color w:val="auto"/>
              </w:rPr>
              <w:t>0</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2"/>
                <w:szCs w:val="12"/>
                <w:color w:val="auto"/>
                <w:w w:val="96"/>
              </w:rPr>
              <w:t>18,318,528</w:t>
            </w:r>
          </w:p>
        </w:tc>
        <w:tc>
          <w:tcPr>
            <w:tcW w:w="20" w:type="dxa"/>
            <w:vAlign w:val="bottom"/>
          </w:tcPr>
          <w:p>
            <w:pPr>
              <w:spacing w:after="0"/>
              <w:rPr>
                <w:sz w:val="18"/>
                <w:szCs w:val="18"/>
                <w:color w:val="auto"/>
              </w:rPr>
            </w:pPr>
          </w:p>
        </w:tc>
      </w:tr>
      <w:tr>
        <w:trPr>
          <w:trHeight w:val="221"/>
        </w:trPr>
        <w:tc>
          <w:tcPr>
            <w:tcW w:w="2820" w:type="dxa"/>
            <w:vAlign w:val="bottom"/>
          </w:tcPr>
          <w:p>
            <w:pPr>
              <w:spacing w:after="0"/>
              <w:rPr>
                <w:sz w:val="20"/>
                <w:szCs w:val="20"/>
                <w:color w:val="auto"/>
              </w:rPr>
            </w:pPr>
            <w:r>
              <w:rPr>
                <w:rFonts w:ascii="Arial" w:cs="Arial" w:eastAsia="Arial" w:hAnsi="Arial"/>
                <w:sz w:val="12"/>
                <w:szCs w:val="12"/>
                <w:color w:val="auto"/>
              </w:rPr>
              <w:t>March</w:t>
            </w:r>
          </w:p>
        </w:tc>
        <w:tc>
          <w:tcPr>
            <w:tcW w:w="580" w:type="dxa"/>
            <w:vAlign w:val="bottom"/>
            <w:gridSpan w:val="2"/>
          </w:tcPr>
          <w:p>
            <w:pPr>
              <w:jc w:val="center"/>
              <w:ind w:left="139"/>
              <w:spacing w:after="0"/>
              <w:rPr>
                <w:sz w:val="20"/>
                <w:szCs w:val="20"/>
                <w:color w:val="auto"/>
              </w:rPr>
            </w:pPr>
            <w:r>
              <w:rPr>
                <w:rFonts w:ascii="Arial" w:cs="Arial" w:eastAsia="Arial" w:hAnsi="Arial"/>
                <w:sz w:val="12"/>
                <w:szCs w:val="12"/>
                <w:color w:val="auto"/>
                <w:w w:val="95"/>
              </w:rPr>
              <w:t>(1)</w:t>
            </w:r>
          </w:p>
        </w:tc>
        <w:tc>
          <w:tcPr>
            <w:tcW w:w="720" w:type="dxa"/>
            <w:vAlign w:val="bottom"/>
            <w:gridSpan w:val="2"/>
          </w:tcPr>
          <w:p>
            <w:pPr>
              <w:jc w:val="right"/>
              <w:ind w:right="159"/>
              <w:spacing w:after="0"/>
              <w:rPr>
                <w:sz w:val="20"/>
                <w:szCs w:val="20"/>
                <w:color w:val="auto"/>
              </w:rPr>
            </w:pPr>
            <w:r>
              <w:rPr>
                <w:rFonts w:ascii="Arial" w:cs="Arial" w:eastAsia="Arial" w:hAnsi="Arial"/>
                <w:sz w:val="12"/>
                <w:szCs w:val="12"/>
                <w:color w:val="auto"/>
              </w:rPr>
              <w:t>0</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59"/>
              <w:spacing w:after="0"/>
              <w:rPr>
                <w:sz w:val="20"/>
                <w:szCs w:val="20"/>
                <w:color w:val="auto"/>
              </w:rPr>
            </w:pPr>
            <w:r>
              <w:rPr>
                <w:rFonts w:ascii="Arial" w:cs="Arial" w:eastAsia="Arial" w:hAnsi="Arial"/>
                <w:sz w:val="12"/>
                <w:szCs w:val="12"/>
                <w:color w:val="auto"/>
              </w:rPr>
              <w:t>856,338</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59"/>
              <w:spacing w:after="0"/>
              <w:rPr>
                <w:sz w:val="20"/>
                <w:szCs w:val="20"/>
                <w:color w:val="auto"/>
              </w:rPr>
            </w:pPr>
            <w:r>
              <w:rPr>
                <w:rFonts w:ascii="Arial" w:cs="Arial" w:eastAsia="Arial" w:hAnsi="Arial"/>
                <w:sz w:val="12"/>
                <w:szCs w:val="12"/>
                <w:color w:val="auto"/>
              </w:rPr>
              <w:t>90,410</w:t>
            </w:r>
          </w:p>
        </w:tc>
        <w:tc>
          <w:tcPr>
            <w:tcW w:w="3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2,171,000</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990,288</w:t>
            </w:r>
          </w:p>
        </w:tc>
        <w:tc>
          <w:tcPr>
            <w:tcW w:w="460" w:type="dxa"/>
            <w:vAlign w:val="bottom"/>
          </w:tcPr>
          <w:p>
            <w:pPr>
              <w:jc w:val="right"/>
              <w:ind w:right="139"/>
              <w:spacing w:after="0"/>
              <w:rPr>
                <w:sz w:val="20"/>
                <w:szCs w:val="20"/>
                <w:color w:val="auto"/>
              </w:rPr>
            </w:pPr>
            <w:r>
              <w:rPr>
                <w:rFonts w:ascii="Arial" w:cs="Arial" w:eastAsia="Arial" w:hAnsi="Arial"/>
                <w:sz w:val="12"/>
                <w:szCs w:val="12"/>
                <w:color w:val="auto"/>
              </w:rPr>
              <w:t>0</w:t>
            </w:r>
          </w:p>
        </w:tc>
        <w:tc>
          <w:tcPr>
            <w:tcW w:w="1000" w:type="dxa"/>
            <w:vAlign w:val="bottom"/>
            <w:gridSpan w:val="2"/>
          </w:tcPr>
          <w:p>
            <w:pPr>
              <w:jc w:val="right"/>
              <w:ind w:right="319"/>
              <w:spacing w:after="0"/>
              <w:rPr>
                <w:sz w:val="20"/>
                <w:szCs w:val="20"/>
                <w:color w:val="auto"/>
              </w:rPr>
            </w:pPr>
            <w:r>
              <w:rPr>
                <w:rFonts w:ascii="Arial" w:cs="Arial" w:eastAsia="Arial" w:hAnsi="Arial"/>
                <w:sz w:val="12"/>
                <w:szCs w:val="12"/>
                <w:color w:val="auto"/>
              </w:rPr>
              <w:t>0</w:t>
            </w:r>
          </w:p>
        </w:tc>
        <w:tc>
          <w:tcPr>
            <w:tcW w:w="860" w:type="dxa"/>
            <w:vAlign w:val="bottom"/>
            <w:gridSpan w:val="2"/>
          </w:tcPr>
          <w:p>
            <w:pPr>
              <w:jc w:val="right"/>
              <w:ind w:right="239"/>
              <w:spacing w:after="0"/>
              <w:rPr>
                <w:sz w:val="20"/>
                <w:szCs w:val="20"/>
                <w:color w:val="auto"/>
              </w:rPr>
            </w:pPr>
            <w:r>
              <w:rPr>
                <w:rFonts w:ascii="Arial" w:cs="Arial" w:eastAsia="Arial" w:hAnsi="Arial"/>
                <w:sz w:val="12"/>
                <w:szCs w:val="12"/>
                <w:color w:val="auto"/>
              </w:rPr>
              <w:t>0</w:t>
            </w:r>
          </w:p>
        </w:tc>
        <w:tc>
          <w:tcPr>
            <w:tcW w:w="3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4,108,036</w:t>
            </w:r>
          </w:p>
        </w:tc>
      </w:tr>
      <w:tr>
        <w:trPr>
          <w:trHeight w:val="221"/>
        </w:trPr>
        <w:tc>
          <w:tcPr>
            <w:tcW w:w="2820" w:type="dxa"/>
            <w:vAlign w:val="bottom"/>
            <w:shd w:val="clear" w:color="auto" w:fill="C0C0C0"/>
          </w:tcPr>
          <w:p>
            <w:pPr>
              <w:spacing w:after="0"/>
              <w:rPr>
                <w:sz w:val="20"/>
                <w:szCs w:val="20"/>
                <w:color w:val="auto"/>
              </w:rPr>
            </w:pPr>
            <w:r>
              <w:rPr>
                <w:rFonts w:ascii="Arial" w:cs="Arial" w:eastAsia="Arial" w:hAnsi="Arial"/>
                <w:sz w:val="12"/>
                <w:szCs w:val="12"/>
                <w:color w:val="auto"/>
              </w:rPr>
              <w:t>Engibous</w:t>
            </w:r>
          </w:p>
        </w:tc>
        <w:tc>
          <w:tcPr>
            <w:tcW w:w="580" w:type="dxa"/>
            <w:vAlign w:val="bottom"/>
            <w:gridSpan w:val="2"/>
            <w:shd w:val="clear" w:color="auto" w:fill="C0C0C0"/>
          </w:tcPr>
          <w:p>
            <w:pPr>
              <w:jc w:val="center"/>
              <w:ind w:left="139"/>
              <w:spacing w:after="0"/>
              <w:rPr>
                <w:sz w:val="20"/>
                <w:szCs w:val="20"/>
                <w:color w:val="auto"/>
              </w:rPr>
            </w:pPr>
            <w:r>
              <w:rPr>
                <w:rFonts w:ascii="Arial" w:cs="Arial" w:eastAsia="Arial" w:hAnsi="Arial"/>
                <w:sz w:val="12"/>
                <w:szCs w:val="12"/>
                <w:color w:val="auto"/>
                <w:w w:val="95"/>
              </w:rPr>
              <w:t>(1)</w:t>
            </w:r>
          </w:p>
        </w:tc>
        <w:tc>
          <w:tcPr>
            <w:tcW w:w="720" w:type="dxa"/>
            <w:vAlign w:val="bottom"/>
            <w:gridSpan w:val="2"/>
            <w:shd w:val="clear" w:color="auto" w:fill="C0C0C0"/>
          </w:tcPr>
          <w:p>
            <w:pPr>
              <w:jc w:val="right"/>
              <w:ind w:right="159"/>
              <w:spacing w:after="0"/>
              <w:rPr>
                <w:sz w:val="20"/>
                <w:szCs w:val="20"/>
                <w:color w:val="auto"/>
              </w:rPr>
            </w:pPr>
            <w:r>
              <w:rPr>
                <w:rFonts w:ascii="Arial" w:cs="Arial" w:eastAsia="Arial" w:hAnsi="Arial"/>
                <w:sz w:val="12"/>
                <w:szCs w:val="12"/>
                <w:color w:val="auto"/>
              </w:rPr>
              <w:t>0</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0C0C0"/>
          </w:tcPr>
          <w:p>
            <w:pPr>
              <w:jc w:val="right"/>
              <w:ind w:right="59"/>
              <w:spacing w:after="0"/>
              <w:rPr>
                <w:sz w:val="20"/>
                <w:szCs w:val="20"/>
                <w:color w:val="auto"/>
              </w:rPr>
            </w:pPr>
            <w:r>
              <w:rPr>
                <w:rFonts w:ascii="Arial" w:cs="Arial" w:eastAsia="Arial" w:hAnsi="Arial"/>
                <w:sz w:val="12"/>
                <w:szCs w:val="12"/>
                <w:color w:val="auto"/>
                <w:w w:val="97"/>
              </w:rPr>
              <w:t>5,636,650</w:t>
            </w: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0C0C0"/>
          </w:tcPr>
          <w:p>
            <w:pPr>
              <w:jc w:val="right"/>
              <w:ind w:right="59"/>
              <w:spacing w:after="0"/>
              <w:rPr>
                <w:sz w:val="20"/>
                <w:szCs w:val="20"/>
                <w:color w:val="auto"/>
              </w:rPr>
            </w:pPr>
            <w:r>
              <w:rPr>
                <w:rFonts w:ascii="Arial" w:cs="Arial" w:eastAsia="Arial" w:hAnsi="Arial"/>
                <w:sz w:val="12"/>
                <w:szCs w:val="12"/>
                <w:color w:val="auto"/>
                <w:w w:val="97"/>
              </w:rPr>
              <w:t>1,637,942</w:t>
            </w:r>
          </w:p>
        </w:tc>
        <w:tc>
          <w:tcPr>
            <w:tcW w:w="2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00" w:type="dxa"/>
            <w:vAlign w:val="bottom"/>
            <w:gridSpan w:val="2"/>
            <w:shd w:val="clear" w:color="auto" w:fill="C0C0C0"/>
          </w:tcPr>
          <w:p>
            <w:pPr>
              <w:jc w:val="right"/>
              <w:ind w:right="180"/>
              <w:spacing w:after="0"/>
              <w:rPr>
                <w:sz w:val="20"/>
                <w:szCs w:val="20"/>
                <w:color w:val="auto"/>
              </w:rPr>
            </w:pPr>
            <w:r>
              <w:rPr>
                <w:rFonts w:ascii="Arial" w:cs="Arial" w:eastAsia="Arial" w:hAnsi="Arial"/>
                <w:sz w:val="12"/>
                <w:szCs w:val="12"/>
                <w:color w:val="auto"/>
              </w:rPr>
              <w:t>0</w:t>
            </w:r>
          </w:p>
        </w:tc>
        <w:tc>
          <w:tcPr>
            <w:tcW w:w="1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0C0C0"/>
          </w:tcPr>
          <w:p>
            <w:pPr>
              <w:jc w:val="right"/>
              <w:ind w:right="200"/>
              <w:spacing w:after="0"/>
              <w:rPr>
                <w:sz w:val="20"/>
                <w:szCs w:val="20"/>
                <w:color w:val="auto"/>
              </w:rPr>
            </w:pPr>
            <w:r>
              <w:rPr>
                <w:rFonts w:ascii="Arial" w:cs="Arial" w:eastAsia="Arial" w:hAnsi="Arial"/>
                <w:sz w:val="12"/>
                <w:szCs w:val="12"/>
                <w:color w:val="auto"/>
                <w:w w:val="97"/>
              </w:rPr>
              <w:t>2,457,225</w:t>
            </w:r>
          </w:p>
        </w:tc>
        <w:tc>
          <w:tcPr>
            <w:tcW w:w="460" w:type="dxa"/>
            <w:vAlign w:val="bottom"/>
            <w:shd w:val="clear" w:color="auto" w:fill="C0C0C0"/>
          </w:tcPr>
          <w:p>
            <w:pPr>
              <w:jc w:val="right"/>
              <w:ind w:right="139"/>
              <w:spacing w:after="0"/>
              <w:rPr>
                <w:sz w:val="20"/>
                <w:szCs w:val="20"/>
                <w:color w:val="auto"/>
              </w:rPr>
            </w:pPr>
            <w:r>
              <w:rPr>
                <w:rFonts w:ascii="Arial" w:cs="Arial" w:eastAsia="Arial" w:hAnsi="Arial"/>
                <w:sz w:val="12"/>
                <w:szCs w:val="12"/>
                <w:color w:val="auto"/>
              </w:rPr>
              <w:t>0</w:t>
            </w:r>
          </w:p>
        </w:tc>
        <w:tc>
          <w:tcPr>
            <w:tcW w:w="1000" w:type="dxa"/>
            <w:vAlign w:val="bottom"/>
            <w:gridSpan w:val="2"/>
            <w:shd w:val="clear" w:color="auto" w:fill="C0C0C0"/>
          </w:tcPr>
          <w:p>
            <w:pPr>
              <w:jc w:val="right"/>
              <w:ind w:right="319"/>
              <w:spacing w:after="0"/>
              <w:rPr>
                <w:sz w:val="20"/>
                <w:szCs w:val="20"/>
                <w:color w:val="auto"/>
              </w:rPr>
            </w:pPr>
            <w:r>
              <w:rPr>
                <w:rFonts w:ascii="Arial" w:cs="Arial" w:eastAsia="Arial" w:hAnsi="Arial"/>
                <w:sz w:val="12"/>
                <w:szCs w:val="12"/>
                <w:color w:val="auto"/>
              </w:rPr>
              <w:t>0</w:t>
            </w:r>
          </w:p>
        </w:tc>
        <w:tc>
          <w:tcPr>
            <w:tcW w:w="860" w:type="dxa"/>
            <w:vAlign w:val="bottom"/>
            <w:gridSpan w:val="2"/>
            <w:shd w:val="clear" w:color="auto" w:fill="C0C0C0"/>
          </w:tcPr>
          <w:p>
            <w:pPr>
              <w:jc w:val="right"/>
              <w:ind w:right="239"/>
              <w:spacing w:after="0"/>
              <w:rPr>
                <w:sz w:val="20"/>
                <w:szCs w:val="20"/>
                <w:color w:val="auto"/>
              </w:rPr>
            </w:pPr>
            <w:r>
              <w:rPr>
                <w:rFonts w:ascii="Arial" w:cs="Arial" w:eastAsia="Arial" w:hAnsi="Arial"/>
                <w:sz w:val="12"/>
                <w:szCs w:val="12"/>
                <w:color w:val="auto"/>
              </w:rPr>
              <w:t>0</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9,731,817</w:t>
            </w:r>
          </w:p>
        </w:tc>
        <w:tc>
          <w:tcPr>
            <w:tcW w:w="20" w:type="dxa"/>
            <w:vAlign w:val="bottom"/>
          </w:tcPr>
          <w:p>
            <w:pPr>
              <w:spacing w:after="0"/>
              <w:rPr>
                <w:sz w:val="19"/>
                <w:szCs w:val="19"/>
                <w:color w:val="auto"/>
              </w:rPr>
            </w:pPr>
          </w:p>
        </w:tc>
      </w:tr>
      <w:tr>
        <w:trPr>
          <w:trHeight w:val="221"/>
        </w:trPr>
        <w:tc>
          <w:tcPr>
            <w:tcW w:w="2820" w:type="dxa"/>
            <w:vAlign w:val="bottom"/>
          </w:tcPr>
          <w:p>
            <w:pPr>
              <w:spacing w:after="0"/>
              <w:rPr>
                <w:sz w:val="20"/>
                <w:szCs w:val="20"/>
                <w:color w:val="auto"/>
              </w:rPr>
            </w:pPr>
            <w:r>
              <w:rPr>
                <w:rFonts w:ascii="Arial" w:cs="Arial" w:eastAsia="Arial" w:hAnsi="Arial"/>
                <w:sz w:val="12"/>
                <w:szCs w:val="12"/>
                <w:color w:val="auto"/>
              </w:rPr>
              <w:t>Lowe</w:t>
            </w:r>
          </w:p>
        </w:tc>
        <w:tc>
          <w:tcPr>
            <w:tcW w:w="580" w:type="dxa"/>
            <w:vAlign w:val="bottom"/>
            <w:gridSpan w:val="2"/>
          </w:tcPr>
          <w:p>
            <w:pPr>
              <w:jc w:val="center"/>
              <w:ind w:left="139"/>
              <w:spacing w:after="0"/>
              <w:rPr>
                <w:sz w:val="20"/>
                <w:szCs w:val="20"/>
                <w:color w:val="auto"/>
              </w:rPr>
            </w:pPr>
            <w:r>
              <w:rPr>
                <w:rFonts w:ascii="Arial" w:cs="Arial" w:eastAsia="Arial" w:hAnsi="Arial"/>
                <w:sz w:val="12"/>
                <w:szCs w:val="12"/>
                <w:color w:val="auto"/>
                <w:w w:val="95"/>
              </w:rPr>
              <w:t>(1)</w:t>
            </w:r>
          </w:p>
        </w:tc>
        <w:tc>
          <w:tcPr>
            <w:tcW w:w="720" w:type="dxa"/>
            <w:vAlign w:val="bottom"/>
            <w:gridSpan w:val="2"/>
          </w:tcPr>
          <w:p>
            <w:pPr>
              <w:jc w:val="right"/>
              <w:ind w:right="159"/>
              <w:spacing w:after="0"/>
              <w:rPr>
                <w:sz w:val="20"/>
                <w:szCs w:val="20"/>
                <w:color w:val="auto"/>
              </w:rPr>
            </w:pPr>
            <w:r>
              <w:rPr>
                <w:rFonts w:ascii="Arial" w:cs="Arial" w:eastAsia="Arial" w:hAnsi="Arial"/>
                <w:sz w:val="12"/>
                <w:szCs w:val="12"/>
                <w:color w:val="auto"/>
              </w:rPr>
              <w:t>0</w:t>
            </w:r>
          </w:p>
        </w:tc>
        <w:tc>
          <w:tcPr>
            <w:tcW w:w="3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59"/>
              <w:spacing w:after="0"/>
              <w:rPr>
                <w:sz w:val="20"/>
                <w:szCs w:val="20"/>
                <w:color w:val="auto"/>
              </w:rPr>
            </w:pPr>
            <w:r>
              <w:rPr>
                <w:rFonts w:ascii="Arial" w:cs="Arial" w:eastAsia="Arial" w:hAnsi="Arial"/>
                <w:sz w:val="12"/>
                <w:szCs w:val="12"/>
                <w:color w:val="auto"/>
                <w:w w:val="97"/>
              </w:rPr>
              <w:t>1,018,940</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59"/>
              <w:spacing w:after="0"/>
              <w:rPr>
                <w:sz w:val="20"/>
                <w:szCs w:val="20"/>
                <w:color w:val="auto"/>
              </w:rPr>
            </w:pPr>
            <w:r>
              <w:rPr>
                <w:rFonts w:ascii="Arial" w:cs="Arial" w:eastAsia="Arial" w:hAnsi="Arial"/>
                <w:sz w:val="12"/>
                <w:szCs w:val="12"/>
                <w:color w:val="auto"/>
                <w:w w:val="97"/>
              </w:rPr>
              <w:t>1,707,941</w:t>
            </w:r>
          </w:p>
        </w:tc>
        <w:tc>
          <w:tcPr>
            <w:tcW w:w="3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7,014,000</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w w:val="97"/>
              </w:rPr>
              <w:t>1,202,125</w:t>
            </w:r>
          </w:p>
        </w:tc>
        <w:tc>
          <w:tcPr>
            <w:tcW w:w="460" w:type="dxa"/>
            <w:vAlign w:val="bottom"/>
          </w:tcPr>
          <w:p>
            <w:pPr>
              <w:jc w:val="right"/>
              <w:ind w:right="139"/>
              <w:spacing w:after="0"/>
              <w:rPr>
                <w:sz w:val="20"/>
                <w:szCs w:val="20"/>
                <w:color w:val="auto"/>
              </w:rPr>
            </w:pPr>
            <w:r>
              <w:rPr>
                <w:rFonts w:ascii="Arial" w:cs="Arial" w:eastAsia="Arial" w:hAnsi="Arial"/>
                <w:sz w:val="12"/>
                <w:szCs w:val="12"/>
                <w:color w:val="auto"/>
              </w:rPr>
              <w:t>0</w:t>
            </w:r>
          </w:p>
        </w:tc>
        <w:tc>
          <w:tcPr>
            <w:tcW w:w="1000" w:type="dxa"/>
            <w:vAlign w:val="bottom"/>
            <w:gridSpan w:val="2"/>
          </w:tcPr>
          <w:p>
            <w:pPr>
              <w:jc w:val="right"/>
              <w:ind w:right="319"/>
              <w:spacing w:after="0"/>
              <w:rPr>
                <w:sz w:val="20"/>
                <w:szCs w:val="20"/>
                <w:color w:val="auto"/>
              </w:rPr>
            </w:pPr>
            <w:r>
              <w:rPr>
                <w:rFonts w:ascii="Arial" w:cs="Arial" w:eastAsia="Arial" w:hAnsi="Arial"/>
                <w:sz w:val="12"/>
                <w:szCs w:val="12"/>
                <w:color w:val="auto"/>
              </w:rPr>
              <w:t>0</w:t>
            </w:r>
          </w:p>
        </w:tc>
        <w:tc>
          <w:tcPr>
            <w:tcW w:w="860" w:type="dxa"/>
            <w:vAlign w:val="bottom"/>
            <w:gridSpan w:val="2"/>
          </w:tcPr>
          <w:p>
            <w:pPr>
              <w:jc w:val="right"/>
              <w:ind w:right="239"/>
              <w:spacing w:after="0"/>
              <w:rPr>
                <w:sz w:val="20"/>
                <w:szCs w:val="20"/>
                <w:color w:val="auto"/>
              </w:rPr>
            </w:pPr>
            <w:r>
              <w:rPr>
                <w:rFonts w:ascii="Arial" w:cs="Arial" w:eastAsia="Arial" w:hAnsi="Arial"/>
                <w:sz w:val="12"/>
                <w:szCs w:val="12"/>
                <w:color w:val="auto"/>
              </w:rPr>
              <w:t>0</w:t>
            </w:r>
          </w:p>
        </w:tc>
        <w:tc>
          <w:tcPr>
            <w:tcW w:w="3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tcPr>
          <w:p>
            <w:pPr>
              <w:jc w:val="right"/>
              <w:spacing w:after="0"/>
              <w:rPr>
                <w:sz w:val="20"/>
                <w:szCs w:val="20"/>
                <w:color w:val="auto"/>
              </w:rPr>
            </w:pPr>
            <w:r>
              <w:rPr>
                <w:rFonts w:ascii="Arial" w:cs="Arial" w:eastAsia="Arial" w:hAnsi="Arial"/>
                <w:sz w:val="12"/>
                <w:szCs w:val="12"/>
                <w:color w:val="auto"/>
                <w:w w:val="96"/>
              </w:rPr>
              <w:t>10,943,006</w:t>
            </w:r>
          </w:p>
        </w:tc>
        <w:tc>
          <w:tcPr>
            <w:tcW w:w="20" w:type="dxa"/>
            <w:vAlign w:val="bottom"/>
          </w:tcPr>
          <w:p>
            <w:pPr>
              <w:spacing w:after="0"/>
              <w:rPr>
                <w:sz w:val="19"/>
                <w:szCs w:val="19"/>
                <w:color w:val="auto"/>
              </w:rPr>
            </w:pPr>
          </w:p>
        </w:tc>
      </w:tr>
      <w:tr>
        <w:trPr>
          <w:trHeight w:val="221"/>
        </w:trPr>
        <w:tc>
          <w:tcPr>
            <w:tcW w:w="2820" w:type="dxa"/>
            <w:vAlign w:val="bottom"/>
            <w:shd w:val="clear" w:color="auto" w:fill="C0C0C0"/>
          </w:tcPr>
          <w:p>
            <w:pPr>
              <w:spacing w:after="0"/>
              <w:rPr>
                <w:sz w:val="20"/>
                <w:szCs w:val="20"/>
                <w:color w:val="auto"/>
              </w:rPr>
            </w:pPr>
            <w:r>
              <w:rPr>
                <w:rFonts w:ascii="Arial" w:cs="Arial" w:eastAsia="Arial" w:hAnsi="Arial"/>
                <w:sz w:val="12"/>
                <w:szCs w:val="12"/>
                <w:color w:val="auto"/>
              </w:rPr>
              <w:t>Hames</w:t>
            </w:r>
          </w:p>
        </w:tc>
        <w:tc>
          <w:tcPr>
            <w:tcW w:w="580" w:type="dxa"/>
            <w:vAlign w:val="bottom"/>
            <w:gridSpan w:val="2"/>
            <w:shd w:val="clear" w:color="auto" w:fill="C0C0C0"/>
          </w:tcPr>
          <w:p>
            <w:pPr>
              <w:jc w:val="center"/>
              <w:ind w:left="139"/>
              <w:spacing w:after="0"/>
              <w:rPr>
                <w:sz w:val="20"/>
                <w:szCs w:val="20"/>
                <w:color w:val="auto"/>
              </w:rPr>
            </w:pPr>
            <w:r>
              <w:rPr>
                <w:rFonts w:ascii="Arial" w:cs="Arial" w:eastAsia="Arial" w:hAnsi="Arial"/>
                <w:sz w:val="12"/>
                <w:szCs w:val="12"/>
                <w:color w:val="auto"/>
                <w:w w:val="95"/>
              </w:rPr>
              <w:t>(1)</w:t>
            </w:r>
          </w:p>
        </w:tc>
        <w:tc>
          <w:tcPr>
            <w:tcW w:w="720" w:type="dxa"/>
            <w:vAlign w:val="bottom"/>
            <w:gridSpan w:val="2"/>
            <w:shd w:val="clear" w:color="auto" w:fill="C0C0C0"/>
          </w:tcPr>
          <w:p>
            <w:pPr>
              <w:jc w:val="right"/>
              <w:ind w:right="159"/>
              <w:spacing w:after="0"/>
              <w:rPr>
                <w:sz w:val="20"/>
                <w:szCs w:val="20"/>
                <w:color w:val="auto"/>
              </w:rPr>
            </w:pPr>
            <w:r>
              <w:rPr>
                <w:rFonts w:ascii="Arial" w:cs="Arial" w:eastAsia="Arial" w:hAnsi="Arial"/>
                <w:sz w:val="12"/>
                <w:szCs w:val="12"/>
                <w:color w:val="auto"/>
              </w:rPr>
              <w:t>0</w:t>
            </w:r>
          </w:p>
        </w:tc>
        <w:tc>
          <w:tcPr>
            <w:tcW w:w="36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0C0C0"/>
          </w:tcPr>
          <w:p>
            <w:pPr>
              <w:jc w:val="right"/>
              <w:ind w:right="59"/>
              <w:spacing w:after="0"/>
              <w:rPr>
                <w:sz w:val="20"/>
                <w:szCs w:val="20"/>
                <w:color w:val="auto"/>
              </w:rPr>
            </w:pPr>
            <w:r>
              <w:rPr>
                <w:rFonts w:ascii="Arial" w:cs="Arial" w:eastAsia="Arial" w:hAnsi="Arial"/>
                <w:sz w:val="12"/>
                <w:szCs w:val="12"/>
                <w:color w:val="auto"/>
                <w:w w:val="97"/>
              </w:rPr>
              <w:t>1,173,636</w:t>
            </w: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660" w:type="dxa"/>
            <w:vAlign w:val="bottom"/>
            <w:shd w:val="clear" w:color="auto" w:fill="C0C0C0"/>
          </w:tcPr>
          <w:p>
            <w:pPr>
              <w:jc w:val="right"/>
              <w:ind w:right="59"/>
              <w:spacing w:after="0"/>
              <w:rPr>
                <w:sz w:val="20"/>
                <w:szCs w:val="20"/>
                <w:color w:val="auto"/>
              </w:rPr>
            </w:pPr>
            <w:r>
              <w:rPr>
                <w:rFonts w:ascii="Arial" w:cs="Arial" w:eastAsia="Arial" w:hAnsi="Arial"/>
                <w:sz w:val="12"/>
                <w:szCs w:val="12"/>
                <w:color w:val="auto"/>
                <w:w w:val="97"/>
              </w:rPr>
              <w:t>1,602,720</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3,173,000</w:t>
            </w:r>
          </w:p>
        </w:tc>
        <w:tc>
          <w:tcPr>
            <w:tcW w:w="180" w:type="dxa"/>
            <w:vAlign w:val="bottom"/>
            <w:shd w:val="clear" w:color="auto" w:fill="C0C0C0"/>
          </w:tcPr>
          <w:p>
            <w:pPr>
              <w:spacing w:after="0"/>
              <w:rPr>
                <w:sz w:val="19"/>
                <w:szCs w:val="19"/>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shd w:val="clear" w:color="auto" w:fill="C0C0C0"/>
          </w:tcPr>
          <w:p>
            <w:pPr>
              <w:jc w:val="right"/>
              <w:ind w:right="200"/>
              <w:spacing w:after="0"/>
              <w:rPr>
                <w:sz w:val="20"/>
                <w:szCs w:val="20"/>
                <w:color w:val="auto"/>
              </w:rPr>
            </w:pPr>
            <w:r>
              <w:rPr>
                <w:rFonts w:ascii="Arial" w:cs="Arial" w:eastAsia="Arial" w:hAnsi="Arial"/>
                <w:sz w:val="12"/>
                <w:szCs w:val="12"/>
                <w:color w:val="auto"/>
                <w:w w:val="97"/>
              </w:rPr>
              <w:t>1,062,375</w:t>
            </w:r>
          </w:p>
        </w:tc>
        <w:tc>
          <w:tcPr>
            <w:tcW w:w="460" w:type="dxa"/>
            <w:vAlign w:val="bottom"/>
            <w:shd w:val="clear" w:color="auto" w:fill="C0C0C0"/>
          </w:tcPr>
          <w:p>
            <w:pPr>
              <w:jc w:val="right"/>
              <w:ind w:right="139"/>
              <w:spacing w:after="0"/>
              <w:rPr>
                <w:sz w:val="20"/>
                <w:szCs w:val="20"/>
                <w:color w:val="auto"/>
              </w:rPr>
            </w:pPr>
            <w:r>
              <w:rPr>
                <w:rFonts w:ascii="Arial" w:cs="Arial" w:eastAsia="Arial" w:hAnsi="Arial"/>
                <w:sz w:val="12"/>
                <w:szCs w:val="12"/>
                <w:color w:val="auto"/>
              </w:rPr>
              <w:t>0</w:t>
            </w:r>
          </w:p>
        </w:tc>
        <w:tc>
          <w:tcPr>
            <w:tcW w:w="1000" w:type="dxa"/>
            <w:vAlign w:val="bottom"/>
            <w:gridSpan w:val="2"/>
            <w:shd w:val="clear" w:color="auto" w:fill="C0C0C0"/>
          </w:tcPr>
          <w:p>
            <w:pPr>
              <w:jc w:val="right"/>
              <w:ind w:right="319"/>
              <w:spacing w:after="0"/>
              <w:rPr>
                <w:sz w:val="20"/>
                <w:szCs w:val="20"/>
                <w:color w:val="auto"/>
              </w:rPr>
            </w:pPr>
            <w:r>
              <w:rPr>
                <w:rFonts w:ascii="Arial" w:cs="Arial" w:eastAsia="Arial" w:hAnsi="Arial"/>
                <w:sz w:val="12"/>
                <w:szCs w:val="12"/>
                <w:color w:val="auto"/>
              </w:rPr>
              <w:t>0</w:t>
            </w:r>
          </w:p>
        </w:tc>
        <w:tc>
          <w:tcPr>
            <w:tcW w:w="860" w:type="dxa"/>
            <w:vAlign w:val="bottom"/>
            <w:gridSpan w:val="2"/>
            <w:shd w:val="clear" w:color="auto" w:fill="C0C0C0"/>
          </w:tcPr>
          <w:p>
            <w:pPr>
              <w:jc w:val="right"/>
              <w:ind w:right="239"/>
              <w:spacing w:after="0"/>
              <w:rPr>
                <w:sz w:val="20"/>
                <w:szCs w:val="20"/>
                <w:color w:val="auto"/>
              </w:rPr>
            </w:pPr>
            <w:r>
              <w:rPr>
                <w:rFonts w:ascii="Arial" w:cs="Arial" w:eastAsia="Arial" w:hAnsi="Arial"/>
                <w:sz w:val="12"/>
                <w:szCs w:val="12"/>
                <w:color w:val="auto"/>
              </w:rPr>
              <w:t>0</w:t>
            </w:r>
          </w:p>
        </w:tc>
        <w:tc>
          <w:tcPr>
            <w:tcW w:w="300" w:type="dxa"/>
            <w:vAlign w:val="bottom"/>
            <w:gridSpan w:val="2"/>
            <w:shd w:val="clear" w:color="auto" w:fill="C0C0C0"/>
          </w:tcPr>
          <w:p>
            <w:pPr>
              <w:jc w:val="right"/>
              <w:ind w:right="20"/>
              <w:spacing w:after="0"/>
              <w:rPr>
                <w:sz w:val="20"/>
                <w:szCs w:val="20"/>
                <w:color w:val="auto"/>
              </w:rPr>
            </w:pPr>
            <w:r>
              <w:rPr>
                <w:rFonts w:ascii="Arial" w:cs="Arial" w:eastAsia="Arial" w:hAnsi="Arial"/>
                <w:sz w:val="12"/>
                <w:szCs w:val="12"/>
                <w:color w:val="auto"/>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2"/>
                <w:szCs w:val="12"/>
                <w:color w:val="auto"/>
              </w:rPr>
              <w:t>7,011,731</w:t>
            </w:r>
          </w:p>
        </w:tc>
        <w:tc>
          <w:tcPr>
            <w:tcW w:w="20" w:type="dxa"/>
            <w:vAlign w:val="bottom"/>
          </w:tcPr>
          <w:p>
            <w:pPr>
              <w:spacing w:after="0"/>
              <w:rPr>
                <w:sz w:val="19"/>
                <w:szCs w:val="19"/>
                <w:color w:val="auto"/>
              </w:rPr>
            </w:pPr>
          </w:p>
        </w:tc>
      </w:tr>
      <w:tr>
        <w:trPr>
          <w:trHeight w:val="201"/>
        </w:trPr>
        <w:tc>
          <w:tcPr>
            <w:tcW w:w="2820" w:type="dxa"/>
            <w:vAlign w:val="bottom"/>
          </w:tcPr>
          <w:p>
            <w:pPr>
              <w:spacing w:after="0"/>
              <w:rPr>
                <w:sz w:val="20"/>
                <w:szCs w:val="20"/>
                <w:color w:val="auto"/>
              </w:rPr>
            </w:pPr>
            <w:r>
              <w:rPr>
                <w:rFonts w:ascii="Arial" w:cs="Arial" w:eastAsia="Arial" w:hAnsi="Arial"/>
                <w:sz w:val="12"/>
                <w:szCs w:val="12"/>
                <w:color w:val="auto"/>
              </w:rPr>
              <w:t>Delfassy</w:t>
            </w:r>
          </w:p>
        </w:tc>
        <w:tc>
          <w:tcPr>
            <w:tcW w:w="580" w:type="dxa"/>
            <w:vAlign w:val="bottom"/>
            <w:gridSpan w:val="2"/>
          </w:tcPr>
          <w:p>
            <w:pPr>
              <w:jc w:val="center"/>
              <w:ind w:left="139"/>
              <w:spacing w:after="0"/>
              <w:rPr>
                <w:sz w:val="20"/>
                <w:szCs w:val="20"/>
                <w:color w:val="auto"/>
              </w:rPr>
            </w:pPr>
            <w:r>
              <w:rPr>
                <w:rFonts w:ascii="Arial" w:cs="Arial" w:eastAsia="Arial" w:hAnsi="Arial"/>
                <w:sz w:val="12"/>
                <w:szCs w:val="12"/>
                <w:color w:val="auto"/>
                <w:w w:val="95"/>
              </w:rPr>
              <w:t>(1)</w:t>
            </w:r>
          </w:p>
        </w:tc>
        <w:tc>
          <w:tcPr>
            <w:tcW w:w="720" w:type="dxa"/>
            <w:vAlign w:val="bottom"/>
            <w:gridSpan w:val="2"/>
          </w:tcPr>
          <w:p>
            <w:pPr>
              <w:jc w:val="right"/>
              <w:ind w:right="159"/>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ind w:right="59"/>
              <w:spacing w:after="0"/>
              <w:rPr>
                <w:sz w:val="20"/>
                <w:szCs w:val="20"/>
                <w:color w:val="auto"/>
              </w:rPr>
            </w:pPr>
            <w:r>
              <w:rPr>
                <w:rFonts w:ascii="Arial" w:cs="Arial" w:eastAsia="Arial" w:hAnsi="Arial"/>
                <w:sz w:val="12"/>
                <w:szCs w:val="12"/>
                <w:color w:val="auto"/>
              </w:rPr>
              <w:t>0</w:t>
            </w: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59"/>
              <w:spacing w:after="0"/>
              <w:rPr>
                <w:sz w:val="20"/>
                <w:szCs w:val="20"/>
                <w:color w:val="auto"/>
              </w:rPr>
            </w:pPr>
            <w:r>
              <w:rPr>
                <w:rFonts w:ascii="Arial" w:cs="Arial" w:eastAsia="Arial" w:hAnsi="Arial"/>
                <w:sz w:val="12"/>
                <w:szCs w:val="12"/>
                <w:color w:val="auto"/>
                <w:w w:val="97"/>
              </w:rPr>
              <w:t>2,466,398</w:t>
            </w:r>
          </w:p>
        </w:tc>
        <w:tc>
          <w:tcPr>
            <w:tcW w:w="3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1,670,000</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694,125</w:t>
            </w:r>
          </w:p>
        </w:tc>
        <w:tc>
          <w:tcPr>
            <w:tcW w:w="460" w:type="dxa"/>
            <w:vAlign w:val="bottom"/>
          </w:tcPr>
          <w:p>
            <w:pPr>
              <w:jc w:val="right"/>
              <w:ind w:right="139"/>
              <w:spacing w:after="0"/>
              <w:rPr>
                <w:sz w:val="20"/>
                <w:szCs w:val="20"/>
                <w:color w:val="auto"/>
              </w:rPr>
            </w:pPr>
            <w:r>
              <w:rPr>
                <w:rFonts w:ascii="Arial" w:cs="Arial" w:eastAsia="Arial" w:hAnsi="Arial"/>
                <w:sz w:val="12"/>
                <w:szCs w:val="12"/>
                <w:color w:val="auto"/>
              </w:rPr>
              <w:t>0</w:t>
            </w:r>
          </w:p>
        </w:tc>
        <w:tc>
          <w:tcPr>
            <w:tcW w:w="1000" w:type="dxa"/>
            <w:vAlign w:val="bottom"/>
            <w:gridSpan w:val="2"/>
          </w:tcPr>
          <w:p>
            <w:pPr>
              <w:jc w:val="right"/>
              <w:ind w:right="319"/>
              <w:spacing w:after="0"/>
              <w:rPr>
                <w:sz w:val="20"/>
                <w:szCs w:val="20"/>
                <w:color w:val="auto"/>
              </w:rPr>
            </w:pPr>
            <w:r>
              <w:rPr>
                <w:rFonts w:ascii="Arial" w:cs="Arial" w:eastAsia="Arial" w:hAnsi="Arial"/>
                <w:sz w:val="12"/>
                <w:szCs w:val="12"/>
                <w:color w:val="auto"/>
              </w:rPr>
              <w:t>0</w:t>
            </w:r>
          </w:p>
        </w:tc>
        <w:tc>
          <w:tcPr>
            <w:tcW w:w="860" w:type="dxa"/>
            <w:vAlign w:val="bottom"/>
            <w:gridSpan w:val="2"/>
          </w:tcPr>
          <w:p>
            <w:pPr>
              <w:jc w:val="right"/>
              <w:ind w:right="239"/>
              <w:spacing w:after="0"/>
              <w:rPr>
                <w:sz w:val="20"/>
                <w:szCs w:val="20"/>
                <w:color w:val="auto"/>
              </w:rPr>
            </w:pPr>
            <w:r>
              <w:rPr>
                <w:rFonts w:ascii="Arial" w:cs="Arial" w:eastAsia="Arial" w:hAnsi="Arial"/>
                <w:sz w:val="12"/>
                <w:szCs w:val="12"/>
                <w:color w:val="auto"/>
              </w:rPr>
              <w:t>0</w:t>
            </w:r>
          </w:p>
        </w:tc>
        <w:tc>
          <w:tcPr>
            <w:tcW w:w="3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4,830,523</w:t>
            </w:r>
          </w:p>
        </w:tc>
      </w:tr>
      <w:tr>
        <w:trPr>
          <w:trHeight w:val="249"/>
        </w:trPr>
        <w:tc>
          <w:tcPr>
            <w:tcW w:w="2820" w:type="dxa"/>
            <w:vAlign w:val="bottom"/>
          </w:tcPr>
          <w:p>
            <w:pPr>
              <w:spacing w:after="0"/>
              <w:rPr>
                <w:sz w:val="20"/>
                <w:szCs w:val="20"/>
                <w:color w:val="auto"/>
              </w:rPr>
            </w:pPr>
            <w:r>
              <w:rPr>
                <w:rFonts w:ascii="Arial" w:cs="Arial" w:eastAsia="Arial" w:hAnsi="Arial"/>
                <w:sz w:val="20"/>
                <w:szCs w:val="20"/>
                <w:color w:val="auto"/>
              </w:rPr>
              <w:t>____________________</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214" w:lineRule="exact"/>
        <w:rPr>
          <w:sz w:val="20"/>
          <w:szCs w:val="20"/>
          <w:color w:val="auto"/>
        </w:rPr>
      </w:pPr>
    </w:p>
    <w:p>
      <w:pPr>
        <w:ind w:left="442" w:right="620" w:hanging="442"/>
        <w:spacing w:after="0" w:line="250" w:lineRule="auto"/>
        <w:tabs>
          <w:tab w:leader="none" w:pos="442" w:val="left"/>
        </w:tabs>
        <w:numPr>
          <w:ilvl w:val="0"/>
          <w:numId w:val="46"/>
        </w:numPr>
        <w:rPr>
          <w:rFonts w:ascii="Arial" w:cs="Arial" w:eastAsia="Arial" w:hAnsi="Arial"/>
          <w:sz w:val="16"/>
          <w:szCs w:val="16"/>
          <w:color w:val="auto"/>
        </w:rPr>
      </w:pPr>
      <w:r>
        <w:rPr>
          <w:rFonts w:ascii="Arial" w:cs="Arial" w:eastAsia="Arial" w:hAnsi="Arial"/>
          <w:sz w:val="16"/>
          <w:szCs w:val="16"/>
          <w:color w:val="auto"/>
        </w:rPr>
        <w:t>Because the amount of a bonus is subject to the Compensation Committee’s discretion considering the facts and circumstances at the time, it is not possible to predict the amount of bonus, if any, the executive officer would have received.</w:t>
      </w:r>
    </w:p>
    <w:p>
      <w:pPr>
        <w:spacing w:after="0" w:line="204" w:lineRule="exact"/>
        <w:rPr>
          <w:rFonts w:ascii="Arial" w:cs="Arial" w:eastAsia="Arial" w:hAnsi="Arial"/>
          <w:sz w:val="16"/>
          <w:szCs w:val="16"/>
          <w:color w:val="auto"/>
        </w:rPr>
      </w:pPr>
    </w:p>
    <w:p>
      <w:pPr>
        <w:ind w:left="442" w:right="80" w:hanging="442"/>
        <w:spacing w:after="0" w:line="250" w:lineRule="auto"/>
        <w:tabs>
          <w:tab w:leader="none" w:pos="442"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change in control does not result in a distribution of the accrued benefit under this plan. For amounts payable in the event of a termination of employment under various scenarios following a change in control, please see the discussion of the scenarios above.</w:t>
      </w:r>
    </w:p>
    <w:p>
      <w:pPr>
        <w:spacing w:after="0" w:line="204" w:lineRule="exact"/>
        <w:rPr>
          <w:rFonts w:ascii="Arial" w:cs="Arial" w:eastAsia="Arial" w:hAnsi="Arial"/>
          <w:sz w:val="16"/>
          <w:szCs w:val="16"/>
          <w:color w:val="auto"/>
        </w:rPr>
      </w:pPr>
    </w:p>
    <w:p>
      <w:pPr>
        <w:ind w:left="442" w:right="220" w:hanging="442"/>
        <w:spacing w:after="0" w:line="250" w:lineRule="auto"/>
        <w:tabs>
          <w:tab w:leader="none" w:pos="442" w:val="left"/>
        </w:tabs>
        <w:numPr>
          <w:ilvl w:val="0"/>
          <w:numId w:val="46"/>
        </w:numPr>
        <w:rPr>
          <w:rFonts w:ascii="Arial" w:cs="Arial" w:eastAsia="Arial" w:hAnsi="Arial"/>
          <w:sz w:val="16"/>
          <w:szCs w:val="16"/>
          <w:color w:val="auto"/>
        </w:rPr>
      </w:pPr>
      <w:r>
        <w:rPr>
          <w:rFonts w:ascii="Arial" w:cs="Arial" w:eastAsia="Arial" w:hAnsi="Arial"/>
          <w:sz w:val="16"/>
          <w:szCs w:val="16"/>
          <w:color w:val="auto"/>
        </w:rPr>
        <w:t>Lump sum value of the December 31, 2007, accrued benefit calculated as required by the terms of the plan assuming the earliest possible payment date. Mr. Delfassy does not participate in this plan.</w:t>
      </w:r>
    </w:p>
    <w:p>
      <w:pPr>
        <w:spacing w:after="0" w:line="204" w:lineRule="exact"/>
        <w:rPr>
          <w:rFonts w:ascii="Arial" w:cs="Arial" w:eastAsia="Arial" w:hAnsi="Arial"/>
          <w:sz w:val="16"/>
          <w:szCs w:val="16"/>
          <w:color w:val="auto"/>
        </w:rPr>
      </w:pPr>
    </w:p>
    <w:p>
      <w:pPr>
        <w:ind w:left="442" w:right="340" w:hanging="442"/>
        <w:spacing w:after="0" w:line="250" w:lineRule="auto"/>
        <w:tabs>
          <w:tab w:leader="none" w:pos="442" w:val="left"/>
        </w:tabs>
        <w:numPr>
          <w:ilvl w:val="0"/>
          <w:numId w:val="46"/>
        </w:numPr>
        <w:rPr>
          <w:rFonts w:ascii="Arial" w:cs="Arial" w:eastAsia="Arial" w:hAnsi="Arial"/>
          <w:sz w:val="16"/>
          <w:szCs w:val="16"/>
          <w:color w:val="auto"/>
        </w:rPr>
      </w:pPr>
      <w:r>
        <w:rPr>
          <w:rFonts w:ascii="Arial" w:cs="Arial" w:eastAsia="Arial" w:hAnsi="Arial"/>
          <w:sz w:val="16"/>
          <w:szCs w:val="16"/>
          <w:color w:val="auto"/>
        </w:rPr>
        <w:t>Aggregate account value as of December 31, 2007. The amounts shown in the 2007 Nonqualified Deferred Compensation table on page 40 include the amounts shown in this column.</w:t>
      </w:r>
    </w:p>
    <w:p>
      <w:pPr>
        <w:spacing w:after="0" w:line="180"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442" w:right="220" w:hanging="442"/>
        <w:spacing w:after="0" w:line="250" w:lineRule="auto"/>
        <w:tabs>
          <w:tab w:leader="none" w:pos="442"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change in control affects only RSUs awarded after January 18, 2006. Calculated by multiplying the number of RSUs granted after January 18, 2006, by the closing price of the company’s common stock as of December 31, 2007 ($33.40).</w:t>
      </w:r>
    </w:p>
    <w:p>
      <w:pPr>
        <w:spacing w:after="0" w:line="204" w:lineRule="exact"/>
        <w:rPr>
          <w:rFonts w:ascii="Arial" w:cs="Arial" w:eastAsia="Arial" w:hAnsi="Arial"/>
          <w:sz w:val="16"/>
          <w:szCs w:val="16"/>
          <w:color w:val="auto"/>
        </w:rPr>
      </w:pPr>
    </w:p>
    <w:p>
      <w:pPr>
        <w:ind w:left="442" w:right="120" w:hanging="442"/>
        <w:spacing w:after="0" w:line="245" w:lineRule="auto"/>
        <w:tabs>
          <w:tab w:leader="none" w:pos="442" w:val="left"/>
        </w:tabs>
        <w:numPr>
          <w:ilvl w:val="0"/>
          <w:numId w:val="47"/>
        </w:numPr>
        <w:rPr>
          <w:rFonts w:ascii="Arial" w:cs="Arial" w:eastAsia="Arial" w:hAnsi="Arial"/>
          <w:sz w:val="16"/>
          <w:szCs w:val="16"/>
          <w:color w:val="auto"/>
        </w:rPr>
      </w:pPr>
      <w:r>
        <w:rPr>
          <w:rFonts w:ascii="Arial" w:cs="Arial" w:eastAsia="Arial" w:hAnsi="Arial"/>
          <w:sz w:val="16"/>
          <w:szCs w:val="16"/>
          <w:color w:val="auto"/>
        </w:rPr>
        <w:t>Upon a change in control meeting the standard definition (please see page 36), all outstanding options become immediately exercisable. Calculated as the difference between the grant price of in-the-money options not already exercisable and the closing price of the company’s common stock as of December 31, 2007 ($33.40), multiplied by the number of those options as of December 31, 2007.</w:t>
      </w:r>
    </w:p>
    <w:p>
      <w:pPr>
        <w:spacing w:after="0" w:line="208" w:lineRule="exact"/>
        <w:rPr>
          <w:rFonts w:ascii="Arial" w:cs="Arial" w:eastAsia="Arial" w:hAnsi="Arial"/>
          <w:sz w:val="16"/>
          <w:szCs w:val="16"/>
          <w:color w:val="auto"/>
        </w:rPr>
      </w:pPr>
    </w:p>
    <w:p>
      <w:pPr>
        <w:ind w:left="442" w:hanging="442"/>
        <w:spacing w:after="0"/>
        <w:tabs>
          <w:tab w:leader="none" w:pos="442"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change in control does not trigger payment of profit sharing.</w:t>
      </w:r>
    </w:p>
    <w:p>
      <w:pPr>
        <w:spacing w:after="0" w:line="220" w:lineRule="exact"/>
        <w:rPr>
          <w:rFonts w:ascii="Arial" w:cs="Arial" w:eastAsia="Arial" w:hAnsi="Arial"/>
          <w:sz w:val="16"/>
          <w:szCs w:val="16"/>
          <w:color w:val="auto"/>
        </w:rPr>
      </w:pPr>
    </w:p>
    <w:p>
      <w:pPr>
        <w:ind w:left="442" w:hanging="442"/>
        <w:spacing w:after="0"/>
        <w:tabs>
          <w:tab w:leader="none" w:pos="442"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change in control does not trigger payment of the amount in the participant’s accrued time bank.</w:t>
      </w:r>
    </w:p>
    <w:p>
      <w:pPr>
        <w:sectPr>
          <w:pgSz w:w="11900" w:h="16838" w:orient="portrait"/>
          <w:cols w:equalWidth="0" w:num="1">
            <w:col w:w="11442"/>
          </w:cols>
          <w:pgMar w:left="238" w:top="363" w:right="219" w:bottom="0" w:gutter="0" w:footer="0" w:header="0"/>
        </w:sectPr>
      </w:pPr>
    </w:p>
    <w:bookmarkStart w:id="31" w:name="page32"/>
    <w:bookmarkEnd w:id="31"/>
    <w:p>
      <w:pPr>
        <w:ind w:left="5622" w:right="2920" w:hanging="5622"/>
        <w:spacing w:after="0" w:line="506" w:lineRule="auto"/>
        <w:tabs>
          <w:tab w:leader="none" w:pos="436"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change in control has no effect on a participant’s perquisites or on Mr. Engibous’s executive life insurance policy.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wp:posOffset>
            </wp:positionV>
            <wp:extent cx="7279640" cy="203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164" w:lineRule="exact"/>
        <w:rPr>
          <w:sz w:val="20"/>
          <w:szCs w:val="20"/>
          <w:color w:val="auto"/>
        </w:rPr>
      </w:pPr>
    </w:p>
    <w:p>
      <w:pPr>
        <w:ind w:left="4622"/>
        <w:spacing w:after="0"/>
        <w:rPr>
          <w:sz w:val="20"/>
          <w:szCs w:val="20"/>
          <w:color w:val="auto"/>
        </w:rPr>
      </w:pPr>
      <w:r>
        <w:rPr>
          <w:rFonts w:ascii="Arial" w:cs="Arial" w:eastAsia="Arial" w:hAnsi="Arial"/>
          <w:sz w:val="16"/>
          <w:szCs w:val="16"/>
          <w:b w:val="1"/>
          <w:bCs w:val="1"/>
          <w:color w:val="auto"/>
        </w:rPr>
        <w:t>AUDIT COMMITTEE REPORT</w:t>
      </w:r>
    </w:p>
    <w:p>
      <w:pPr>
        <w:spacing w:after="0" w:line="216"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Audit Committee of the board of directors has furnished the following report:</w:t>
      </w:r>
    </w:p>
    <w:p>
      <w:pPr>
        <w:spacing w:after="0" w:line="196" w:lineRule="exact"/>
        <w:rPr>
          <w:sz w:val="20"/>
          <w:szCs w:val="20"/>
          <w:color w:val="auto"/>
        </w:rPr>
      </w:pPr>
    </w:p>
    <w:p>
      <w:pPr>
        <w:ind w:left="2" w:right="420"/>
        <w:spacing w:after="0" w:line="243" w:lineRule="auto"/>
        <w:rPr>
          <w:sz w:val="20"/>
          <w:szCs w:val="20"/>
          <w:color w:val="auto"/>
        </w:rPr>
      </w:pPr>
      <w:r>
        <w:rPr>
          <w:rFonts w:ascii="Arial" w:cs="Arial" w:eastAsia="Arial" w:hAnsi="Arial"/>
          <w:sz w:val="16"/>
          <w:szCs w:val="16"/>
          <w:color w:val="auto"/>
        </w:rPr>
        <w:t>As noted in the committee’s charter, TI management is responsible for preparing the company’s financial statements. The company’s independent registered public accounting firm is responsible for auditing the financial statements. The activities of the committee are in no way designed to supersede or alter those traditional responsibilities. The committee’s role does not provide any special assurances with regard to TI’s financial statements, nor does it involve a professional evaluation of the quality of the audits performed by the independent registered public accounting firm.</w:t>
      </w:r>
    </w:p>
    <w:p>
      <w:pPr>
        <w:spacing w:after="0" w:line="186" w:lineRule="exact"/>
        <w:rPr>
          <w:sz w:val="20"/>
          <w:szCs w:val="20"/>
          <w:color w:val="auto"/>
        </w:rPr>
      </w:pPr>
    </w:p>
    <w:p>
      <w:pPr>
        <w:ind w:left="2" w:right="180"/>
        <w:spacing w:after="0" w:line="250" w:lineRule="auto"/>
        <w:rPr>
          <w:sz w:val="20"/>
          <w:szCs w:val="20"/>
          <w:color w:val="auto"/>
        </w:rPr>
      </w:pPr>
      <w:r>
        <w:rPr>
          <w:rFonts w:ascii="Arial" w:cs="Arial" w:eastAsia="Arial" w:hAnsi="Arial"/>
          <w:sz w:val="16"/>
          <w:szCs w:val="16"/>
          <w:color w:val="auto"/>
        </w:rPr>
        <w:t>The committee has reviewed and discussed with management and the independent accounting firm, as appropriate, (1) the audited financial statements and (2) management’s report on internal control over financial reporting and the independent accounting firm’s related opinions.</w:t>
      </w:r>
    </w:p>
    <w:p>
      <w:pPr>
        <w:spacing w:after="0" w:line="180" w:lineRule="exact"/>
        <w:rPr>
          <w:sz w:val="20"/>
          <w:szCs w:val="20"/>
          <w:color w:val="auto"/>
        </w:rPr>
      </w:pPr>
    </w:p>
    <w:p>
      <w:pPr>
        <w:ind w:left="2" w:right="540"/>
        <w:spacing w:after="0" w:line="250" w:lineRule="auto"/>
        <w:rPr>
          <w:sz w:val="20"/>
          <w:szCs w:val="20"/>
          <w:color w:val="auto"/>
        </w:rPr>
      </w:pPr>
      <w:r>
        <w:rPr>
          <w:rFonts w:ascii="Arial" w:cs="Arial" w:eastAsia="Arial" w:hAnsi="Arial"/>
          <w:sz w:val="16"/>
          <w:szCs w:val="16"/>
          <w:color w:val="auto"/>
        </w:rPr>
        <w:t xml:space="preserve">The committee has discussed with the independent registered public accounting firm, Ernst &amp; Young, the matters required to be discussed by Statement of Auditing Standards No. 61,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as amended.</w:t>
      </w:r>
    </w:p>
    <w:p>
      <w:pPr>
        <w:spacing w:after="0" w:line="180" w:lineRule="exact"/>
        <w:rPr>
          <w:sz w:val="20"/>
          <w:szCs w:val="20"/>
          <w:color w:val="auto"/>
        </w:rPr>
      </w:pPr>
    </w:p>
    <w:p>
      <w:pPr>
        <w:jc w:val="both"/>
        <w:ind w:left="2" w:right="280"/>
        <w:spacing w:after="0" w:line="245" w:lineRule="auto"/>
        <w:rPr>
          <w:sz w:val="20"/>
          <w:szCs w:val="20"/>
          <w:color w:val="auto"/>
        </w:rPr>
      </w:pPr>
      <w:r>
        <w:rPr>
          <w:rFonts w:ascii="Arial" w:cs="Arial" w:eastAsia="Arial" w:hAnsi="Arial"/>
          <w:sz w:val="16"/>
          <w:szCs w:val="16"/>
          <w:color w:val="auto"/>
        </w:rPr>
        <w:t xml:space="preserve">The committee has received the written disclosures and the letter from the independent registered public accounting firm required by Independence Standards Board Standard No. 1, </w:t>
      </w:r>
      <w:r>
        <w:rPr>
          <w:rFonts w:ascii="Arial" w:cs="Arial" w:eastAsia="Arial" w:hAnsi="Arial"/>
          <w:sz w:val="16"/>
          <w:szCs w:val="16"/>
          <w:i w:val="1"/>
          <w:iCs w:val="1"/>
          <w:color w:val="auto"/>
        </w:rPr>
        <w:t>Independence Discussions with Audit Committees</w:t>
      </w:r>
      <w:r>
        <w:rPr>
          <w:rFonts w:ascii="Arial" w:cs="Arial" w:eastAsia="Arial" w:hAnsi="Arial"/>
          <w:sz w:val="16"/>
          <w:szCs w:val="16"/>
          <w:color w:val="auto"/>
        </w:rPr>
        <w:t>, has considered the compatibility of non-audit services with the firm’s independence, and has discussed with Ernst &amp; Young the firm’s independence.</w:t>
      </w:r>
    </w:p>
    <w:p>
      <w:pPr>
        <w:spacing w:after="0" w:line="184" w:lineRule="exact"/>
        <w:rPr>
          <w:sz w:val="20"/>
          <w:szCs w:val="20"/>
          <w:color w:val="auto"/>
        </w:rPr>
      </w:pPr>
    </w:p>
    <w:p>
      <w:pPr>
        <w:ind w:left="2" w:right="40"/>
        <w:spacing w:after="0" w:line="250" w:lineRule="auto"/>
        <w:rPr>
          <w:sz w:val="20"/>
          <w:szCs w:val="20"/>
          <w:color w:val="auto"/>
        </w:rPr>
      </w:pPr>
      <w:r>
        <w:rPr>
          <w:rFonts w:ascii="Arial" w:cs="Arial" w:eastAsia="Arial" w:hAnsi="Arial"/>
          <w:sz w:val="16"/>
          <w:szCs w:val="16"/>
          <w:color w:val="auto"/>
        </w:rPr>
        <w:t>Based on the review and discussions referred to above, the committee recommended to the board of directors that the audited financial statements be included in the company’s Annual Report on Form 10-K for 2007 for filing with the SEC.</w:t>
      </w:r>
    </w:p>
    <w:p>
      <w:pPr>
        <w:spacing w:after="0" w:line="180" w:lineRule="exact"/>
        <w:rPr>
          <w:sz w:val="20"/>
          <w:szCs w:val="20"/>
          <w:color w:val="auto"/>
        </w:rPr>
      </w:pPr>
    </w:p>
    <w:p>
      <w:pPr>
        <w:ind w:left="2842"/>
        <w:spacing w:after="0"/>
        <w:tabs>
          <w:tab w:leader="none" w:pos="5442" w:val="left"/>
          <w:tab w:leader="none" w:pos="7242" w:val="left"/>
        </w:tabs>
        <w:rPr>
          <w:sz w:val="20"/>
          <w:szCs w:val="20"/>
          <w:color w:val="auto"/>
        </w:rPr>
      </w:pPr>
      <w:r>
        <w:rPr>
          <w:rFonts w:ascii="Arial" w:cs="Arial" w:eastAsia="Arial" w:hAnsi="Arial"/>
          <w:sz w:val="16"/>
          <w:szCs w:val="16"/>
          <w:color w:val="auto"/>
        </w:rPr>
        <w:t>Pamela H. Patsley, Chair</w:t>
      </w:r>
      <w:r>
        <w:rPr>
          <w:sz w:val="20"/>
          <w:szCs w:val="20"/>
          <w:color w:val="auto"/>
        </w:rPr>
        <w:tab/>
      </w:r>
      <w:r>
        <w:rPr>
          <w:rFonts w:ascii="Arial" w:cs="Arial" w:eastAsia="Arial" w:hAnsi="Arial"/>
          <w:sz w:val="16"/>
          <w:szCs w:val="16"/>
          <w:color w:val="auto"/>
        </w:rPr>
        <w:t>Carrie S. Cox</w:t>
      </w:r>
      <w:r>
        <w:rPr>
          <w:sz w:val="20"/>
          <w:szCs w:val="20"/>
          <w:color w:val="auto"/>
        </w:rPr>
        <w:tab/>
      </w:r>
      <w:r>
        <w:rPr>
          <w:rFonts w:ascii="Arial" w:cs="Arial" w:eastAsia="Arial" w:hAnsi="Arial"/>
          <w:sz w:val="15"/>
          <w:szCs w:val="15"/>
          <w:color w:val="auto"/>
        </w:rPr>
        <w:t>Wayne R. Sanders</w:t>
      </w:r>
    </w:p>
    <w:p>
      <w:pPr>
        <w:spacing w:after="0" w:line="196"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7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PROPOSAL TO RATIFY</w:t>
      </w:r>
    </w:p>
    <w:p>
      <w:pPr>
        <w:spacing w:after="0" w:line="20"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APPOINTMENT OF INDEPENDENT REGISTERED PUBLIC ACCOUNTING FIRM</w:t>
      </w:r>
    </w:p>
    <w:p>
      <w:pPr>
        <w:spacing w:after="0" w:line="196"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Audit Committee of the board has appointed Ernst &amp; Young LLP to be TI’s independent registered public accounting firm for 2008.</w:t>
      </w:r>
    </w:p>
    <w:p>
      <w:pPr>
        <w:spacing w:after="0" w:line="196" w:lineRule="exact"/>
        <w:rPr>
          <w:sz w:val="20"/>
          <w:szCs w:val="20"/>
          <w:color w:val="auto"/>
        </w:rPr>
      </w:pPr>
    </w:p>
    <w:p>
      <w:pPr>
        <w:ind w:left="2" w:right="240"/>
        <w:spacing w:after="0" w:line="250" w:lineRule="auto"/>
        <w:rPr>
          <w:sz w:val="20"/>
          <w:szCs w:val="20"/>
          <w:color w:val="auto"/>
        </w:rPr>
      </w:pPr>
      <w:r>
        <w:rPr>
          <w:rFonts w:ascii="Arial" w:cs="Arial" w:eastAsia="Arial" w:hAnsi="Arial"/>
          <w:sz w:val="16"/>
          <w:szCs w:val="16"/>
          <w:color w:val="auto"/>
        </w:rPr>
        <w:t>The board asks the stockholders to ratify the appointment of Ernst &amp; Young. If the stockholders do not ratify the appointment, the Audit Committee will consider whether it should appoint another independent registered public accounting firm.</w:t>
      </w:r>
    </w:p>
    <w:p>
      <w:pPr>
        <w:spacing w:after="0" w:line="180" w:lineRule="exact"/>
        <w:rPr>
          <w:sz w:val="20"/>
          <w:szCs w:val="20"/>
          <w:color w:val="auto"/>
        </w:rPr>
      </w:pPr>
    </w:p>
    <w:p>
      <w:pPr>
        <w:ind w:left="2" w:right="400"/>
        <w:spacing w:after="0" w:line="250" w:lineRule="auto"/>
        <w:rPr>
          <w:sz w:val="20"/>
          <w:szCs w:val="20"/>
          <w:color w:val="auto"/>
        </w:rPr>
      </w:pPr>
      <w:r>
        <w:rPr>
          <w:rFonts w:ascii="Arial" w:cs="Arial" w:eastAsia="Arial" w:hAnsi="Arial"/>
          <w:sz w:val="16"/>
          <w:szCs w:val="16"/>
          <w:color w:val="auto"/>
        </w:rPr>
        <w:t>Representatives of Ernst &amp; Young are expected to be present, and to be available to respond to appropriate questions, at the annual meeting. They have the opportunity to make a statement if they desire to do so; they have indicated that, as of this date, they do not.</w:t>
      </w:r>
    </w:p>
    <w:p>
      <w:pPr>
        <w:spacing w:after="0" w:line="180"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company has paid fees to Ernst &amp; Young for the services described below:</w:t>
      </w:r>
    </w:p>
    <w:p>
      <w:pPr>
        <w:spacing w:after="0" w:line="176" w:lineRule="exact"/>
        <w:rPr>
          <w:sz w:val="20"/>
          <w:szCs w:val="20"/>
          <w:color w:val="auto"/>
        </w:rPr>
      </w:pPr>
    </w:p>
    <w:p>
      <w:pPr>
        <w:ind w:left="182" w:right="140"/>
        <w:spacing w:after="0" w:line="258" w:lineRule="auto"/>
        <w:rPr>
          <w:sz w:val="20"/>
          <w:szCs w:val="20"/>
          <w:color w:val="auto"/>
        </w:rPr>
      </w:pPr>
      <w:r>
        <w:rPr>
          <w:rFonts w:ascii="Arial" w:cs="Arial" w:eastAsia="Arial" w:hAnsi="Arial"/>
          <w:sz w:val="16"/>
          <w:szCs w:val="16"/>
          <w:b w:val="1"/>
          <w:bCs w:val="1"/>
          <w:color w:val="auto"/>
        </w:rPr>
        <w:t xml:space="preserve">Audit Fees. </w:t>
      </w:r>
      <w:r>
        <w:rPr>
          <w:rFonts w:ascii="Arial" w:cs="Arial" w:eastAsia="Arial" w:hAnsi="Arial"/>
          <w:sz w:val="16"/>
          <w:szCs w:val="16"/>
          <w:color w:val="auto"/>
        </w:rPr>
        <w:t>Ernst &amp; Young’s Audit Fees were $6,785,000 in 2007 and $7,470,000 in 2006. The services provided in exchange for these fees were our annual</w:t>
      </w:r>
      <w:r>
        <w:rPr>
          <w:rFonts w:ascii="Arial" w:cs="Arial" w:eastAsia="Arial" w:hAnsi="Arial"/>
          <w:sz w:val="16"/>
          <w:szCs w:val="16"/>
          <w:b w:val="1"/>
          <w:bCs w:val="1"/>
          <w:color w:val="auto"/>
        </w:rPr>
        <w:t xml:space="preserve"> </w:t>
      </w:r>
      <w:r>
        <w:rPr>
          <w:rFonts w:ascii="Arial" w:cs="Arial" w:eastAsia="Arial" w:hAnsi="Arial"/>
          <w:sz w:val="16"/>
          <w:szCs w:val="16"/>
          <w:color w:val="auto"/>
        </w:rPr>
        <w:t>audit, including the audit of the effectiveness of internal controls over financial reporting, reports on Form 10-Q, and statutory audits required in non-U.S. jurisdictions.</w:t>
      </w:r>
    </w:p>
    <w:p>
      <w:pPr>
        <w:spacing w:after="0" w:line="154" w:lineRule="exact"/>
        <w:rPr>
          <w:sz w:val="20"/>
          <w:szCs w:val="20"/>
          <w:color w:val="auto"/>
        </w:rPr>
      </w:pPr>
    </w:p>
    <w:p>
      <w:pPr>
        <w:ind w:left="182" w:right="60"/>
        <w:spacing w:after="0" w:line="248" w:lineRule="auto"/>
        <w:rPr>
          <w:sz w:val="20"/>
          <w:szCs w:val="20"/>
          <w:color w:val="auto"/>
        </w:rPr>
      </w:pPr>
      <w:r>
        <w:rPr>
          <w:rFonts w:ascii="Arial" w:cs="Arial" w:eastAsia="Arial" w:hAnsi="Arial"/>
          <w:sz w:val="16"/>
          <w:szCs w:val="16"/>
          <w:b w:val="1"/>
          <w:bCs w:val="1"/>
          <w:color w:val="auto"/>
        </w:rPr>
        <w:t xml:space="preserve">Audit-Related Fees. </w:t>
      </w:r>
      <w:r>
        <w:rPr>
          <w:rFonts w:ascii="Arial" w:cs="Arial" w:eastAsia="Arial" w:hAnsi="Arial"/>
          <w:sz w:val="16"/>
          <w:szCs w:val="16"/>
          <w:color w:val="auto"/>
        </w:rPr>
        <w:t>In addition to the Audit Fees, the company paid Ernst &amp; Young $586,000 in 2007 and $1,689,000 in 2006. The services provided in</w:t>
      </w:r>
      <w:r>
        <w:rPr>
          <w:rFonts w:ascii="Arial" w:cs="Arial" w:eastAsia="Arial" w:hAnsi="Arial"/>
          <w:sz w:val="16"/>
          <w:szCs w:val="16"/>
          <w:b w:val="1"/>
          <w:bCs w:val="1"/>
          <w:color w:val="auto"/>
        </w:rPr>
        <w:t xml:space="preserve"> </w:t>
      </w:r>
      <w:r>
        <w:rPr>
          <w:rFonts w:ascii="Arial" w:cs="Arial" w:eastAsia="Arial" w:hAnsi="Arial"/>
          <w:sz w:val="16"/>
          <w:szCs w:val="16"/>
          <w:color w:val="auto"/>
        </w:rPr>
        <w:t>exchange for these fees included employee benefit plan audits, agreed-upon procedures reports related to compensation matters, a grant certification audit, access to Ernst &amp; Young’s online research tool, an environmental certification audit, an energy-usage certification audit for a non-U.S. subsidiary, a research and development certification audit and a separate audit in support of a transaction to divest substantially all of the company’s Sensors &amp; Controls segment. Of the total Audit-Related Fees incurred in 2006, $1,019,000 was related to this separate audit.</w:t>
      </w:r>
    </w:p>
    <w:p>
      <w:pPr>
        <w:spacing w:after="0" w:line="164" w:lineRule="exact"/>
        <w:rPr>
          <w:sz w:val="20"/>
          <w:szCs w:val="20"/>
          <w:color w:val="auto"/>
        </w:rPr>
      </w:pPr>
    </w:p>
    <w:p>
      <w:pPr>
        <w:ind w:left="182" w:right="440"/>
        <w:spacing w:after="0" w:line="276" w:lineRule="auto"/>
        <w:rPr>
          <w:sz w:val="20"/>
          <w:szCs w:val="20"/>
          <w:color w:val="auto"/>
        </w:rPr>
      </w:pPr>
      <w:r>
        <w:rPr>
          <w:rFonts w:ascii="Arial" w:cs="Arial" w:eastAsia="Arial" w:hAnsi="Arial"/>
          <w:sz w:val="16"/>
          <w:szCs w:val="16"/>
          <w:b w:val="1"/>
          <w:bCs w:val="1"/>
          <w:color w:val="auto"/>
        </w:rPr>
        <w:t xml:space="preserve">Tax Fees. </w:t>
      </w:r>
      <w:r>
        <w:rPr>
          <w:rFonts w:ascii="Arial" w:cs="Arial" w:eastAsia="Arial" w:hAnsi="Arial"/>
          <w:sz w:val="16"/>
          <w:szCs w:val="16"/>
          <w:color w:val="auto"/>
        </w:rPr>
        <w:t>Ernst &amp; Young’s fees for professional services rendered for tax compliance (preparation and review of non-U.S. tax returns), tax advice and tax</w:t>
      </w:r>
      <w:r>
        <w:rPr>
          <w:rFonts w:ascii="Arial" w:cs="Arial" w:eastAsia="Arial" w:hAnsi="Arial"/>
          <w:sz w:val="16"/>
          <w:szCs w:val="16"/>
          <w:b w:val="1"/>
          <w:bCs w:val="1"/>
          <w:color w:val="auto"/>
        </w:rPr>
        <w:t xml:space="preserve"> </w:t>
      </w:r>
      <w:r>
        <w:rPr>
          <w:rFonts w:ascii="Arial" w:cs="Arial" w:eastAsia="Arial" w:hAnsi="Arial"/>
          <w:sz w:val="16"/>
          <w:szCs w:val="16"/>
          <w:color w:val="auto"/>
        </w:rPr>
        <w:t>planning (including expatriate tax services) were $503,000 in 2007 and $639,000 in 2006.</w:t>
      </w:r>
    </w:p>
    <w:p>
      <w:pPr>
        <w:spacing w:after="0" w:line="140" w:lineRule="exact"/>
        <w:rPr>
          <w:sz w:val="20"/>
          <w:szCs w:val="20"/>
          <w:color w:val="auto"/>
        </w:rPr>
      </w:pPr>
    </w:p>
    <w:p>
      <w:pPr>
        <w:ind w:left="182" w:right="540"/>
        <w:spacing w:after="0" w:line="276" w:lineRule="auto"/>
        <w:rPr>
          <w:sz w:val="20"/>
          <w:szCs w:val="20"/>
          <w:color w:val="auto"/>
        </w:rPr>
      </w:pPr>
      <w:r>
        <w:rPr>
          <w:rFonts w:ascii="Arial" w:cs="Arial" w:eastAsia="Arial" w:hAnsi="Arial"/>
          <w:sz w:val="16"/>
          <w:szCs w:val="16"/>
          <w:b w:val="1"/>
          <w:bCs w:val="1"/>
          <w:color w:val="auto"/>
        </w:rPr>
        <w:t xml:space="preserve">All Other Fees. </w:t>
      </w:r>
      <w:r>
        <w:rPr>
          <w:rFonts w:ascii="Arial" w:cs="Arial" w:eastAsia="Arial" w:hAnsi="Arial"/>
          <w:sz w:val="16"/>
          <w:szCs w:val="16"/>
          <w:color w:val="auto"/>
        </w:rPr>
        <w:t>Ernst &amp; Young’s fees for all other professional services rendered were $21,000 in 2007 and $20,000 in 2006 for audit services for the TI</w:t>
      </w:r>
      <w:r>
        <w:rPr>
          <w:rFonts w:ascii="Arial" w:cs="Arial" w:eastAsia="Arial" w:hAnsi="Arial"/>
          <w:sz w:val="16"/>
          <w:szCs w:val="16"/>
          <w:b w:val="1"/>
          <w:bCs w:val="1"/>
          <w:color w:val="auto"/>
        </w:rPr>
        <w:t xml:space="preserve"> </w:t>
      </w:r>
      <w:r>
        <w:rPr>
          <w:rFonts w:ascii="Arial" w:cs="Arial" w:eastAsia="Arial" w:hAnsi="Arial"/>
          <w:sz w:val="16"/>
          <w:szCs w:val="16"/>
          <w:color w:val="auto"/>
        </w:rPr>
        <w:t>Foundation.</w:t>
      </w:r>
    </w:p>
    <w:p>
      <w:pPr>
        <w:spacing w:after="0" w:line="140" w:lineRule="exact"/>
        <w:rPr>
          <w:sz w:val="20"/>
          <w:szCs w:val="20"/>
          <w:color w:val="auto"/>
        </w:rPr>
      </w:pPr>
    </w:p>
    <w:p>
      <w:pPr>
        <w:ind w:left="2" w:right="420"/>
        <w:spacing w:after="0" w:line="276" w:lineRule="auto"/>
        <w:rPr>
          <w:sz w:val="20"/>
          <w:szCs w:val="20"/>
          <w:color w:val="auto"/>
        </w:rPr>
      </w:pPr>
      <w:r>
        <w:rPr>
          <w:rFonts w:ascii="Arial" w:cs="Arial" w:eastAsia="Arial" w:hAnsi="Arial"/>
          <w:sz w:val="16"/>
          <w:szCs w:val="16"/>
          <w:b w:val="1"/>
          <w:bCs w:val="1"/>
          <w:color w:val="auto"/>
        </w:rPr>
        <w:t xml:space="preserve">Pre-approval Policy. </w:t>
      </w:r>
      <w:r>
        <w:rPr>
          <w:rFonts w:ascii="Arial" w:cs="Arial" w:eastAsia="Arial" w:hAnsi="Arial"/>
          <w:sz w:val="16"/>
          <w:szCs w:val="16"/>
          <w:color w:val="auto"/>
        </w:rPr>
        <w:t>The Audit Committee is required to pre-approve the audit and non-audit services to be performed by the independent registered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accounting firm in order to assure that the provision of such services does not impair the firm’s independence.</w:t>
      </w:r>
    </w:p>
    <w:p>
      <w:pPr>
        <w:spacing w:after="0" w:line="160" w:lineRule="exact"/>
        <w:rPr>
          <w:sz w:val="20"/>
          <w:szCs w:val="20"/>
          <w:color w:val="auto"/>
        </w:rPr>
      </w:pPr>
    </w:p>
    <w:p>
      <w:pPr>
        <w:ind w:left="2"/>
        <w:spacing w:after="0" w:line="241" w:lineRule="auto"/>
        <w:rPr>
          <w:sz w:val="20"/>
          <w:szCs w:val="20"/>
          <w:color w:val="auto"/>
        </w:rPr>
      </w:pPr>
      <w:r>
        <w:rPr>
          <w:rFonts w:ascii="Arial" w:cs="Arial" w:eastAsia="Arial" w:hAnsi="Arial"/>
          <w:sz w:val="16"/>
          <w:szCs w:val="16"/>
          <w:color w:val="auto"/>
        </w:rPr>
        <w:t>Annually the independent registered public accounting firm and the Director of Internal Audits present to the Audit Committee services expected to be performed by the firm over the next 12 months. The Audit Committee reviews and, as it deems appropriate, pre-approves those services. The services and estimated fees are presented to the Audit Committee for consideration in the following categories: Audit, Audit-Related, Tax and All Other (each as defined in Schedule 14A of the Securities Exchange Act of 1934). For each service listed in those categories, the Committee receives detailed documentation indicating the specific services to be provided. The term of any pre-approval is 12 months from the date of pre-approval, unless the Audit Committee specifically provides for a different period. The Audit Committee reviews on at least a quarterly basis the services provided to date by the firm and the fees incurred for those services. The Audit Committee may revise the list of pre-approved services and related fees from time to time, based on subsequent determinations.</w:t>
      </w:r>
    </w:p>
    <w:p>
      <w:pPr>
        <w:spacing w:after="0" w:line="189" w:lineRule="exact"/>
        <w:rPr>
          <w:sz w:val="20"/>
          <w:szCs w:val="20"/>
          <w:color w:val="auto"/>
        </w:rPr>
      </w:pPr>
    </w:p>
    <w:p>
      <w:pPr>
        <w:jc w:val="both"/>
        <w:ind w:left="2" w:right="480"/>
        <w:spacing w:after="0" w:line="245" w:lineRule="auto"/>
        <w:rPr>
          <w:sz w:val="20"/>
          <w:szCs w:val="20"/>
          <w:color w:val="auto"/>
        </w:rPr>
      </w:pPr>
      <w:r>
        <w:rPr>
          <w:rFonts w:ascii="Arial" w:cs="Arial" w:eastAsia="Arial" w:hAnsi="Arial"/>
          <w:sz w:val="16"/>
          <w:szCs w:val="16"/>
          <w:color w:val="auto"/>
        </w:rPr>
        <w:t>In order to respond to time-sensitive requests for services that may arise between regularly scheduled meetings of the Audit Committee, the Committee has delegated pre-approval authority to its Chair (the Audit Committee does not delegate to management its responsibilities to pre-approve services). The Chair reports pre-approval decisions to the Audit Committee and seeks ratification of such decisions at the Audit Committee’s next scheduled meeting.</w:t>
      </w:r>
    </w:p>
    <w:p>
      <w:pPr>
        <w:spacing w:after="0" w:line="184" w:lineRule="exact"/>
        <w:rPr>
          <w:sz w:val="20"/>
          <w:szCs w:val="20"/>
          <w:color w:val="auto"/>
        </w:rPr>
      </w:pPr>
    </w:p>
    <w:p>
      <w:pPr>
        <w:ind w:left="2" w:right="100"/>
        <w:spacing w:after="0" w:line="250" w:lineRule="auto"/>
        <w:rPr>
          <w:sz w:val="20"/>
          <w:szCs w:val="20"/>
          <w:color w:val="auto"/>
        </w:rPr>
      </w:pPr>
      <w:r>
        <w:rPr>
          <w:rFonts w:ascii="Arial" w:cs="Arial" w:eastAsia="Arial" w:hAnsi="Arial"/>
          <w:sz w:val="16"/>
          <w:szCs w:val="16"/>
          <w:color w:val="auto"/>
        </w:rPr>
        <w:t>The Audit Committee or its Chair pre-approved all services provided by Ernst &amp; Young during 2007, and all pre-approvals by the Chair were subsequently ratified by the Audit Committee.</w:t>
      </w:r>
    </w:p>
    <w:p>
      <w:pPr>
        <w:spacing w:after="0" w:line="160" w:lineRule="exact"/>
        <w:rPr>
          <w:sz w:val="20"/>
          <w:szCs w:val="20"/>
          <w:color w:val="auto"/>
        </w:rPr>
      </w:pPr>
    </w:p>
    <w:p>
      <w:pPr>
        <w:ind w:left="2" w:right="460"/>
        <w:spacing w:after="0" w:line="276" w:lineRule="auto"/>
        <w:rPr>
          <w:sz w:val="20"/>
          <w:szCs w:val="20"/>
          <w:color w:val="auto"/>
        </w:rPr>
      </w:pPr>
      <w:r>
        <w:rPr>
          <w:rFonts w:ascii="Arial" w:cs="Arial" w:eastAsia="Arial" w:hAnsi="Arial"/>
          <w:sz w:val="16"/>
          <w:szCs w:val="16"/>
          <w:b w:val="1"/>
          <w:bCs w:val="1"/>
          <w:color w:val="auto"/>
        </w:rPr>
        <w:t>The board of directors recommends a vote “FOR” ratification of the appointment of Ernst &amp; Young LLP as the company’s independent registered public accounting firm for 2008.</w:t>
      </w:r>
    </w:p>
    <w:p>
      <w:pPr>
        <w:spacing w:after="0" w:line="160"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76"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STOCKHOLDER PROPOSAL</w:t>
      </w:r>
    </w:p>
    <w:p>
      <w:pPr>
        <w:sectPr>
          <w:pgSz w:w="11900" w:h="16838" w:orient="portrait"/>
          <w:cols w:equalWidth="0" w:num="1">
            <w:col w:w="11422"/>
          </w:cols>
          <w:pgMar w:left="238" w:top="363" w:right="239" w:bottom="0" w:gutter="0" w:footer="0" w:header="0"/>
        </w:sectPr>
      </w:pPr>
    </w:p>
    <w:bookmarkStart w:id="32" w:name="page33"/>
    <w:bookmarkEnd w:id="32"/>
    <w:p>
      <w:pPr>
        <w:spacing w:after="0" w:line="245" w:lineRule="auto"/>
        <w:rPr>
          <w:sz w:val="20"/>
          <w:szCs w:val="20"/>
          <w:color w:val="auto"/>
        </w:rPr>
      </w:pPr>
      <w:r>
        <w:rPr>
          <w:rFonts w:ascii="Arial" w:cs="Arial" w:eastAsia="Arial" w:hAnsi="Arial"/>
          <w:sz w:val="16"/>
          <w:szCs w:val="16"/>
          <w:color w:val="auto"/>
        </w:rPr>
        <w:t xml:space="preserve">An individual who is a holder of record of 101 shares of the common stock of the company submitted a proposal for consideration at the 2008 annual meeting. The name and address of the stockholder will be furnished promptly upon request made to the company. </w:t>
      </w:r>
      <w:r>
        <w:rPr>
          <w:rFonts w:ascii="Arial" w:cs="Arial" w:eastAsia="Arial" w:hAnsi="Arial"/>
          <w:sz w:val="16"/>
          <w:szCs w:val="16"/>
          <w:i w:val="1"/>
          <w:iCs w:val="1"/>
          <w:color w:val="auto"/>
        </w:rPr>
        <w:t>The board of directors opposes the proposal for the reasons</w:t>
      </w:r>
      <w:r>
        <w:rPr>
          <w:rFonts w:ascii="Arial" w:cs="Arial" w:eastAsia="Arial" w:hAnsi="Arial"/>
          <w:sz w:val="16"/>
          <w:szCs w:val="16"/>
          <w:color w:val="auto"/>
        </w:rPr>
        <w:t xml:space="preserve"> </w:t>
      </w:r>
      <w:r>
        <w:rPr>
          <w:rFonts w:ascii="Arial" w:cs="Arial" w:eastAsia="Arial" w:hAnsi="Arial"/>
          <w:sz w:val="16"/>
          <w:szCs w:val="16"/>
          <w:i w:val="1"/>
          <w:iCs w:val="1"/>
          <w:color w:val="auto"/>
        </w:rPr>
        <w:t>stated after the proposal</w:t>
      </w:r>
      <w:r>
        <w:rPr>
          <w:rFonts w:ascii="Arial" w:cs="Arial" w:eastAsia="Arial" w:hAnsi="Arial"/>
          <w:sz w:val="16"/>
          <w:szCs w:val="16"/>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The proposal reads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64400" cy="56769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4400" cy="5676900"/>
                    </a:xfrm>
                    <a:prstGeom prst="rect">
                      <a:avLst/>
                    </a:prstGeom>
                    <a:noFill/>
                  </pic:spPr>
                </pic:pic>
              </a:graphicData>
            </a:graphic>
          </wp:anchor>
        </w:drawing>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6"/>
          <w:szCs w:val="16"/>
          <w:color w:val="auto"/>
        </w:rPr>
        <w:t>Qualifications for Director Nominees</w:t>
      </w:r>
    </w:p>
    <w:p>
      <w:pPr>
        <w:spacing w:after="0" w:line="220" w:lineRule="exact"/>
        <w:rPr>
          <w:sz w:val="20"/>
          <w:szCs w:val="20"/>
          <w:color w:val="auto"/>
        </w:rPr>
      </w:pPr>
    </w:p>
    <w:p>
      <w:pPr>
        <w:ind w:left="60" w:right="860" w:firstLine="289"/>
        <w:spacing w:after="0" w:line="266" w:lineRule="auto"/>
        <w:rPr>
          <w:sz w:val="20"/>
          <w:szCs w:val="20"/>
          <w:color w:val="auto"/>
        </w:rPr>
      </w:pPr>
      <w:r>
        <w:rPr>
          <w:rFonts w:ascii="Arial" w:cs="Arial" w:eastAsia="Arial" w:hAnsi="Arial"/>
          <w:sz w:val="16"/>
          <w:szCs w:val="16"/>
          <w:color w:val="auto"/>
        </w:rPr>
        <w:t>WHEREAS Most Director nominees come from businesses totally unrelated to the corporation to which they have been nominated to serve on its independent executive governance Board;</w:t>
      </w:r>
    </w:p>
    <w:p>
      <w:pPr>
        <w:spacing w:after="0" w:line="193" w:lineRule="exact"/>
        <w:rPr>
          <w:sz w:val="20"/>
          <w:szCs w:val="20"/>
          <w:color w:val="auto"/>
        </w:rPr>
      </w:pPr>
    </w:p>
    <w:p>
      <w:pPr>
        <w:ind w:left="60" w:right="140" w:firstLine="289"/>
        <w:spacing w:after="0" w:line="264" w:lineRule="auto"/>
        <w:rPr>
          <w:sz w:val="20"/>
          <w:szCs w:val="20"/>
          <w:color w:val="auto"/>
        </w:rPr>
      </w:pPr>
      <w:r>
        <w:rPr>
          <w:rFonts w:ascii="Arial" w:cs="Arial" w:eastAsia="Arial" w:hAnsi="Arial"/>
          <w:sz w:val="15"/>
          <w:szCs w:val="15"/>
          <w:color w:val="auto"/>
        </w:rPr>
        <w:t>WHEREAS It is known, throughout the financial industry, that Chairmen and CEOs have the power to appoint their own Boards of Directors. John Kenneth Galbraith, the reknown economist, said it bluntly: “Senior Executives in the great corporations of this country set their own salaries..…and stock option deals..…</w:t>
      </w:r>
    </w:p>
    <w:p>
      <w:pPr>
        <w:ind w:left="60" w:right="320"/>
        <w:spacing w:after="0" w:line="250" w:lineRule="auto"/>
        <w:rPr>
          <w:sz w:val="20"/>
          <w:szCs w:val="20"/>
          <w:color w:val="auto"/>
        </w:rPr>
      </w:pPr>
      <w:r>
        <w:rPr>
          <w:rFonts w:ascii="Arial" w:cs="Arial" w:eastAsia="Arial" w:hAnsi="Arial"/>
          <w:sz w:val="16"/>
          <w:szCs w:val="16"/>
          <w:color w:val="auto"/>
        </w:rPr>
        <w:t>subject to the approval of the Board of Directors that they have appointed. Not surprisingly, the Directors go along.” (</w:t>
      </w:r>
      <w:r>
        <w:rPr>
          <w:rFonts w:ascii="Arial" w:cs="Arial" w:eastAsia="Arial" w:hAnsi="Arial"/>
          <w:sz w:val="16"/>
          <w:szCs w:val="16"/>
          <w:i w:val="1"/>
          <w:iCs w:val="1"/>
          <w:color w:val="auto"/>
        </w:rPr>
        <w:t>The Dallas Morning News</w:t>
      </w:r>
      <w:r>
        <w:rPr>
          <w:rFonts w:ascii="Arial" w:cs="Arial" w:eastAsia="Arial" w:hAnsi="Arial"/>
          <w:sz w:val="16"/>
          <w:szCs w:val="16"/>
          <w:color w:val="auto"/>
        </w:rPr>
        <w:t>, 1-16-2000, p. 1/10E);</w:t>
      </w:r>
    </w:p>
    <w:p>
      <w:pPr>
        <w:spacing w:after="0" w:line="205" w:lineRule="exact"/>
        <w:rPr>
          <w:sz w:val="20"/>
          <w:szCs w:val="20"/>
          <w:color w:val="auto"/>
        </w:rPr>
      </w:pPr>
    </w:p>
    <w:p>
      <w:pPr>
        <w:ind w:left="60" w:right="280" w:firstLine="289"/>
        <w:spacing w:after="0" w:line="266" w:lineRule="auto"/>
        <w:rPr>
          <w:sz w:val="20"/>
          <w:szCs w:val="20"/>
          <w:color w:val="auto"/>
        </w:rPr>
      </w:pPr>
      <w:r>
        <w:rPr>
          <w:rFonts w:ascii="Arial" w:cs="Arial" w:eastAsia="Arial" w:hAnsi="Arial"/>
          <w:sz w:val="16"/>
          <w:szCs w:val="16"/>
          <w:color w:val="auto"/>
        </w:rPr>
        <w:t xml:space="preserve">WHEREAS Most corporate Boards in the United States consist of present or past Chairman, CEOs, or Presidents of other corporations, who, back home, </w:t>
      </w:r>
      <w:r>
        <w:rPr>
          <w:rFonts w:ascii="Arial" w:cs="Arial" w:eastAsia="Arial" w:hAnsi="Arial"/>
          <w:sz w:val="16"/>
          <w:szCs w:val="16"/>
          <w:i w:val="1"/>
          <w:iCs w:val="1"/>
          <w:color w:val="auto"/>
        </w:rPr>
        <w:t>have or had the power to nominate their own Boards of Directors;</w:t>
      </w:r>
    </w:p>
    <w:p>
      <w:pPr>
        <w:spacing w:after="0" w:line="177" w:lineRule="exact"/>
        <w:rPr>
          <w:sz w:val="20"/>
          <w:szCs w:val="20"/>
          <w:color w:val="auto"/>
        </w:rPr>
      </w:pPr>
    </w:p>
    <w:p>
      <w:pPr>
        <w:ind w:left="60" w:right="100" w:firstLine="289"/>
        <w:spacing w:after="0" w:line="287" w:lineRule="auto"/>
        <w:rPr>
          <w:sz w:val="20"/>
          <w:szCs w:val="20"/>
          <w:color w:val="auto"/>
        </w:rPr>
      </w:pPr>
      <w:r>
        <w:rPr>
          <w:rFonts w:ascii="Arial" w:cs="Arial" w:eastAsia="Arial" w:hAnsi="Arial"/>
          <w:sz w:val="16"/>
          <w:szCs w:val="16"/>
          <w:color w:val="auto"/>
        </w:rPr>
        <w:t>WHEREAS Directors, nominated in such a fashion, have been called “Puppets.” by the author of this Proposal; “Flunkies” by David Broder (</w:t>
      </w:r>
      <w:r>
        <w:rPr>
          <w:rFonts w:ascii="Arial" w:cs="Arial" w:eastAsia="Arial" w:hAnsi="Arial"/>
          <w:sz w:val="16"/>
          <w:szCs w:val="16"/>
          <w:i w:val="1"/>
          <w:iCs w:val="1"/>
          <w:color w:val="auto"/>
        </w:rPr>
        <w:t>The Washington</w:t>
      </w:r>
      <w:r>
        <w:rPr>
          <w:rFonts w:ascii="Arial" w:cs="Arial" w:eastAsia="Arial" w:hAnsi="Arial"/>
          <w:sz w:val="16"/>
          <w:szCs w:val="16"/>
          <w:color w:val="auto"/>
        </w:rPr>
        <w:t xml:space="preserve"> </w:t>
      </w:r>
      <w:r>
        <w:rPr>
          <w:rFonts w:ascii="Arial" w:cs="Arial" w:eastAsia="Arial" w:hAnsi="Arial"/>
          <w:sz w:val="16"/>
          <w:szCs w:val="16"/>
          <w:i w:val="1"/>
          <w:iCs w:val="1"/>
          <w:color w:val="auto"/>
        </w:rPr>
        <w:t>Post</w:t>
      </w:r>
      <w:r>
        <w:rPr>
          <w:rFonts w:ascii="Arial" w:cs="Arial" w:eastAsia="Arial" w:hAnsi="Arial"/>
          <w:sz w:val="16"/>
          <w:szCs w:val="16"/>
          <w:color w:val="auto"/>
        </w:rPr>
        <w:t>), and “Rubber-Stampers” Steve Hamm of</w:t>
      </w:r>
      <w:r>
        <w:rPr>
          <w:rFonts w:ascii="Arial" w:cs="Arial" w:eastAsia="Arial" w:hAnsi="Arial"/>
          <w:sz w:val="16"/>
          <w:szCs w:val="16"/>
          <w:i w:val="1"/>
          <w:iCs w:val="1"/>
          <w:color w:val="auto"/>
        </w:rPr>
        <w:t xml:space="preserve"> Business Week</w:t>
      </w:r>
      <w:r>
        <w:rPr>
          <w:rFonts w:ascii="Arial" w:cs="Arial" w:eastAsia="Arial" w:hAnsi="Arial"/>
          <w:sz w:val="16"/>
          <w:szCs w:val="16"/>
          <w:color w:val="auto"/>
        </w:rPr>
        <w:t>);</w:t>
      </w:r>
    </w:p>
    <w:p>
      <w:pPr>
        <w:spacing w:after="0" w:line="17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WHEREAS Sir J. E.E. Dalberg said, “Power tends to corrupt and absolute power corrupts absolutely”;</w:t>
      </w:r>
    </w:p>
    <w:p>
      <w:pPr>
        <w:spacing w:after="0" w:line="217" w:lineRule="exact"/>
        <w:rPr>
          <w:sz w:val="20"/>
          <w:szCs w:val="20"/>
          <w:color w:val="auto"/>
        </w:rPr>
      </w:pPr>
    </w:p>
    <w:p>
      <w:pPr>
        <w:ind w:left="60" w:right="160" w:firstLine="289"/>
        <w:spacing w:after="0" w:line="255" w:lineRule="auto"/>
        <w:rPr>
          <w:sz w:val="20"/>
          <w:szCs w:val="20"/>
          <w:color w:val="auto"/>
        </w:rPr>
      </w:pPr>
      <w:r>
        <w:rPr>
          <w:rFonts w:ascii="Arial" w:cs="Arial" w:eastAsia="Arial" w:hAnsi="Arial"/>
          <w:sz w:val="16"/>
          <w:szCs w:val="16"/>
          <w:color w:val="auto"/>
        </w:rPr>
        <w:t xml:space="preserve">WHEREAS </w:t>
      </w:r>
      <w:r>
        <w:rPr>
          <w:rFonts w:ascii="Arial" w:cs="Arial" w:eastAsia="Arial" w:hAnsi="Arial"/>
          <w:sz w:val="16"/>
          <w:szCs w:val="16"/>
          <w:i w:val="1"/>
          <w:iCs w:val="1"/>
          <w:color w:val="auto"/>
        </w:rPr>
        <w:t>ALL</w:t>
      </w:r>
      <w:r>
        <w:rPr>
          <w:rFonts w:ascii="Arial" w:cs="Arial" w:eastAsia="Arial" w:hAnsi="Arial"/>
          <w:sz w:val="16"/>
          <w:szCs w:val="16"/>
          <w:color w:val="auto"/>
        </w:rPr>
        <w:t xml:space="preserve"> the non-employee Directors, COMBINED, often do not own enough shares in the corporations to which they have been nominated to have genuine feelings of fiduciary responsibility to its shareholders. Their allegiance tends to be directed to the Chairmen or CEOs who appointed them, as revealed in the enormously distorted Compensation Packages awarded to Principal Executives </w:t>
      </w:r>
      <w:r>
        <w:rPr>
          <w:rFonts w:ascii="Arial" w:cs="Arial" w:eastAsia="Arial" w:hAnsi="Arial"/>
          <w:sz w:val="16"/>
          <w:szCs w:val="16"/>
          <w:i w:val="1"/>
          <w:iCs w:val="1"/>
          <w:color w:val="auto"/>
        </w:rPr>
        <w:t>that are often totally unrelated to corporate Performance</w:t>
      </w:r>
      <w:r>
        <w:rPr>
          <w:rFonts w:ascii="Arial" w:cs="Arial" w:eastAsia="Arial" w:hAnsi="Arial"/>
          <w:sz w:val="16"/>
          <w:szCs w:val="16"/>
          <w:color w:val="auto"/>
        </w:rPr>
        <w:t xml:space="preserve"> year after year after year,</w:t>
      </w:r>
    </w:p>
    <w:p>
      <w:pPr>
        <w:spacing w:after="0" w:line="186" w:lineRule="exact"/>
        <w:rPr>
          <w:sz w:val="20"/>
          <w:szCs w:val="20"/>
          <w:color w:val="auto"/>
        </w:rPr>
      </w:pPr>
    </w:p>
    <w:p>
      <w:pPr>
        <w:ind w:left="60" w:right="480" w:firstLine="289"/>
        <w:spacing w:after="0" w:line="287" w:lineRule="auto"/>
        <w:rPr>
          <w:sz w:val="20"/>
          <w:szCs w:val="20"/>
          <w:color w:val="auto"/>
        </w:rPr>
      </w:pPr>
      <w:r>
        <w:rPr>
          <w:rFonts w:ascii="Arial" w:cs="Arial" w:eastAsia="Arial" w:hAnsi="Arial"/>
          <w:sz w:val="16"/>
          <w:szCs w:val="16"/>
          <w:color w:val="auto"/>
        </w:rPr>
        <w:t xml:space="preserve">WHEREAS Salaried employees shall NOT qualify as Director Nominees since their presence on the Board </w:t>
      </w:r>
      <w:r>
        <w:rPr>
          <w:rFonts w:ascii="Arial" w:cs="Arial" w:eastAsia="Arial" w:hAnsi="Arial"/>
          <w:sz w:val="16"/>
          <w:szCs w:val="16"/>
          <w:i w:val="1"/>
          <w:iCs w:val="1"/>
          <w:color w:val="auto"/>
        </w:rPr>
        <w:t>truly</w:t>
      </w:r>
      <w:r>
        <w:rPr>
          <w:rFonts w:ascii="Arial" w:cs="Arial" w:eastAsia="Arial" w:hAnsi="Arial"/>
          <w:sz w:val="16"/>
          <w:szCs w:val="16"/>
          <w:color w:val="auto"/>
        </w:rPr>
        <w:t xml:space="preserve"> corrupts and </w:t>
      </w:r>
      <w:r>
        <w:rPr>
          <w:rFonts w:ascii="Arial" w:cs="Arial" w:eastAsia="Arial" w:hAnsi="Arial"/>
          <w:sz w:val="16"/>
          <w:szCs w:val="16"/>
          <w:i w:val="1"/>
          <w:iCs w:val="1"/>
          <w:color w:val="auto"/>
        </w:rPr>
        <w:t>destroys</w:t>
      </w:r>
      <w:r>
        <w:rPr>
          <w:rFonts w:ascii="Arial" w:cs="Arial" w:eastAsia="Arial" w:hAnsi="Arial"/>
          <w:sz w:val="16"/>
          <w:szCs w:val="16"/>
          <w:color w:val="auto"/>
        </w:rPr>
        <w:t xml:space="preserve"> its function </w:t>
      </w:r>
      <w:r>
        <w:rPr>
          <w:rFonts w:ascii="Arial" w:cs="Arial" w:eastAsia="Arial" w:hAnsi="Arial"/>
          <w:sz w:val="16"/>
          <w:szCs w:val="16"/>
          <w:i w:val="1"/>
          <w:iCs w:val="1"/>
          <w:color w:val="auto"/>
        </w:rPr>
        <w:t>as a</w:t>
      </w:r>
      <w:r>
        <w:rPr>
          <w:rFonts w:ascii="Arial" w:cs="Arial" w:eastAsia="Arial" w:hAnsi="Arial"/>
          <w:sz w:val="16"/>
          <w:szCs w:val="16"/>
          <w:color w:val="auto"/>
        </w:rPr>
        <w:t xml:space="preserve"> </w:t>
      </w:r>
      <w:r>
        <w:rPr>
          <w:rFonts w:ascii="Arial" w:cs="Arial" w:eastAsia="Arial" w:hAnsi="Arial"/>
          <w:sz w:val="16"/>
          <w:szCs w:val="16"/>
          <w:i w:val="1"/>
          <w:iCs w:val="1"/>
          <w:color w:val="auto"/>
        </w:rPr>
        <w:t>totally independent executive governance body;</w:t>
      </w:r>
    </w:p>
    <w:p>
      <w:pPr>
        <w:spacing w:after="0" w:line="176" w:lineRule="exact"/>
        <w:rPr>
          <w:sz w:val="20"/>
          <w:szCs w:val="20"/>
          <w:color w:val="auto"/>
        </w:rPr>
      </w:pPr>
    </w:p>
    <w:p>
      <w:pPr>
        <w:ind w:left="60" w:right="420" w:firstLine="289"/>
        <w:spacing w:after="0" w:line="266" w:lineRule="auto"/>
        <w:rPr>
          <w:sz w:val="20"/>
          <w:szCs w:val="20"/>
          <w:color w:val="auto"/>
        </w:rPr>
      </w:pPr>
      <w:r>
        <w:rPr>
          <w:rFonts w:ascii="Arial" w:cs="Arial" w:eastAsia="Arial" w:hAnsi="Arial"/>
          <w:sz w:val="16"/>
          <w:szCs w:val="16"/>
          <w:color w:val="auto"/>
        </w:rPr>
        <w:t>WHEREAS Paul Volcher, former Chairman of the Federal Reserve Board, said, “Stock options have been the principal source of egregious excesses in executive compensation over the past decade without exception.” (</w:t>
      </w:r>
      <w:r>
        <w:rPr>
          <w:rFonts w:ascii="Arial" w:cs="Arial" w:eastAsia="Arial" w:hAnsi="Arial"/>
          <w:sz w:val="16"/>
          <w:szCs w:val="16"/>
          <w:i w:val="1"/>
          <w:iCs w:val="1"/>
          <w:color w:val="auto"/>
        </w:rPr>
        <w:t>Nightly Business Report</w:t>
      </w:r>
      <w:r>
        <w:rPr>
          <w:rFonts w:ascii="Arial" w:cs="Arial" w:eastAsia="Arial" w:hAnsi="Arial"/>
          <w:sz w:val="16"/>
          <w:szCs w:val="16"/>
          <w:color w:val="auto"/>
        </w:rPr>
        <w:t>, PBS, 9-17-2002)</w:t>
      </w:r>
    </w:p>
    <w:p>
      <w:pPr>
        <w:spacing w:after="0" w:line="193" w:lineRule="exact"/>
        <w:rPr>
          <w:sz w:val="20"/>
          <w:szCs w:val="20"/>
          <w:color w:val="auto"/>
        </w:rPr>
      </w:pPr>
    </w:p>
    <w:p>
      <w:pPr>
        <w:jc w:val="both"/>
        <w:ind w:left="60" w:right="140" w:firstLine="289"/>
        <w:spacing w:after="0" w:line="300" w:lineRule="auto"/>
        <w:rPr>
          <w:sz w:val="20"/>
          <w:szCs w:val="20"/>
          <w:color w:val="auto"/>
        </w:rPr>
      </w:pPr>
      <w:r>
        <w:rPr>
          <w:rFonts w:ascii="Arial" w:cs="Arial" w:eastAsia="Arial" w:hAnsi="Arial"/>
          <w:sz w:val="15"/>
          <w:szCs w:val="15"/>
          <w:color w:val="auto"/>
        </w:rPr>
        <w:t>WHEREAS Arthur Levitt, during his tenure as Chairman of the Securities and Exchange Commission, said, “I spoke time and time again of the failure of the Board of Directors to do anything but act like absolute lambs in the face of their management companies.” (</w:t>
      </w:r>
      <w:r>
        <w:rPr>
          <w:rFonts w:ascii="Arial" w:cs="Arial" w:eastAsia="Arial" w:hAnsi="Arial"/>
          <w:sz w:val="15"/>
          <w:szCs w:val="15"/>
          <w:i w:val="1"/>
          <w:iCs w:val="1"/>
          <w:color w:val="auto"/>
        </w:rPr>
        <w:t>Wall Street Week with Fortune</w:t>
      </w:r>
      <w:r>
        <w:rPr>
          <w:rFonts w:ascii="Arial" w:cs="Arial" w:eastAsia="Arial" w:hAnsi="Arial"/>
          <w:sz w:val="15"/>
          <w:szCs w:val="15"/>
          <w:color w:val="auto"/>
        </w:rPr>
        <w:t>, 11-8-2003, PBS-TV)</w:t>
      </w:r>
    </w:p>
    <w:p>
      <w:pPr>
        <w:spacing w:after="0" w:line="153" w:lineRule="exact"/>
        <w:rPr>
          <w:sz w:val="20"/>
          <w:szCs w:val="20"/>
          <w:color w:val="auto"/>
        </w:rPr>
      </w:pPr>
    </w:p>
    <w:p>
      <w:pPr>
        <w:ind w:left="60" w:right="200" w:firstLine="289"/>
        <w:spacing w:after="0" w:line="287" w:lineRule="auto"/>
        <w:rPr>
          <w:sz w:val="20"/>
          <w:szCs w:val="20"/>
          <w:color w:val="auto"/>
        </w:rPr>
      </w:pPr>
      <w:r>
        <w:rPr>
          <w:rFonts w:ascii="Arial" w:cs="Arial" w:eastAsia="Arial" w:hAnsi="Arial"/>
          <w:sz w:val="16"/>
          <w:szCs w:val="16"/>
          <w:color w:val="auto"/>
        </w:rPr>
        <w:t xml:space="preserve">WHEREAS To have a </w:t>
      </w:r>
      <w:r>
        <w:rPr>
          <w:rFonts w:ascii="Arial" w:cs="Arial" w:eastAsia="Arial" w:hAnsi="Arial"/>
          <w:sz w:val="16"/>
          <w:szCs w:val="16"/>
          <w:i w:val="1"/>
          <w:iCs w:val="1"/>
          <w:color w:val="auto"/>
        </w:rPr>
        <w:t>totally</w:t>
      </w:r>
      <w:r>
        <w:rPr>
          <w:rFonts w:ascii="Arial" w:cs="Arial" w:eastAsia="Arial" w:hAnsi="Arial"/>
          <w:sz w:val="16"/>
          <w:szCs w:val="16"/>
          <w:color w:val="auto"/>
        </w:rPr>
        <w:t xml:space="preserve"> and </w:t>
      </w:r>
      <w:r>
        <w:rPr>
          <w:rFonts w:ascii="Arial" w:cs="Arial" w:eastAsia="Arial" w:hAnsi="Arial"/>
          <w:sz w:val="16"/>
          <w:szCs w:val="16"/>
          <w:i w:val="1"/>
          <w:iCs w:val="1"/>
          <w:color w:val="auto"/>
        </w:rPr>
        <w:t>truly</w:t>
      </w:r>
      <w:r>
        <w:rPr>
          <w:rFonts w:ascii="Arial" w:cs="Arial" w:eastAsia="Arial" w:hAnsi="Arial"/>
          <w:sz w:val="16"/>
          <w:szCs w:val="16"/>
          <w:color w:val="auto"/>
        </w:rPr>
        <w:t xml:space="preserve"> independent executive governance Board of Directors the nominees must come from sources over which Chairmen, Presidents, CEOs, and other Principal Executives in the corporation have no input or control, such as;</w:t>
      </w:r>
    </w:p>
    <w:p>
      <w:pPr>
        <w:spacing w:after="0" w:line="136" w:lineRule="exact"/>
        <w:rPr>
          <w:sz w:val="20"/>
          <w:szCs w:val="20"/>
          <w:color w:val="auto"/>
        </w:rPr>
      </w:pPr>
    </w:p>
    <w:p>
      <w:pPr>
        <w:ind w:left="60" w:right="60" w:firstLine="3"/>
        <w:spacing w:after="0" w:line="271" w:lineRule="auto"/>
        <w:tabs>
          <w:tab w:leader="none" w:pos="237"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Individual Investors who shall, </w:t>
      </w:r>
      <w:r>
        <w:rPr>
          <w:rFonts w:ascii="Arial" w:cs="Arial" w:eastAsia="Arial" w:hAnsi="Arial"/>
          <w:sz w:val="16"/>
          <w:szCs w:val="16"/>
          <w:i w:val="1"/>
          <w:iCs w:val="1"/>
          <w:color w:val="auto"/>
        </w:rPr>
        <w:t>for at least the past three (3) years,</w:t>
      </w:r>
      <w:r>
        <w:rPr>
          <w:rFonts w:ascii="Arial" w:cs="Arial" w:eastAsia="Arial" w:hAnsi="Arial"/>
          <w:sz w:val="16"/>
          <w:szCs w:val="16"/>
          <w:color w:val="auto"/>
        </w:rPr>
        <w:t xml:space="preserve"> have been, and </w:t>
      </w:r>
      <w:r>
        <w:rPr>
          <w:rFonts w:ascii="Arial" w:cs="Arial" w:eastAsia="Arial" w:hAnsi="Arial"/>
          <w:sz w:val="16"/>
          <w:szCs w:val="16"/>
          <w:i w:val="1"/>
          <w:iCs w:val="1"/>
          <w:color w:val="auto"/>
        </w:rPr>
        <w:t>currently are</w:t>
      </w:r>
      <w:r>
        <w:rPr>
          <w:rFonts w:ascii="Arial" w:cs="Arial" w:eastAsia="Arial" w:hAnsi="Arial"/>
          <w:sz w:val="16"/>
          <w:szCs w:val="16"/>
          <w:color w:val="auto"/>
        </w:rPr>
        <w:t xml:space="preserve">, the sole owner of </w:t>
      </w:r>
      <w:r>
        <w:rPr>
          <w:rFonts w:ascii="Arial" w:cs="Arial" w:eastAsia="Arial" w:hAnsi="Arial"/>
          <w:sz w:val="16"/>
          <w:szCs w:val="16"/>
          <w:i w:val="1"/>
          <w:iCs w:val="1"/>
          <w:color w:val="auto"/>
        </w:rPr>
        <w:t>at least three million dollars</w:t>
      </w:r>
      <w:r>
        <w:rPr>
          <w:rFonts w:ascii="Arial" w:cs="Arial" w:eastAsia="Arial" w:hAnsi="Arial"/>
          <w:sz w:val="16"/>
          <w:szCs w:val="16"/>
          <w:color w:val="auto"/>
        </w:rPr>
        <w:t xml:space="preserve"> ($3,000,000) of the corporation’s shares, and/or:</w:t>
      </w:r>
    </w:p>
    <w:p>
      <w:pPr>
        <w:spacing w:after="0" w:line="148" w:lineRule="exact"/>
        <w:rPr>
          <w:rFonts w:ascii="Arial" w:cs="Arial" w:eastAsia="Arial" w:hAnsi="Arial"/>
          <w:sz w:val="16"/>
          <w:szCs w:val="16"/>
          <w:color w:val="auto"/>
        </w:rPr>
      </w:pPr>
    </w:p>
    <w:p>
      <w:pPr>
        <w:ind w:left="60" w:right="280" w:firstLine="3"/>
        <w:spacing w:after="0" w:line="271" w:lineRule="auto"/>
        <w:tabs>
          <w:tab w:leader="none" w:pos="237"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Individuals representing Mutual, Pension, Labor, State Treasury Funds, Foundations or Brokerages holding </w:t>
      </w:r>
      <w:r>
        <w:rPr>
          <w:rFonts w:ascii="Arial" w:cs="Arial" w:eastAsia="Arial" w:hAnsi="Arial"/>
          <w:sz w:val="16"/>
          <w:szCs w:val="16"/>
          <w:i w:val="1"/>
          <w:iCs w:val="1"/>
          <w:color w:val="auto"/>
        </w:rPr>
        <w:t>at least five million</w:t>
      </w:r>
      <w:r>
        <w:rPr>
          <w:rFonts w:ascii="Arial" w:cs="Arial" w:eastAsia="Arial" w:hAnsi="Arial"/>
          <w:sz w:val="16"/>
          <w:szCs w:val="16"/>
          <w:color w:val="auto"/>
        </w:rPr>
        <w:t xml:space="preserve"> (5,000,000) </w:t>
      </w:r>
      <w:r>
        <w:rPr>
          <w:rFonts w:ascii="Arial" w:cs="Arial" w:eastAsia="Arial" w:hAnsi="Arial"/>
          <w:sz w:val="16"/>
          <w:szCs w:val="16"/>
          <w:i w:val="1"/>
          <w:iCs w:val="1"/>
          <w:color w:val="auto"/>
        </w:rPr>
        <w:t>voting shares</w:t>
      </w:r>
      <w:r>
        <w:rPr>
          <w:rFonts w:ascii="Arial" w:cs="Arial" w:eastAsia="Arial" w:hAnsi="Arial"/>
          <w:sz w:val="16"/>
          <w:szCs w:val="16"/>
          <w:color w:val="auto"/>
        </w:rPr>
        <w:t xml:space="preserve"> in the corporation to which they stand for nomination.</w:t>
      </w:r>
    </w:p>
    <w:p>
      <w:pPr>
        <w:spacing w:after="0" w:line="164" w:lineRule="exact"/>
        <w:rPr>
          <w:sz w:val="20"/>
          <w:szCs w:val="20"/>
          <w:color w:val="auto"/>
        </w:rPr>
      </w:pPr>
    </w:p>
    <w:p>
      <w:pPr>
        <w:ind w:left="60" w:right="240"/>
        <w:spacing w:after="0" w:line="243" w:lineRule="auto"/>
        <w:rPr>
          <w:sz w:val="20"/>
          <w:szCs w:val="20"/>
          <w:color w:val="auto"/>
        </w:rPr>
      </w:pPr>
      <w:r>
        <w:rPr>
          <w:rFonts w:ascii="Arial" w:cs="Arial" w:eastAsia="Arial" w:hAnsi="Arial"/>
          <w:sz w:val="16"/>
          <w:szCs w:val="16"/>
          <w:color w:val="auto"/>
        </w:rPr>
        <w:t>THEREFORE, IT IS RECOMMENDED TO, and REQUESTED OF, the Board of Directors that knows the corroborative statements above have been proven to be true and factual, as attested to by the financial scandals still ongoing throughout the nation. It is time to put a dignified and decisive end to the present unethical method of nominating Directors and, upon approval of this Proposal, the selection and election of Qualified Nominees to the Board of Directors shall commence with the Annual Meeting in 2009.</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9640" cy="203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of directors recommends a vote “AGAINST” the above stockholder proposal for the following reasons:</w:t>
      </w:r>
    </w:p>
    <w:p>
      <w:pPr>
        <w:spacing w:after="0" w:line="220" w:lineRule="exact"/>
        <w:rPr>
          <w:sz w:val="20"/>
          <w:szCs w:val="20"/>
          <w:color w:val="auto"/>
        </w:rPr>
      </w:pPr>
    </w:p>
    <w:p>
      <w:pPr>
        <w:ind w:left="480" w:right="200"/>
        <w:spacing w:after="0" w:line="266" w:lineRule="auto"/>
        <w:rPr>
          <w:sz w:val="20"/>
          <w:szCs w:val="20"/>
          <w:color w:val="auto"/>
        </w:rPr>
      </w:pPr>
      <w:r>
        <w:rPr>
          <w:rFonts w:ascii="Arial" w:cs="Arial" w:eastAsia="Arial" w:hAnsi="Arial"/>
          <w:sz w:val="16"/>
          <w:szCs w:val="16"/>
          <w:b w:val="1"/>
          <w:bCs w:val="1"/>
          <w:color w:val="auto"/>
        </w:rPr>
        <w:t xml:space="preserve">The suggested stock ownership requirements represent arbitrary financial criteria and, if implemented, would exclude many talented and informed individuals from serving on the board. </w:t>
      </w:r>
      <w:r>
        <w:rPr>
          <w:rFonts w:ascii="Arial" w:cs="Arial" w:eastAsia="Arial" w:hAnsi="Arial"/>
          <w:sz w:val="16"/>
          <w:szCs w:val="16"/>
          <w:color w:val="auto"/>
        </w:rPr>
        <w:t>Mere stock ownership offers no indication of an individual’s qualifications and capabilities, and would</w:t>
      </w:r>
      <w:r>
        <w:rPr>
          <w:rFonts w:ascii="Arial" w:cs="Arial" w:eastAsia="Arial" w:hAnsi="Arial"/>
          <w:sz w:val="16"/>
          <w:szCs w:val="16"/>
          <w:b w:val="1"/>
          <w:bCs w:val="1"/>
          <w:color w:val="auto"/>
        </w:rPr>
        <w:t xml:space="preserve"> </w:t>
      </w:r>
      <w:r>
        <w:rPr>
          <w:rFonts w:ascii="Arial" w:cs="Arial" w:eastAsia="Arial" w:hAnsi="Arial"/>
          <w:sz w:val="16"/>
          <w:szCs w:val="16"/>
          <w:color w:val="auto"/>
        </w:rPr>
        <w:t>limit the consideration of qualified director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-350520</wp:posOffset>
            </wp:positionV>
            <wp:extent cx="64135" cy="641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52" w:lineRule="exact"/>
        <w:rPr>
          <w:sz w:val="20"/>
          <w:szCs w:val="20"/>
          <w:color w:val="auto"/>
        </w:rPr>
      </w:pPr>
    </w:p>
    <w:p>
      <w:pPr>
        <w:ind w:left="480" w:right="180"/>
        <w:spacing w:after="0" w:line="279" w:lineRule="auto"/>
        <w:rPr>
          <w:sz w:val="20"/>
          <w:szCs w:val="20"/>
          <w:color w:val="auto"/>
        </w:rPr>
      </w:pPr>
      <w:r>
        <w:rPr>
          <w:rFonts w:ascii="Arial" w:cs="Arial" w:eastAsia="Arial" w:hAnsi="Arial"/>
          <w:sz w:val="15"/>
          <w:szCs w:val="15"/>
          <w:b w:val="1"/>
          <w:bCs w:val="1"/>
          <w:color w:val="auto"/>
        </w:rPr>
        <w:t xml:space="preserve">The board has long had a thorough and effective process for identifying board candidates, one that assesses the candidate’s skill, experience and character. </w:t>
      </w:r>
      <w:r>
        <w:rPr>
          <w:rFonts w:ascii="Arial" w:cs="Arial" w:eastAsia="Arial" w:hAnsi="Arial"/>
          <w:sz w:val="15"/>
          <w:szCs w:val="15"/>
          <w:color w:val="auto"/>
        </w:rPr>
        <w:t>The board’s process considers the needs of the entire board and TI in light of the current mix of director skills and attributes. When</w:t>
      </w:r>
      <w:r>
        <w:rPr>
          <w:rFonts w:ascii="Arial" w:cs="Arial" w:eastAsia="Arial" w:hAnsi="Arial"/>
          <w:sz w:val="15"/>
          <w:szCs w:val="15"/>
          <w:b w:val="1"/>
          <w:bCs w:val="1"/>
          <w:color w:val="auto"/>
        </w:rPr>
        <w:t xml:space="preserve"> </w:t>
      </w:r>
      <w:r>
        <w:rPr>
          <w:rFonts w:ascii="Arial" w:cs="Arial" w:eastAsia="Arial" w:hAnsi="Arial"/>
          <w:sz w:val="15"/>
          <w:szCs w:val="15"/>
          <w:color w:val="auto"/>
        </w:rPr>
        <w:t>assessing individual nominees, it considers a variety of issues and factors, including the individual’s career achievements, breadth of experience, soundness of judgment, ability to make independent analytical inquiries, and ability to represent the total corporate interests of TI and its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-471805</wp:posOffset>
            </wp:positionV>
            <wp:extent cx="64135" cy="641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46"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 xml:space="preserve">The board already has in place stock ownership guidelines for directors, which align directors’ interests with those of stockholders. </w:t>
      </w:r>
      <w:r>
        <w:rPr>
          <w:rFonts w:ascii="Arial" w:cs="Arial" w:eastAsia="Arial" w:hAnsi="Arial"/>
          <w:sz w:val="16"/>
          <w:szCs w:val="16"/>
          <w:color w:val="auto"/>
        </w:rPr>
        <w:t>Under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-79375</wp:posOffset>
            </wp:positionV>
            <wp:extent cx="64135" cy="641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4135" cy="64135"/>
                    </a:xfrm>
                    <a:prstGeom prst="rect">
                      <a:avLst/>
                    </a:prstGeom>
                    <a:noFill/>
                  </pic:spPr>
                </pic:pic>
              </a:graphicData>
            </a:graphic>
          </wp:anchor>
        </w:drawing>
      </w:r>
    </w:p>
    <w:p>
      <w:pPr>
        <w:spacing w:after="0" w:line="12" w:lineRule="exact"/>
        <w:rPr>
          <w:sz w:val="20"/>
          <w:szCs w:val="20"/>
          <w:color w:val="auto"/>
        </w:rPr>
      </w:pPr>
    </w:p>
    <w:p>
      <w:pPr>
        <w:ind w:left="480"/>
        <w:spacing w:after="0" w:line="243" w:lineRule="auto"/>
        <w:rPr>
          <w:sz w:val="20"/>
          <w:szCs w:val="20"/>
          <w:color w:val="auto"/>
        </w:rPr>
      </w:pPr>
      <w:r>
        <w:rPr>
          <w:rFonts w:ascii="Arial" w:cs="Arial" w:eastAsia="Arial" w:hAnsi="Arial"/>
          <w:sz w:val="16"/>
          <w:szCs w:val="16"/>
          <w:color w:val="auto"/>
        </w:rPr>
        <w:t>guidelines, non-management directors should hold shares having a value equal to at least three times the annual board and committee retainers combined. An individual has five years from first becoming a director to meet the minimum requirements. The board believes these guidelines are an effective method of aligning board and stockholder interests because it allows new directors to meet requirements over time rather than automatically barring otherwise qualified directors from serving.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ADDITIONAL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Securities</w:t>
      </w:r>
    </w:p>
    <w:p>
      <w:pPr>
        <w:spacing w:after="0" w:line="216"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As of February 19, 2008, 1,322,919,454 shares of the company’s common stock were outstanding. This is the only class of capital stock entitled to vote at the meeting. Each holder of common stock has one vote for each share held. As stated in the notice of meeting, holders of record of the common stock at the close of business on February 19, 2008, may vote at the meeting or any adjournment of the meeting.</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 Ownership of Certain Beneficial Owners</w:t>
      </w:r>
    </w:p>
    <w:p>
      <w:pPr>
        <w:spacing w:after="0" w:line="216"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The following table shows the only person who has reported beneficial ownership of more than 5 percent of the common stock of the company. Persons generally “beneficially own” shares if they have the right to either vote those shares or dispose of them. More than one person may be considered to beneficially own the</w:t>
      </w:r>
    </w:p>
    <w:p>
      <w:pPr>
        <w:sectPr>
          <w:pgSz w:w="11900" w:h="16838" w:orient="portrait"/>
          <w:cols w:equalWidth="0" w:num="1">
            <w:col w:w="11420"/>
          </w:cols>
          <w:pgMar w:left="240" w:top="142" w:right="239" w:bottom="0" w:gutter="0" w:footer="0" w:header="0"/>
        </w:sectPr>
      </w:pPr>
    </w:p>
    <w:bookmarkStart w:id="33" w:name="page34"/>
    <w:bookmarkEnd w:id="33"/>
    <w:p>
      <w:pPr>
        <w:ind w:left="2"/>
        <w:spacing w:after="0"/>
        <w:rPr>
          <w:sz w:val="20"/>
          <w:szCs w:val="20"/>
          <w:color w:val="auto"/>
        </w:rPr>
      </w:pPr>
      <w:r>
        <w:rPr>
          <w:rFonts w:ascii="Arial" w:cs="Arial" w:eastAsia="Arial" w:hAnsi="Arial"/>
          <w:sz w:val="16"/>
          <w:szCs w:val="16"/>
          <w:color w:val="auto"/>
        </w:rPr>
        <w:t>same shares.</w:t>
      </w:r>
    </w:p>
    <w:p>
      <w:pPr>
        <w:spacing w:after="0" w:line="240" w:lineRule="exact"/>
        <w:rPr>
          <w:sz w:val="20"/>
          <w:szCs w:val="20"/>
          <w:color w:val="auto"/>
        </w:rPr>
      </w:pPr>
    </w:p>
    <w:tbl>
      <w:tblPr>
        <w:tblLayout w:type="fixed"/>
        <w:tblInd w:w="2"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Arial" w:cs="Arial" w:eastAsia="Arial" w:hAnsi="Arial"/>
                <w:sz w:val="12"/>
                <w:szCs w:val="12"/>
                <w:b w:val="1"/>
                <w:bCs w:val="1"/>
                <w:color w:val="auto"/>
              </w:rPr>
              <w:t>Shares Owned at</w:t>
            </w:r>
          </w:p>
        </w:tc>
        <w:tc>
          <w:tcPr>
            <w:tcW w:w="20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Arial" w:cs="Arial" w:eastAsia="Arial" w:hAnsi="Arial"/>
                <w:sz w:val="12"/>
                <w:szCs w:val="12"/>
                <w:b w:val="1"/>
                <w:bCs w:val="1"/>
                <w:color w:val="auto"/>
                <w:w w:val="99"/>
              </w:rPr>
              <w:t>Percent</w:t>
            </w:r>
          </w:p>
        </w:tc>
      </w:tr>
      <w:tr>
        <w:trPr>
          <w:trHeight w:val="209"/>
        </w:trPr>
        <w:tc>
          <w:tcPr>
            <w:tcW w:w="5860" w:type="dxa"/>
            <w:vAlign w:val="bottom"/>
            <w:tcBorders>
              <w:bottom w:val="single" w:sz="8" w:color="auto"/>
            </w:tcBorders>
          </w:tcPr>
          <w:p>
            <w:pPr>
              <w:ind w:left="2380"/>
              <w:spacing w:after="0"/>
              <w:rPr>
                <w:sz w:val="20"/>
                <w:szCs w:val="20"/>
                <w:color w:val="auto"/>
              </w:rPr>
            </w:pPr>
            <w:r>
              <w:rPr>
                <w:rFonts w:ascii="Arial" w:cs="Arial" w:eastAsia="Arial" w:hAnsi="Arial"/>
                <w:sz w:val="12"/>
                <w:szCs w:val="12"/>
                <w:b w:val="1"/>
                <w:bCs w:val="1"/>
                <w:color w:val="auto"/>
              </w:rPr>
              <w:t>Name and Address</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December 31, 2007</w:t>
            </w:r>
          </w:p>
        </w:tc>
        <w:tc>
          <w:tcPr>
            <w:tcW w:w="200" w:type="dxa"/>
            <w:vAlign w:val="bottom"/>
          </w:tcPr>
          <w:p>
            <w:pPr>
              <w:spacing w:after="0"/>
              <w:rPr>
                <w:sz w:val="18"/>
                <w:szCs w:val="18"/>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of Class</w:t>
            </w:r>
          </w:p>
        </w:tc>
      </w:tr>
      <w:tr>
        <w:trPr>
          <w:trHeight w:val="213"/>
        </w:trPr>
        <w:tc>
          <w:tcPr>
            <w:tcW w:w="5860" w:type="dxa"/>
            <w:vAlign w:val="bottom"/>
            <w:shd w:val="clear" w:color="auto" w:fill="C0C0C0"/>
          </w:tcPr>
          <w:p>
            <w:pPr>
              <w:spacing w:after="0"/>
              <w:rPr>
                <w:sz w:val="20"/>
                <w:szCs w:val="20"/>
                <w:color w:val="auto"/>
              </w:rPr>
            </w:pPr>
            <w:r>
              <w:rPr>
                <w:rFonts w:ascii="Arial" w:cs="Arial" w:eastAsia="Arial" w:hAnsi="Arial"/>
                <w:sz w:val="12"/>
                <w:szCs w:val="12"/>
                <w:color w:val="auto"/>
              </w:rPr>
              <w:t>Barclays entities</w:t>
            </w:r>
          </w:p>
        </w:tc>
        <w:tc>
          <w:tcPr>
            <w:tcW w:w="1460" w:type="dxa"/>
            <w:vAlign w:val="bottom"/>
            <w:gridSpan w:val="2"/>
            <w:shd w:val="clear" w:color="auto" w:fill="C0C0C0"/>
          </w:tcPr>
          <w:p>
            <w:pPr>
              <w:jc w:val="right"/>
              <w:ind w:right="159"/>
              <w:spacing w:after="0"/>
              <w:rPr>
                <w:sz w:val="20"/>
                <w:szCs w:val="20"/>
                <w:color w:val="auto"/>
              </w:rPr>
            </w:pPr>
            <w:r>
              <w:rPr>
                <w:rFonts w:ascii="Arial" w:cs="Arial" w:eastAsia="Arial" w:hAnsi="Arial"/>
                <w:sz w:val="12"/>
                <w:szCs w:val="12"/>
                <w:color w:val="auto"/>
              </w:rPr>
              <w:t>75,388,622 (1)</w:t>
            </w:r>
          </w:p>
        </w:tc>
        <w:tc>
          <w:tcPr>
            <w:tcW w:w="680" w:type="dxa"/>
            <w:vAlign w:val="bottom"/>
            <w:gridSpan w:val="2"/>
            <w:shd w:val="clear" w:color="auto" w:fill="C0C0C0"/>
          </w:tcPr>
          <w:p>
            <w:pPr>
              <w:jc w:val="center"/>
              <w:ind w:left="139"/>
              <w:spacing w:after="0"/>
              <w:rPr>
                <w:sz w:val="20"/>
                <w:szCs w:val="20"/>
                <w:color w:val="auto"/>
              </w:rPr>
            </w:pPr>
            <w:r>
              <w:rPr>
                <w:rFonts w:ascii="Arial" w:cs="Arial" w:eastAsia="Arial" w:hAnsi="Arial"/>
                <w:sz w:val="12"/>
                <w:szCs w:val="12"/>
                <w:color w:val="auto"/>
              </w:rPr>
              <w:t>5.4%</w:t>
            </w:r>
          </w:p>
        </w:tc>
      </w:tr>
      <w:tr>
        <w:trPr>
          <w:trHeight w:val="221"/>
        </w:trPr>
        <w:tc>
          <w:tcPr>
            <w:tcW w:w="5860" w:type="dxa"/>
            <w:vAlign w:val="bottom"/>
          </w:tcPr>
          <w:p>
            <w:pPr>
              <w:ind w:left="160"/>
              <w:spacing w:after="0"/>
              <w:rPr>
                <w:sz w:val="20"/>
                <w:szCs w:val="20"/>
                <w:color w:val="auto"/>
              </w:rPr>
            </w:pPr>
            <w:r>
              <w:rPr>
                <w:rFonts w:ascii="Arial" w:cs="Arial" w:eastAsia="Arial" w:hAnsi="Arial"/>
                <w:sz w:val="12"/>
                <w:szCs w:val="12"/>
                <w:color w:val="auto"/>
              </w:rPr>
              <w:t>45 Fremont Street</w:t>
            </w:r>
          </w:p>
        </w:tc>
        <w:tc>
          <w:tcPr>
            <w:tcW w:w="200" w:type="dxa"/>
            <w:vAlign w:val="bottom"/>
            <w:shd w:val="clear" w:color="auto" w:fill="C0C0C0"/>
          </w:tcPr>
          <w:p>
            <w:pPr>
              <w:spacing w:after="0"/>
              <w:rPr>
                <w:sz w:val="19"/>
                <w:szCs w:val="19"/>
                <w:color w:val="auto"/>
              </w:rPr>
            </w:pPr>
          </w:p>
        </w:tc>
        <w:tc>
          <w:tcPr>
            <w:tcW w:w="12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480" w:type="dxa"/>
            <w:vAlign w:val="bottom"/>
            <w:shd w:val="clear" w:color="auto" w:fill="C0C0C0"/>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-279400</wp:posOffset>
            </wp:positionV>
            <wp:extent cx="5080635" cy="42037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080635" cy="420370"/>
                    </a:xfrm>
                    <a:prstGeom prst="rect">
                      <a:avLst/>
                    </a:prstGeom>
                    <a:noFill/>
                  </pic:spPr>
                </pic:pic>
              </a:graphicData>
            </a:graphic>
          </wp:anchor>
        </w:drawing>
      </w:r>
    </w:p>
    <w:p>
      <w:pPr>
        <w:spacing w:after="0" w:line="41" w:lineRule="exact"/>
        <w:rPr>
          <w:sz w:val="20"/>
          <w:szCs w:val="20"/>
          <w:color w:val="auto"/>
        </w:rPr>
      </w:pPr>
    </w:p>
    <w:p>
      <w:pPr>
        <w:ind w:left="162"/>
        <w:spacing w:after="0"/>
        <w:rPr>
          <w:sz w:val="20"/>
          <w:szCs w:val="20"/>
          <w:color w:val="auto"/>
        </w:rPr>
      </w:pPr>
      <w:r>
        <w:rPr>
          <w:rFonts w:ascii="Arial" w:cs="Arial" w:eastAsia="Arial" w:hAnsi="Arial"/>
          <w:sz w:val="12"/>
          <w:szCs w:val="12"/>
          <w:color w:val="auto"/>
        </w:rPr>
        <w:t>San Francisco, CA 94105</w:t>
      </w:r>
    </w:p>
    <w:p>
      <w:pPr>
        <w:spacing w:after="0" w:line="9" w:lineRule="exact"/>
        <w:rPr>
          <w:sz w:val="20"/>
          <w:szCs w:val="20"/>
          <w:color w:val="auto"/>
        </w:rPr>
      </w:pPr>
    </w:p>
    <w:p>
      <w:pPr>
        <w:ind w:left="2"/>
        <w:spacing w:after="0"/>
        <w:rPr>
          <w:sz w:val="20"/>
          <w:szCs w:val="20"/>
          <w:color w:val="auto"/>
        </w:rPr>
      </w:pPr>
      <w:r>
        <w:rPr>
          <w:rFonts w:ascii="Arial" w:cs="Arial" w:eastAsia="Arial" w:hAnsi="Arial"/>
          <w:sz w:val="20"/>
          <w:szCs w:val="20"/>
          <w:color w:val="auto"/>
        </w:rPr>
        <w:t>____________________</w:t>
      </w:r>
    </w:p>
    <w:p>
      <w:pPr>
        <w:spacing w:after="0" w:line="227" w:lineRule="exact"/>
        <w:rPr>
          <w:sz w:val="20"/>
          <w:szCs w:val="20"/>
          <w:color w:val="auto"/>
        </w:rPr>
      </w:pPr>
    </w:p>
    <w:p>
      <w:pPr>
        <w:ind w:left="442" w:right="40" w:hanging="442"/>
        <w:spacing w:after="0" w:line="250" w:lineRule="auto"/>
        <w:tabs>
          <w:tab w:leader="none" w:pos="44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TI understands that, as of December 31, 2007, the following Barclays entities had sole voting power and sole investment power with respect to the following number of shares:</w:t>
      </w:r>
    </w:p>
    <w:p>
      <w:pPr>
        <w:spacing w:after="0" w:line="180"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363" w:lineRule="exact"/>
        <w:rPr>
          <w:sz w:val="20"/>
          <w:szCs w:val="20"/>
          <w:color w:val="auto"/>
        </w:rPr>
      </w:pPr>
    </w:p>
    <w:tbl>
      <w:tblPr>
        <w:tblLayout w:type="fixed"/>
        <w:tblInd w:w="2" w:type="dxa"/>
        <w:tblCellMar>
          <w:top w:w="0" w:type="dxa"/>
          <w:left w:w="0" w:type="dxa"/>
          <w:bottom w:w="0" w:type="dxa"/>
          <w:right w:w="0" w:type="dxa"/>
        </w:tblCellMar>
      </w:tblPr>
      <w:tr>
        <w:trPr>
          <w:trHeight w:val="159"/>
        </w:trPr>
        <w:tc>
          <w:tcPr>
            <w:tcW w:w="8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ind w:right="139"/>
              <w:spacing w:after="0"/>
              <w:rPr>
                <w:sz w:val="20"/>
                <w:szCs w:val="20"/>
                <w:color w:val="auto"/>
              </w:rPr>
            </w:pPr>
            <w:r>
              <w:rPr>
                <w:rFonts w:ascii="Arial" w:cs="Arial" w:eastAsia="Arial" w:hAnsi="Arial"/>
                <w:sz w:val="12"/>
                <w:szCs w:val="12"/>
                <w:b w:val="1"/>
                <w:bCs w:val="1"/>
                <w:color w:val="auto"/>
              </w:rPr>
              <w:t>Sole Voting</w:t>
            </w:r>
          </w:p>
        </w:tc>
        <w:tc>
          <w:tcPr>
            <w:tcW w:w="4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8100" w:type="dxa"/>
            <w:vAlign w:val="bottom"/>
          </w:tcPr>
          <w:p>
            <w:pPr>
              <w:ind w:left="3500"/>
              <w:spacing w:after="0"/>
              <w:rPr>
                <w:sz w:val="20"/>
                <w:szCs w:val="20"/>
                <w:color w:val="auto"/>
              </w:rPr>
            </w:pPr>
            <w:r>
              <w:rPr>
                <w:rFonts w:ascii="Arial" w:cs="Arial" w:eastAsia="Arial" w:hAnsi="Arial"/>
                <w:sz w:val="12"/>
                <w:szCs w:val="12"/>
                <w:b w:val="1"/>
                <w:bCs w:val="1"/>
                <w:color w:val="auto"/>
              </w:rPr>
              <w:t>Name and Address</w:t>
            </w:r>
          </w:p>
        </w:tc>
        <w:tc>
          <w:tcPr>
            <w:tcW w:w="460" w:type="dxa"/>
            <w:vAlign w:val="bottom"/>
          </w:tcPr>
          <w:p>
            <w:pPr>
              <w:spacing w:after="0"/>
              <w:rPr>
                <w:sz w:val="12"/>
                <w:szCs w:val="12"/>
                <w:color w:val="auto"/>
              </w:rPr>
            </w:pPr>
          </w:p>
        </w:tc>
        <w:tc>
          <w:tcPr>
            <w:tcW w:w="1100" w:type="dxa"/>
            <w:vAlign w:val="bottom"/>
          </w:tcPr>
          <w:p>
            <w:pPr>
              <w:jc w:val="right"/>
              <w:ind w:right="319"/>
              <w:spacing w:after="0"/>
              <w:rPr>
                <w:sz w:val="20"/>
                <w:szCs w:val="20"/>
                <w:color w:val="auto"/>
              </w:rPr>
            </w:pPr>
            <w:r>
              <w:rPr>
                <w:rFonts w:ascii="Arial" w:cs="Arial" w:eastAsia="Arial" w:hAnsi="Arial"/>
                <w:sz w:val="12"/>
                <w:szCs w:val="12"/>
                <w:b w:val="1"/>
                <w:bCs w:val="1"/>
                <w:color w:val="auto"/>
              </w:rPr>
              <w:t>Power</w:t>
            </w:r>
          </w:p>
        </w:tc>
        <w:tc>
          <w:tcPr>
            <w:tcW w:w="1780" w:type="dxa"/>
            <w:vAlign w:val="bottom"/>
            <w:gridSpan w:val="3"/>
          </w:tcPr>
          <w:p>
            <w:pPr>
              <w:ind w:left="440"/>
              <w:spacing w:after="0"/>
              <w:rPr>
                <w:sz w:val="20"/>
                <w:szCs w:val="20"/>
                <w:color w:val="auto"/>
              </w:rPr>
            </w:pPr>
            <w:r>
              <w:rPr>
                <w:rFonts w:ascii="Arial" w:cs="Arial" w:eastAsia="Arial" w:hAnsi="Arial"/>
                <w:sz w:val="12"/>
                <w:szCs w:val="12"/>
                <w:b w:val="1"/>
                <w:bCs w:val="1"/>
                <w:color w:val="auto"/>
              </w:rPr>
              <w:t>Sole Investment Power</w:t>
            </w:r>
          </w:p>
        </w:tc>
      </w:tr>
      <w:tr>
        <w:trPr>
          <w:trHeight w:val="213"/>
        </w:trPr>
        <w:tc>
          <w:tcPr>
            <w:tcW w:w="810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2"/>
                <w:szCs w:val="12"/>
                <w:color w:val="auto"/>
              </w:rPr>
              <w:t>Barclays Global Investors, NA</w:t>
            </w:r>
          </w:p>
        </w:tc>
        <w:tc>
          <w:tcPr>
            <w:tcW w:w="460" w:type="dxa"/>
            <w:vAlign w:val="bottom"/>
            <w:shd w:val="clear" w:color="auto" w:fill="C0C0C0"/>
          </w:tcPr>
          <w:p>
            <w:pPr>
              <w:spacing w:after="0"/>
              <w:rPr>
                <w:sz w:val="18"/>
                <w:szCs w:val="18"/>
                <w:color w:val="auto"/>
              </w:rPr>
            </w:pPr>
          </w:p>
        </w:tc>
        <w:tc>
          <w:tcPr>
            <w:tcW w:w="1100" w:type="dxa"/>
            <w:vAlign w:val="bottom"/>
            <w:tcBorders>
              <w:top w:val="single" w:sz="8" w:color="auto"/>
            </w:tcBorders>
            <w:shd w:val="clear" w:color="auto" w:fill="C0C0C0"/>
          </w:tcPr>
          <w:p>
            <w:pPr>
              <w:jc w:val="right"/>
              <w:ind w:right="139"/>
              <w:spacing w:after="0"/>
              <w:rPr>
                <w:sz w:val="20"/>
                <w:szCs w:val="20"/>
                <w:color w:val="auto"/>
              </w:rPr>
            </w:pPr>
            <w:r>
              <w:rPr>
                <w:rFonts w:ascii="Arial" w:cs="Arial" w:eastAsia="Arial" w:hAnsi="Arial"/>
                <w:sz w:val="12"/>
                <w:szCs w:val="12"/>
                <w:color w:val="auto"/>
              </w:rPr>
              <w:t>43,037,915</w:t>
            </w:r>
          </w:p>
        </w:tc>
        <w:tc>
          <w:tcPr>
            <w:tcW w:w="440" w:type="dxa"/>
            <w:vAlign w:val="bottom"/>
            <w:shd w:val="clear" w:color="auto" w:fill="C0C0C0"/>
          </w:tcPr>
          <w:p>
            <w:pPr>
              <w:spacing w:after="0"/>
              <w:rPr>
                <w:sz w:val="18"/>
                <w:szCs w:val="18"/>
                <w:color w:val="auto"/>
              </w:rPr>
            </w:pPr>
          </w:p>
        </w:tc>
        <w:tc>
          <w:tcPr>
            <w:tcW w:w="1320" w:type="dxa"/>
            <w:vAlign w:val="bottom"/>
            <w:tcBorders>
              <w:top w:val="single" w:sz="8" w:color="auto"/>
            </w:tcBorders>
            <w:shd w:val="clear" w:color="auto" w:fill="C0C0C0"/>
          </w:tcPr>
          <w:p>
            <w:pPr>
              <w:jc w:val="right"/>
              <w:ind w:right="259"/>
              <w:spacing w:after="0"/>
              <w:rPr>
                <w:sz w:val="20"/>
                <w:szCs w:val="20"/>
                <w:color w:val="auto"/>
              </w:rPr>
            </w:pPr>
            <w:r>
              <w:rPr>
                <w:rFonts w:ascii="Arial" w:cs="Arial" w:eastAsia="Arial" w:hAnsi="Arial"/>
                <w:sz w:val="12"/>
                <w:szCs w:val="12"/>
                <w:color w:val="auto"/>
              </w:rPr>
              <w:t>51,779,856</w:t>
            </w:r>
          </w:p>
        </w:tc>
        <w:tc>
          <w:tcPr>
            <w:tcW w:w="20" w:type="dxa"/>
            <w:vAlign w:val="bottom"/>
          </w:tcPr>
          <w:p>
            <w:pPr>
              <w:spacing w:after="0"/>
              <w:rPr>
                <w:sz w:val="18"/>
                <w:szCs w:val="18"/>
                <w:color w:val="auto"/>
              </w:rPr>
            </w:pPr>
          </w:p>
        </w:tc>
      </w:tr>
      <w:tr>
        <w:trPr>
          <w:trHeight w:val="135"/>
        </w:trPr>
        <w:tc>
          <w:tcPr>
            <w:tcW w:w="8100" w:type="dxa"/>
            <w:vAlign w:val="bottom"/>
          </w:tcPr>
          <w:p>
            <w:pPr>
              <w:spacing w:after="0" w:line="135" w:lineRule="exact"/>
              <w:rPr>
                <w:sz w:val="20"/>
                <w:szCs w:val="20"/>
                <w:color w:val="auto"/>
              </w:rPr>
            </w:pPr>
            <w:r>
              <w:rPr>
                <w:rFonts w:ascii="Arial" w:cs="Arial" w:eastAsia="Arial" w:hAnsi="Arial"/>
                <w:sz w:val="12"/>
                <w:szCs w:val="12"/>
                <w:color w:val="auto"/>
              </w:rPr>
              <w:t>Barclays Global Fund Advisors</w:t>
            </w:r>
          </w:p>
        </w:tc>
        <w:tc>
          <w:tcPr>
            <w:tcW w:w="1560" w:type="dxa"/>
            <w:vAlign w:val="bottom"/>
            <w:gridSpan w:val="2"/>
          </w:tcPr>
          <w:p>
            <w:pPr>
              <w:jc w:val="right"/>
              <w:ind w:right="139"/>
              <w:spacing w:after="0" w:line="135" w:lineRule="exact"/>
              <w:rPr>
                <w:sz w:val="20"/>
                <w:szCs w:val="20"/>
                <w:color w:val="auto"/>
              </w:rPr>
            </w:pPr>
            <w:r>
              <w:rPr>
                <w:rFonts w:ascii="Arial" w:cs="Arial" w:eastAsia="Arial" w:hAnsi="Arial"/>
                <w:sz w:val="12"/>
                <w:szCs w:val="12"/>
                <w:color w:val="auto"/>
              </w:rPr>
              <w:t>10,901,764</w:t>
            </w:r>
          </w:p>
        </w:tc>
        <w:tc>
          <w:tcPr>
            <w:tcW w:w="1760" w:type="dxa"/>
            <w:vAlign w:val="bottom"/>
            <w:gridSpan w:val="2"/>
          </w:tcPr>
          <w:p>
            <w:pPr>
              <w:jc w:val="right"/>
              <w:ind w:right="259"/>
              <w:spacing w:after="0" w:line="135" w:lineRule="exact"/>
              <w:rPr>
                <w:sz w:val="20"/>
                <w:szCs w:val="20"/>
                <w:color w:val="auto"/>
              </w:rPr>
            </w:pPr>
            <w:r>
              <w:rPr>
                <w:rFonts w:ascii="Arial" w:cs="Arial" w:eastAsia="Arial" w:hAnsi="Arial"/>
                <w:sz w:val="12"/>
                <w:szCs w:val="12"/>
                <w:color w:val="auto"/>
              </w:rPr>
              <w:t>10,901,764</w:t>
            </w:r>
          </w:p>
        </w:tc>
        <w:tc>
          <w:tcPr>
            <w:tcW w:w="20" w:type="dxa"/>
            <w:vAlign w:val="bottom"/>
          </w:tcPr>
          <w:p>
            <w:pPr>
              <w:spacing w:after="0"/>
              <w:rPr>
                <w:sz w:val="11"/>
                <w:szCs w:val="11"/>
                <w:color w:val="auto"/>
              </w:rPr>
            </w:pPr>
          </w:p>
        </w:tc>
      </w:tr>
      <w:tr>
        <w:trPr>
          <w:trHeight w:val="135"/>
        </w:trPr>
        <w:tc>
          <w:tcPr>
            <w:tcW w:w="8100" w:type="dxa"/>
            <w:vAlign w:val="bottom"/>
            <w:shd w:val="clear" w:color="auto" w:fill="C0C0C0"/>
          </w:tcPr>
          <w:p>
            <w:pPr>
              <w:spacing w:after="0" w:line="135" w:lineRule="exact"/>
              <w:rPr>
                <w:sz w:val="20"/>
                <w:szCs w:val="20"/>
                <w:color w:val="auto"/>
              </w:rPr>
            </w:pPr>
            <w:r>
              <w:rPr>
                <w:rFonts w:ascii="Arial" w:cs="Arial" w:eastAsia="Arial" w:hAnsi="Arial"/>
                <w:sz w:val="12"/>
                <w:szCs w:val="12"/>
                <w:color w:val="auto"/>
              </w:rPr>
              <w:t>Barclays Global Investors, Ltd.</w:t>
            </w:r>
          </w:p>
        </w:tc>
        <w:tc>
          <w:tcPr>
            <w:tcW w:w="1560" w:type="dxa"/>
            <w:vAlign w:val="bottom"/>
            <w:gridSpan w:val="2"/>
            <w:shd w:val="clear" w:color="auto" w:fill="C0C0C0"/>
          </w:tcPr>
          <w:p>
            <w:pPr>
              <w:jc w:val="right"/>
              <w:ind w:right="139"/>
              <w:spacing w:after="0" w:line="135" w:lineRule="exact"/>
              <w:rPr>
                <w:sz w:val="20"/>
                <w:szCs w:val="20"/>
                <w:color w:val="auto"/>
              </w:rPr>
            </w:pPr>
            <w:r>
              <w:rPr>
                <w:rFonts w:ascii="Arial" w:cs="Arial" w:eastAsia="Arial" w:hAnsi="Arial"/>
                <w:sz w:val="12"/>
                <w:szCs w:val="12"/>
                <w:color w:val="auto"/>
              </w:rPr>
              <w:t>7,794,345</w:t>
            </w:r>
          </w:p>
        </w:tc>
        <w:tc>
          <w:tcPr>
            <w:tcW w:w="1760" w:type="dxa"/>
            <w:vAlign w:val="bottom"/>
            <w:gridSpan w:val="2"/>
            <w:shd w:val="clear" w:color="auto" w:fill="C0C0C0"/>
          </w:tcPr>
          <w:p>
            <w:pPr>
              <w:jc w:val="right"/>
              <w:ind w:right="259"/>
              <w:spacing w:after="0" w:line="135" w:lineRule="exact"/>
              <w:rPr>
                <w:sz w:val="20"/>
                <w:szCs w:val="20"/>
                <w:color w:val="auto"/>
              </w:rPr>
            </w:pPr>
            <w:r>
              <w:rPr>
                <w:rFonts w:ascii="Arial" w:cs="Arial" w:eastAsia="Arial" w:hAnsi="Arial"/>
                <w:sz w:val="12"/>
                <w:szCs w:val="12"/>
                <w:color w:val="auto"/>
              </w:rPr>
              <w:t>9,149,116</w:t>
            </w:r>
          </w:p>
        </w:tc>
        <w:tc>
          <w:tcPr>
            <w:tcW w:w="20" w:type="dxa"/>
            <w:vAlign w:val="bottom"/>
          </w:tcPr>
          <w:p>
            <w:pPr>
              <w:spacing w:after="0"/>
              <w:rPr>
                <w:sz w:val="11"/>
                <w:szCs w:val="11"/>
                <w:color w:val="auto"/>
              </w:rPr>
            </w:pPr>
          </w:p>
        </w:tc>
      </w:tr>
      <w:tr>
        <w:trPr>
          <w:trHeight w:val="221"/>
        </w:trPr>
        <w:tc>
          <w:tcPr>
            <w:tcW w:w="8100" w:type="dxa"/>
            <w:vAlign w:val="bottom"/>
          </w:tcPr>
          <w:p>
            <w:pPr>
              <w:spacing w:after="0"/>
              <w:rPr>
                <w:sz w:val="20"/>
                <w:szCs w:val="20"/>
                <w:color w:val="auto"/>
              </w:rPr>
            </w:pPr>
            <w:r>
              <w:rPr>
                <w:rFonts w:ascii="Arial" w:cs="Arial" w:eastAsia="Arial" w:hAnsi="Arial"/>
                <w:sz w:val="12"/>
                <w:szCs w:val="12"/>
                <w:color w:val="auto"/>
              </w:rPr>
              <w:t>Barclays Global Investors Japan Ltd.</w:t>
            </w:r>
          </w:p>
        </w:tc>
        <w:tc>
          <w:tcPr>
            <w:tcW w:w="1560" w:type="dxa"/>
            <w:vAlign w:val="bottom"/>
            <w:gridSpan w:val="2"/>
          </w:tcPr>
          <w:p>
            <w:pPr>
              <w:jc w:val="right"/>
              <w:ind w:right="139"/>
              <w:spacing w:after="0"/>
              <w:rPr>
                <w:sz w:val="20"/>
                <w:szCs w:val="20"/>
                <w:color w:val="auto"/>
              </w:rPr>
            </w:pPr>
            <w:r>
              <w:rPr>
                <w:rFonts w:ascii="Arial" w:cs="Arial" w:eastAsia="Arial" w:hAnsi="Arial"/>
                <w:sz w:val="12"/>
                <w:szCs w:val="12"/>
                <w:color w:val="auto"/>
              </w:rPr>
              <w:t>2,616,889</w:t>
            </w:r>
          </w:p>
        </w:tc>
        <w:tc>
          <w:tcPr>
            <w:tcW w:w="1760" w:type="dxa"/>
            <w:vAlign w:val="bottom"/>
            <w:gridSpan w:val="2"/>
          </w:tcPr>
          <w:p>
            <w:pPr>
              <w:jc w:val="right"/>
              <w:ind w:right="259"/>
              <w:spacing w:after="0"/>
              <w:rPr>
                <w:sz w:val="20"/>
                <w:szCs w:val="20"/>
                <w:color w:val="auto"/>
              </w:rPr>
            </w:pPr>
            <w:r>
              <w:rPr>
                <w:rFonts w:ascii="Arial" w:cs="Arial" w:eastAsia="Arial" w:hAnsi="Arial"/>
                <w:sz w:val="12"/>
                <w:szCs w:val="12"/>
                <w:color w:val="auto"/>
              </w:rPr>
              <w:t>2,616,889</w:t>
            </w:r>
          </w:p>
        </w:tc>
        <w:tc>
          <w:tcPr>
            <w:tcW w:w="20" w:type="dxa"/>
            <w:vAlign w:val="bottom"/>
          </w:tcPr>
          <w:p>
            <w:pPr>
              <w:spacing w:after="0"/>
              <w:rPr>
                <w:sz w:val="19"/>
                <w:szCs w:val="19"/>
                <w:color w:val="auto"/>
              </w:rPr>
            </w:pPr>
          </w:p>
        </w:tc>
      </w:tr>
      <w:tr>
        <w:trPr>
          <w:trHeight w:val="221"/>
        </w:trPr>
        <w:tc>
          <w:tcPr>
            <w:tcW w:w="8100" w:type="dxa"/>
            <w:vAlign w:val="bottom"/>
            <w:shd w:val="clear" w:color="auto" w:fill="C0C0C0"/>
          </w:tcPr>
          <w:p>
            <w:pPr>
              <w:spacing w:after="0"/>
              <w:rPr>
                <w:sz w:val="20"/>
                <w:szCs w:val="20"/>
                <w:color w:val="auto"/>
              </w:rPr>
            </w:pPr>
            <w:r>
              <w:rPr>
                <w:rFonts w:ascii="Arial" w:cs="Arial" w:eastAsia="Arial" w:hAnsi="Arial"/>
                <w:sz w:val="12"/>
                <w:szCs w:val="12"/>
                <w:color w:val="auto"/>
              </w:rPr>
              <w:t>Barclays Global Investors Canada Ltd.</w:t>
            </w:r>
          </w:p>
        </w:tc>
        <w:tc>
          <w:tcPr>
            <w:tcW w:w="1560" w:type="dxa"/>
            <w:vAlign w:val="bottom"/>
            <w:gridSpan w:val="2"/>
            <w:shd w:val="clear" w:color="auto" w:fill="C0C0C0"/>
          </w:tcPr>
          <w:p>
            <w:pPr>
              <w:jc w:val="right"/>
              <w:ind w:right="139"/>
              <w:spacing w:after="0"/>
              <w:rPr>
                <w:sz w:val="20"/>
                <w:szCs w:val="20"/>
                <w:color w:val="auto"/>
              </w:rPr>
            </w:pPr>
            <w:r>
              <w:rPr>
                <w:rFonts w:ascii="Arial" w:cs="Arial" w:eastAsia="Arial" w:hAnsi="Arial"/>
                <w:sz w:val="12"/>
                <w:szCs w:val="12"/>
                <w:color w:val="auto"/>
              </w:rPr>
              <w:t>940,997</w:t>
            </w:r>
          </w:p>
        </w:tc>
        <w:tc>
          <w:tcPr>
            <w:tcW w:w="1760" w:type="dxa"/>
            <w:vAlign w:val="bottom"/>
            <w:gridSpan w:val="2"/>
            <w:shd w:val="clear" w:color="auto" w:fill="C0C0C0"/>
          </w:tcPr>
          <w:p>
            <w:pPr>
              <w:jc w:val="right"/>
              <w:ind w:right="259"/>
              <w:spacing w:after="0"/>
              <w:rPr>
                <w:sz w:val="20"/>
                <w:szCs w:val="20"/>
                <w:color w:val="auto"/>
              </w:rPr>
            </w:pPr>
            <w:r>
              <w:rPr>
                <w:rFonts w:ascii="Arial" w:cs="Arial" w:eastAsia="Arial" w:hAnsi="Arial"/>
                <w:sz w:val="12"/>
                <w:szCs w:val="12"/>
                <w:color w:val="auto"/>
              </w:rPr>
              <w:t>940,997</w:t>
            </w:r>
          </w:p>
        </w:tc>
        <w:tc>
          <w:tcPr>
            <w:tcW w:w="20" w:type="dxa"/>
            <w:vAlign w:val="bottom"/>
          </w:tcPr>
          <w:p>
            <w:pPr>
              <w:spacing w:after="0"/>
              <w:rPr>
                <w:sz w:val="19"/>
                <w:szCs w:val="19"/>
                <w:color w:val="auto"/>
              </w:rPr>
            </w:pPr>
          </w:p>
        </w:tc>
      </w:tr>
      <w:tr>
        <w:trPr>
          <w:trHeight w:val="249"/>
        </w:trPr>
        <w:tc>
          <w:tcPr>
            <w:tcW w:w="8100" w:type="dxa"/>
            <w:vAlign w:val="bottom"/>
          </w:tcPr>
          <w:p>
            <w:pPr>
              <w:spacing w:after="0"/>
              <w:rPr>
                <w:sz w:val="20"/>
                <w:szCs w:val="20"/>
                <w:color w:val="auto"/>
              </w:rPr>
            </w:pPr>
            <w:r>
              <w:rPr>
                <w:rFonts w:ascii="Arial" w:cs="Arial" w:eastAsia="Arial" w:hAnsi="Arial"/>
                <w:sz w:val="20"/>
                <w:szCs w:val="20"/>
                <w:color w:val="auto"/>
              </w:rPr>
              <w:t>____________________</w:t>
            </w:r>
          </w:p>
        </w:tc>
        <w:tc>
          <w:tcPr>
            <w:tcW w:w="4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171" w:lineRule="exact"/>
        <w:rPr>
          <w:sz w:val="20"/>
          <w:szCs w:val="20"/>
          <w:color w:val="auto"/>
        </w:rPr>
      </w:pPr>
    </w:p>
    <w:p>
      <w:pPr>
        <w:ind w:left="182"/>
        <w:spacing w:after="0"/>
        <w:rPr>
          <w:sz w:val="20"/>
          <w:szCs w:val="20"/>
          <w:color w:val="auto"/>
        </w:rPr>
      </w:pPr>
      <w:r>
        <w:rPr>
          <w:rFonts w:ascii="Arial" w:cs="Arial" w:eastAsia="Arial" w:hAnsi="Arial"/>
          <w:sz w:val="16"/>
          <w:szCs w:val="16"/>
          <w:color w:val="auto"/>
        </w:rPr>
        <w:t>All shares are held by the entities in trust accounts for the economic benefit of the beneficiaries of those accounts.</w:t>
      </w:r>
    </w:p>
    <w:p>
      <w:pPr>
        <w:spacing w:after="0" w:line="17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Security Ownership of Management</w:t>
      </w:r>
    </w:p>
    <w:p>
      <w:pPr>
        <w:spacing w:after="0" w:line="216" w:lineRule="exact"/>
        <w:rPr>
          <w:sz w:val="20"/>
          <w:szCs w:val="20"/>
          <w:color w:val="auto"/>
        </w:rPr>
      </w:pPr>
    </w:p>
    <w:p>
      <w:pPr>
        <w:ind w:left="2"/>
        <w:spacing w:after="0"/>
        <w:rPr>
          <w:sz w:val="20"/>
          <w:szCs w:val="20"/>
          <w:color w:val="auto"/>
        </w:rPr>
      </w:pPr>
      <w:r>
        <w:rPr>
          <w:rFonts w:ascii="Arial" w:cs="Arial" w:eastAsia="Arial" w:hAnsi="Arial"/>
          <w:sz w:val="16"/>
          <w:szCs w:val="16"/>
          <w:color w:val="auto"/>
        </w:rPr>
        <w:t>The following table shows the beneficial ownership of TI common stock by the named executive officers and all executive officers and directors as a group.</w:t>
      </w:r>
    </w:p>
    <w:p>
      <w:pPr>
        <w:spacing w:after="0" w:line="261" w:lineRule="exact"/>
        <w:rPr>
          <w:sz w:val="20"/>
          <w:szCs w:val="20"/>
          <w:color w:val="auto"/>
        </w:rPr>
      </w:pPr>
    </w:p>
    <w:tbl>
      <w:tblPr>
        <w:tblLayout w:type="fixed"/>
        <w:tblInd w:w="2282" w:type="dxa"/>
        <w:tblCellMar>
          <w:top w:w="0" w:type="dxa"/>
          <w:left w:w="0" w:type="dxa"/>
          <w:bottom w:w="0" w:type="dxa"/>
          <w:right w:w="0" w:type="dxa"/>
        </w:tblCellMar>
      </w:tblPr>
      <w:tr>
        <w:trPr>
          <w:trHeight w:val="138"/>
        </w:trPr>
        <w:tc>
          <w:tcPr>
            <w:tcW w:w="4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rPr>
              <w:t>Shares Owned at</w:t>
            </w:r>
          </w:p>
        </w:tc>
        <w:tc>
          <w:tcPr>
            <w:tcW w:w="4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Percent</w:t>
            </w:r>
          </w:p>
        </w:tc>
      </w:tr>
      <w:tr>
        <w:trPr>
          <w:trHeight w:val="149"/>
        </w:trPr>
        <w:tc>
          <w:tcPr>
            <w:tcW w:w="4400" w:type="dxa"/>
            <w:vAlign w:val="bottom"/>
          </w:tcPr>
          <w:p>
            <w:pPr>
              <w:ind w:left="2040"/>
              <w:spacing w:after="0"/>
              <w:rPr>
                <w:sz w:val="20"/>
                <w:szCs w:val="20"/>
                <w:color w:val="auto"/>
              </w:rPr>
            </w:pPr>
            <w:r>
              <w:rPr>
                <w:rFonts w:ascii="Arial" w:cs="Arial" w:eastAsia="Arial" w:hAnsi="Arial"/>
                <w:sz w:val="12"/>
                <w:szCs w:val="12"/>
                <w:b w:val="1"/>
                <w:bCs w:val="1"/>
                <w:color w:val="auto"/>
              </w:rPr>
              <w:t>Name</w:t>
            </w:r>
          </w:p>
        </w:tc>
        <w:tc>
          <w:tcPr>
            <w:tcW w:w="440" w:type="dxa"/>
            <w:vAlign w:val="bottom"/>
          </w:tcPr>
          <w:p>
            <w:pPr>
              <w:spacing w:after="0"/>
              <w:rPr>
                <w:sz w:val="12"/>
                <w:szCs w:val="12"/>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2"/>
                <w:szCs w:val="12"/>
                <w:b w:val="1"/>
                <w:bCs w:val="1"/>
                <w:color w:val="auto"/>
              </w:rPr>
              <w:t>December 31, 2007</w:t>
            </w:r>
          </w:p>
        </w:tc>
        <w:tc>
          <w:tcPr>
            <w:tcW w:w="480" w:type="dxa"/>
            <w:vAlign w:val="bottom"/>
            <w:gridSpan w:val="2"/>
          </w:tcPr>
          <w:p>
            <w:pPr>
              <w:spacing w:after="0"/>
              <w:rPr>
                <w:sz w:val="20"/>
                <w:szCs w:val="20"/>
                <w:color w:val="auto"/>
              </w:rPr>
            </w:pPr>
            <w:r>
              <w:rPr>
                <w:rFonts w:ascii="Arial" w:cs="Arial" w:eastAsia="Arial" w:hAnsi="Arial"/>
                <w:sz w:val="12"/>
                <w:szCs w:val="12"/>
                <w:b w:val="1"/>
                <w:bCs w:val="1"/>
                <w:color w:val="auto"/>
                <w:w w:val="98"/>
              </w:rPr>
              <w:t>of Class</w:t>
            </w:r>
          </w:p>
        </w:tc>
      </w:tr>
      <w:tr>
        <w:trPr>
          <w:trHeight w:val="213"/>
        </w:trPr>
        <w:tc>
          <w:tcPr>
            <w:tcW w:w="440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2"/>
                <w:szCs w:val="12"/>
                <w:color w:val="auto"/>
              </w:rPr>
              <w:t>R. K. Templeton (1)</w:t>
            </w:r>
          </w:p>
        </w:tc>
        <w:tc>
          <w:tcPr>
            <w:tcW w:w="440" w:type="dxa"/>
            <w:vAlign w:val="bottom"/>
            <w:shd w:val="clear" w:color="auto" w:fill="C0C0C0"/>
          </w:tcPr>
          <w:p>
            <w:pPr>
              <w:spacing w:after="0"/>
              <w:rPr>
                <w:sz w:val="18"/>
                <w:szCs w:val="18"/>
                <w:color w:val="auto"/>
              </w:rPr>
            </w:pPr>
          </w:p>
        </w:tc>
        <w:tc>
          <w:tcPr>
            <w:tcW w:w="1100" w:type="dxa"/>
            <w:vAlign w:val="bottom"/>
            <w:tcBorders>
              <w:top w:val="single" w:sz="8" w:color="auto"/>
            </w:tcBorders>
            <w:shd w:val="clear" w:color="auto" w:fill="C0C0C0"/>
          </w:tcPr>
          <w:p>
            <w:pPr>
              <w:jc w:val="right"/>
              <w:ind w:right="199"/>
              <w:spacing w:after="0"/>
              <w:rPr>
                <w:sz w:val="20"/>
                <w:szCs w:val="20"/>
                <w:color w:val="auto"/>
              </w:rPr>
            </w:pPr>
            <w:r>
              <w:rPr>
                <w:rFonts w:ascii="Arial" w:cs="Arial" w:eastAsia="Arial" w:hAnsi="Arial"/>
                <w:sz w:val="12"/>
                <w:szCs w:val="12"/>
                <w:color w:val="auto"/>
              </w:rPr>
              <w:t>5,110,403</w:t>
            </w:r>
          </w:p>
        </w:tc>
        <w:tc>
          <w:tcPr>
            <w:tcW w:w="440" w:type="dxa"/>
            <w:vAlign w:val="bottom"/>
            <w:shd w:val="clear" w:color="auto" w:fill="C0C0C0"/>
          </w:tcPr>
          <w:p>
            <w:pPr>
              <w:spacing w:after="0"/>
              <w:rPr>
                <w:sz w:val="18"/>
                <w:szCs w:val="18"/>
                <w:color w:val="auto"/>
              </w:rPr>
            </w:pPr>
          </w:p>
        </w:tc>
        <w:tc>
          <w:tcPr>
            <w:tcW w:w="480" w:type="dxa"/>
            <w:vAlign w:val="bottom"/>
            <w:tcBorders>
              <w:top w:val="single" w:sz="8" w:color="auto"/>
            </w:tcBorders>
            <w:gridSpan w:val="2"/>
            <w:shd w:val="clear" w:color="auto" w:fill="C0C0C0"/>
          </w:tcPr>
          <w:p>
            <w:pPr>
              <w:jc w:val="center"/>
              <w:ind w:left="59"/>
              <w:spacing w:after="0"/>
              <w:rPr>
                <w:sz w:val="20"/>
                <w:szCs w:val="20"/>
                <w:color w:val="auto"/>
              </w:rPr>
            </w:pPr>
            <w:r>
              <w:rPr>
                <w:rFonts w:ascii="Arial" w:cs="Arial" w:eastAsia="Arial" w:hAnsi="Arial"/>
                <w:sz w:val="12"/>
                <w:szCs w:val="12"/>
                <w:color w:val="auto"/>
                <w:w w:val="84"/>
              </w:rPr>
              <w:t>*</w:t>
            </w:r>
          </w:p>
        </w:tc>
      </w:tr>
      <w:tr>
        <w:trPr>
          <w:trHeight w:val="221"/>
        </w:trPr>
        <w:tc>
          <w:tcPr>
            <w:tcW w:w="4400" w:type="dxa"/>
            <w:vAlign w:val="bottom"/>
          </w:tcPr>
          <w:p>
            <w:pPr>
              <w:spacing w:after="0"/>
              <w:rPr>
                <w:sz w:val="20"/>
                <w:szCs w:val="20"/>
                <w:color w:val="auto"/>
              </w:rPr>
            </w:pPr>
            <w:r>
              <w:rPr>
                <w:rFonts w:ascii="Arial" w:cs="Arial" w:eastAsia="Arial" w:hAnsi="Arial"/>
                <w:sz w:val="12"/>
                <w:szCs w:val="12"/>
                <w:color w:val="auto"/>
              </w:rPr>
              <w:t>K. P. March (1)</w:t>
            </w:r>
          </w:p>
        </w:tc>
        <w:tc>
          <w:tcPr>
            <w:tcW w:w="1540" w:type="dxa"/>
            <w:vAlign w:val="bottom"/>
            <w:gridSpan w:val="2"/>
          </w:tcPr>
          <w:p>
            <w:pPr>
              <w:jc w:val="right"/>
              <w:ind w:right="199"/>
              <w:spacing w:after="0"/>
              <w:rPr>
                <w:sz w:val="20"/>
                <w:szCs w:val="20"/>
                <w:color w:val="auto"/>
              </w:rPr>
            </w:pPr>
            <w:r>
              <w:rPr>
                <w:rFonts w:ascii="Arial" w:cs="Arial" w:eastAsia="Arial" w:hAnsi="Arial"/>
                <w:sz w:val="12"/>
                <w:szCs w:val="12"/>
                <w:color w:val="auto"/>
              </w:rPr>
              <w:t>585,344</w:t>
            </w:r>
          </w:p>
        </w:tc>
        <w:tc>
          <w:tcPr>
            <w:tcW w:w="440" w:type="dxa"/>
            <w:vAlign w:val="bottom"/>
          </w:tcPr>
          <w:p>
            <w:pPr>
              <w:spacing w:after="0"/>
              <w:rPr>
                <w:sz w:val="19"/>
                <w:szCs w:val="19"/>
                <w:color w:val="auto"/>
              </w:rPr>
            </w:pPr>
          </w:p>
        </w:tc>
        <w:tc>
          <w:tcPr>
            <w:tcW w:w="480" w:type="dxa"/>
            <w:vAlign w:val="bottom"/>
            <w:gridSpan w:val="2"/>
          </w:tcPr>
          <w:p>
            <w:pPr>
              <w:jc w:val="center"/>
              <w:ind w:left="59"/>
              <w:spacing w:after="0"/>
              <w:rPr>
                <w:sz w:val="20"/>
                <w:szCs w:val="20"/>
                <w:color w:val="auto"/>
              </w:rPr>
            </w:pPr>
            <w:r>
              <w:rPr>
                <w:rFonts w:ascii="Arial" w:cs="Arial" w:eastAsia="Arial" w:hAnsi="Arial"/>
                <w:sz w:val="12"/>
                <w:szCs w:val="12"/>
                <w:color w:val="auto"/>
                <w:w w:val="84"/>
              </w:rPr>
              <w:t>*</w:t>
            </w:r>
          </w:p>
        </w:tc>
      </w:tr>
      <w:tr>
        <w:trPr>
          <w:trHeight w:val="221"/>
        </w:trPr>
        <w:tc>
          <w:tcPr>
            <w:tcW w:w="4400" w:type="dxa"/>
            <w:vAlign w:val="bottom"/>
            <w:shd w:val="clear" w:color="auto" w:fill="C0C0C0"/>
          </w:tcPr>
          <w:p>
            <w:pPr>
              <w:spacing w:after="0"/>
              <w:rPr>
                <w:sz w:val="20"/>
                <w:szCs w:val="20"/>
                <w:color w:val="auto"/>
              </w:rPr>
            </w:pPr>
            <w:r>
              <w:rPr>
                <w:rFonts w:ascii="Arial" w:cs="Arial" w:eastAsia="Arial" w:hAnsi="Arial"/>
                <w:sz w:val="12"/>
                <w:szCs w:val="12"/>
                <w:color w:val="auto"/>
              </w:rPr>
              <w:t>T. J. Engibous (1)</w:t>
            </w:r>
          </w:p>
        </w:tc>
        <w:tc>
          <w:tcPr>
            <w:tcW w:w="1540" w:type="dxa"/>
            <w:vAlign w:val="bottom"/>
            <w:gridSpan w:val="2"/>
            <w:shd w:val="clear" w:color="auto" w:fill="C0C0C0"/>
          </w:tcPr>
          <w:p>
            <w:pPr>
              <w:jc w:val="right"/>
              <w:ind w:right="199"/>
              <w:spacing w:after="0"/>
              <w:rPr>
                <w:sz w:val="20"/>
                <w:szCs w:val="20"/>
                <w:color w:val="auto"/>
              </w:rPr>
            </w:pPr>
            <w:r>
              <w:rPr>
                <w:rFonts w:ascii="Arial" w:cs="Arial" w:eastAsia="Arial" w:hAnsi="Arial"/>
                <w:sz w:val="12"/>
                <w:szCs w:val="12"/>
                <w:color w:val="auto"/>
              </w:rPr>
              <w:t>5,681,496</w:t>
            </w:r>
          </w:p>
        </w:tc>
        <w:tc>
          <w:tcPr>
            <w:tcW w:w="440" w:type="dxa"/>
            <w:vAlign w:val="bottom"/>
            <w:shd w:val="clear" w:color="auto" w:fill="C0C0C0"/>
          </w:tcPr>
          <w:p>
            <w:pPr>
              <w:spacing w:after="0"/>
              <w:rPr>
                <w:sz w:val="19"/>
                <w:szCs w:val="19"/>
                <w:color w:val="auto"/>
              </w:rPr>
            </w:pPr>
          </w:p>
        </w:tc>
        <w:tc>
          <w:tcPr>
            <w:tcW w:w="480" w:type="dxa"/>
            <w:vAlign w:val="bottom"/>
            <w:gridSpan w:val="2"/>
            <w:shd w:val="clear" w:color="auto" w:fill="C0C0C0"/>
          </w:tcPr>
          <w:p>
            <w:pPr>
              <w:jc w:val="center"/>
              <w:ind w:left="59"/>
              <w:spacing w:after="0"/>
              <w:rPr>
                <w:sz w:val="20"/>
                <w:szCs w:val="20"/>
                <w:color w:val="auto"/>
              </w:rPr>
            </w:pPr>
            <w:r>
              <w:rPr>
                <w:rFonts w:ascii="Arial" w:cs="Arial" w:eastAsia="Arial" w:hAnsi="Arial"/>
                <w:sz w:val="12"/>
                <w:szCs w:val="12"/>
                <w:color w:val="auto"/>
                <w:w w:val="84"/>
              </w:rPr>
              <w:t>*</w:t>
            </w:r>
          </w:p>
        </w:tc>
      </w:tr>
      <w:tr>
        <w:trPr>
          <w:trHeight w:val="221"/>
        </w:trPr>
        <w:tc>
          <w:tcPr>
            <w:tcW w:w="4400" w:type="dxa"/>
            <w:vAlign w:val="bottom"/>
          </w:tcPr>
          <w:p>
            <w:pPr>
              <w:spacing w:after="0"/>
              <w:rPr>
                <w:sz w:val="20"/>
                <w:szCs w:val="20"/>
                <w:color w:val="auto"/>
              </w:rPr>
            </w:pPr>
            <w:r>
              <w:rPr>
                <w:rFonts w:ascii="Arial" w:cs="Arial" w:eastAsia="Arial" w:hAnsi="Arial"/>
                <w:sz w:val="12"/>
                <w:szCs w:val="12"/>
                <w:color w:val="auto"/>
              </w:rPr>
              <w:t>G. A. Lowe (1)</w:t>
            </w:r>
          </w:p>
        </w:tc>
        <w:tc>
          <w:tcPr>
            <w:tcW w:w="1540" w:type="dxa"/>
            <w:vAlign w:val="bottom"/>
            <w:gridSpan w:val="2"/>
          </w:tcPr>
          <w:p>
            <w:pPr>
              <w:jc w:val="right"/>
              <w:ind w:right="199"/>
              <w:spacing w:after="0"/>
              <w:rPr>
                <w:sz w:val="20"/>
                <w:szCs w:val="20"/>
                <w:color w:val="auto"/>
              </w:rPr>
            </w:pPr>
            <w:r>
              <w:rPr>
                <w:rFonts w:ascii="Arial" w:cs="Arial" w:eastAsia="Arial" w:hAnsi="Arial"/>
                <w:sz w:val="12"/>
                <w:szCs w:val="12"/>
                <w:color w:val="auto"/>
              </w:rPr>
              <w:t>929,989</w:t>
            </w:r>
          </w:p>
        </w:tc>
        <w:tc>
          <w:tcPr>
            <w:tcW w:w="440" w:type="dxa"/>
            <w:vAlign w:val="bottom"/>
          </w:tcPr>
          <w:p>
            <w:pPr>
              <w:spacing w:after="0"/>
              <w:rPr>
                <w:sz w:val="19"/>
                <w:szCs w:val="19"/>
                <w:color w:val="auto"/>
              </w:rPr>
            </w:pPr>
          </w:p>
        </w:tc>
        <w:tc>
          <w:tcPr>
            <w:tcW w:w="480" w:type="dxa"/>
            <w:vAlign w:val="bottom"/>
            <w:gridSpan w:val="2"/>
          </w:tcPr>
          <w:p>
            <w:pPr>
              <w:jc w:val="center"/>
              <w:ind w:left="59"/>
              <w:spacing w:after="0"/>
              <w:rPr>
                <w:sz w:val="20"/>
                <w:szCs w:val="20"/>
                <w:color w:val="auto"/>
              </w:rPr>
            </w:pPr>
            <w:r>
              <w:rPr>
                <w:rFonts w:ascii="Arial" w:cs="Arial" w:eastAsia="Arial" w:hAnsi="Arial"/>
                <w:sz w:val="12"/>
                <w:szCs w:val="12"/>
                <w:color w:val="auto"/>
                <w:w w:val="84"/>
              </w:rPr>
              <w:t>*</w:t>
            </w:r>
          </w:p>
        </w:tc>
      </w:tr>
      <w:tr>
        <w:trPr>
          <w:trHeight w:val="221"/>
        </w:trPr>
        <w:tc>
          <w:tcPr>
            <w:tcW w:w="4400" w:type="dxa"/>
            <w:vAlign w:val="bottom"/>
            <w:shd w:val="clear" w:color="auto" w:fill="C0C0C0"/>
          </w:tcPr>
          <w:p>
            <w:pPr>
              <w:spacing w:after="0"/>
              <w:rPr>
                <w:sz w:val="20"/>
                <w:szCs w:val="20"/>
                <w:color w:val="auto"/>
              </w:rPr>
            </w:pPr>
            <w:r>
              <w:rPr>
                <w:rFonts w:ascii="Arial" w:cs="Arial" w:eastAsia="Arial" w:hAnsi="Arial"/>
                <w:sz w:val="12"/>
                <w:szCs w:val="12"/>
                <w:color w:val="auto"/>
              </w:rPr>
              <w:t>M. J. Hames (1)</w:t>
            </w:r>
          </w:p>
        </w:tc>
        <w:tc>
          <w:tcPr>
            <w:tcW w:w="1540" w:type="dxa"/>
            <w:vAlign w:val="bottom"/>
            <w:gridSpan w:val="2"/>
            <w:shd w:val="clear" w:color="auto" w:fill="C0C0C0"/>
          </w:tcPr>
          <w:p>
            <w:pPr>
              <w:jc w:val="right"/>
              <w:ind w:right="199"/>
              <w:spacing w:after="0"/>
              <w:rPr>
                <w:sz w:val="20"/>
                <w:szCs w:val="20"/>
                <w:color w:val="auto"/>
              </w:rPr>
            </w:pPr>
            <w:r>
              <w:rPr>
                <w:rFonts w:ascii="Arial" w:cs="Arial" w:eastAsia="Arial" w:hAnsi="Arial"/>
                <w:sz w:val="12"/>
                <w:szCs w:val="12"/>
                <w:color w:val="auto"/>
              </w:rPr>
              <w:t>1,481,399</w:t>
            </w:r>
          </w:p>
        </w:tc>
        <w:tc>
          <w:tcPr>
            <w:tcW w:w="440" w:type="dxa"/>
            <w:vAlign w:val="bottom"/>
            <w:shd w:val="clear" w:color="auto" w:fill="C0C0C0"/>
          </w:tcPr>
          <w:p>
            <w:pPr>
              <w:spacing w:after="0"/>
              <w:rPr>
                <w:sz w:val="19"/>
                <w:szCs w:val="19"/>
                <w:color w:val="auto"/>
              </w:rPr>
            </w:pPr>
          </w:p>
        </w:tc>
        <w:tc>
          <w:tcPr>
            <w:tcW w:w="480" w:type="dxa"/>
            <w:vAlign w:val="bottom"/>
            <w:gridSpan w:val="2"/>
            <w:shd w:val="clear" w:color="auto" w:fill="C0C0C0"/>
          </w:tcPr>
          <w:p>
            <w:pPr>
              <w:jc w:val="center"/>
              <w:ind w:left="59"/>
              <w:spacing w:after="0"/>
              <w:rPr>
                <w:sz w:val="20"/>
                <w:szCs w:val="20"/>
                <w:color w:val="auto"/>
              </w:rPr>
            </w:pPr>
            <w:r>
              <w:rPr>
                <w:rFonts w:ascii="Arial" w:cs="Arial" w:eastAsia="Arial" w:hAnsi="Arial"/>
                <w:sz w:val="12"/>
                <w:szCs w:val="12"/>
                <w:color w:val="auto"/>
                <w:w w:val="84"/>
              </w:rPr>
              <w:t>*</w:t>
            </w:r>
          </w:p>
        </w:tc>
      </w:tr>
      <w:tr>
        <w:trPr>
          <w:trHeight w:val="221"/>
        </w:trPr>
        <w:tc>
          <w:tcPr>
            <w:tcW w:w="4400" w:type="dxa"/>
            <w:vAlign w:val="bottom"/>
          </w:tcPr>
          <w:p>
            <w:pPr>
              <w:spacing w:after="0"/>
              <w:rPr>
                <w:sz w:val="20"/>
                <w:szCs w:val="20"/>
                <w:color w:val="auto"/>
              </w:rPr>
            </w:pPr>
            <w:r>
              <w:rPr>
                <w:rFonts w:ascii="Arial" w:cs="Arial" w:eastAsia="Arial" w:hAnsi="Arial"/>
                <w:sz w:val="12"/>
                <w:szCs w:val="12"/>
                <w:color w:val="auto"/>
              </w:rPr>
              <w:t>G. Delfassy (1)</w:t>
            </w:r>
          </w:p>
        </w:tc>
        <w:tc>
          <w:tcPr>
            <w:tcW w:w="1540" w:type="dxa"/>
            <w:vAlign w:val="bottom"/>
            <w:gridSpan w:val="2"/>
          </w:tcPr>
          <w:p>
            <w:pPr>
              <w:jc w:val="right"/>
              <w:ind w:right="199"/>
              <w:spacing w:after="0"/>
              <w:rPr>
                <w:sz w:val="20"/>
                <w:szCs w:val="20"/>
                <w:color w:val="auto"/>
              </w:rPr>
            </w:pPr>
            <w:r>
              <w:rPr>
                <w:rFonts w:ascii="Arial" w:cs="Arial" w:eastAsia="Arial" w:hAnsi="Arial"/>
                <w:sz w:val="12"/>
                <w:szCs w:val="12"/>
                <w:color w:val="auto"/>
              </w:rPr>
              <w:t>1,065,720</w:t>
            </w:r>
          </w:p>
        </w:tc>
        <w:tc>
          <w:tcPr>
            <w:tcW w:w="440" w:type="dxa"/>
            <w:vAlign w:val="bottom"/>
          </w:tcPr>
          <w:p>
            <w:pPr>
              <w:spacing w:after="0"/>
              <w:rPr>
                <w:sz w:val="19"/>
                <w:szCs w:val="19"/>
                <w:color w:val="auto"/>
              </w:rPr>
            </w:pPr>
          </w:p>
        </w:tc>
        <w:tc>
          <w:tcPr>
            <w:tcW w:w="480" w:type="dxa"/>
            <w:vAlign w:val="bottom"/>
            <w:gridSpan w:val="2"/>
          </w:tcPr>
          <w:p>
            <w:pPr>
              <w:jc w:val="center"/>
              <w:ind w:left="59"/>
              <w:spacing w:after="0"/>
              <w:rPr>
                <w:sz w:val="20"/>
                <w:szCs w:val="20"/>
                <w:color w:val="auto"/>
              </w:rPr>
            </w:pPr>
            <w:r>
              <w:rPr>
                <w:rFonts w:ascii="Arial" w:cs="Arial" w:eastAsia="Arial" w:hAnsi="Arial"/>
                <w:sz w:val="12"/>
                <w:szCs w:val="12"/>
                <w:color w:val="auto"/>
                <w:w w:val="84"/>
              </w:rPr>
              <w:t>*</w:t>
            </w:r>
          </w:p>
        </w:tc>
      </w:tr>
      <w:tr>
        <w:trPr>
          <w:trHeight w:val="208"/>
        </w:trPr>
        <w:tc>
          <w:tcPr>
            <w:tcW w:w="4400" w:type="dxa"/>
            <w:vAlign w:val="bottom"/>
          </w:tcPr>
          <w:p>
            <w:pPr>
              <w:spacing w:after="0"/>
              <w:rPr>
                <w:sz w:val="20"/>
                <w:szCs w:val="20"/>
                <w:color w:val="auto"/>
              </w:rPr>
            </w:pPr>
            <w:r>
              <w:rPr>
                <w:rFonts w:ascii="Arial" w:cs="Arial" w:eastAsia="Arial" w:hAnsi="Arial"/>
                <w:sz w:val="12"/>
                <w:szCs w:val="12"/>
                <w:color w:val="auto"/>
              </w:rPr>
              <w:t>All executive officers and directors as a group (2)</w:t>
            </w:r>
          </w:p>
        </w:tc>
        <w:tc>
          <w:tcPr>
            <w:tcW w:w="1540" w:type="dxa"/>
            <w:vAlign w:val="bottom"/>
            <w:gridSpan w:val="2"/>
          </w:tcPr>
          <w:p>
            <w:pPr>
              <w:jc w:val="right"/>
              <w:ind w:right="199"/>
              <w:spacing w:after="0"/>
              <w:rPr>
                <w:sz w:val="20"/>
                <w:szCs w:val="20"/>
                <w:color w:val="auto"/>
              </w:rPr>
            </w:pPr>
            <w:r>
              <w:rPr>
                <w:rFonts w:ascii="Arial" w:cs="Arial" w:eastAsia="Arial" w:hAnsi="Arial"/>
                <w:sz w:val="12"/>
                <w:szCs w:val="12"/>
                <w:color w:val="auto"/>
              </w:rPr>
              <w:t>20,355,629</w:t>
            </w:r>
          </w:p>
        </w:tc>
        <w:tc>
          <w:tcPr>
            <w:tcW w:w="440" w:type="dxa"/>
            <w:vAlign w:val="bottom"/>
          </w:tcPr>
          <w:p>
            <w:pPr>
              <w:spacing w:after="0"/>
              <w:rPr>
                <w:sz w:val="18"/>
                <w:szCs w:val="18"/>
                <w:color w:val="auto"/>
              </w:rPr>
            </w:pPr>
          </w:p>
        </w:tc>
        <w:tc>
          <w:tcPr>
            <w:tcW w:w="140" w:type="dxa"/>
            <w:vAlign w:val="bottom"/>
            <w:tcBorders>
              <w:right w:val="single" w:sz="8" w:color="C0C0C0"/>
            </w:tcBorders>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2"/>
                <w:szCs w:val="12"/>
                <w:color w:val="auto"/>
                <w:w w:val="99"/>
              </w:rPr>
              <w:t>1.52%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-131445</wp:posOffset>
            </wp:positionV>
            <wp:extent cx="4349115" cy="1403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349115" cy="140335"/>
                    </a:xfrm>
                    <a:prstGeom prst="rect">
                      <a:avLst/>
                    </a:prstGeom>
                    <a:noFill/>
                  </pic:spPr>
                </pic:pic>
              </a:graphicData>
            </a:graphic>
          </wp:anchor>
        </w:drawing>
      </w:r>
    </w:p>
    <w:p>
      <w:pPr>
        <w:ind w:left="2"/>
        <w:spacing w:after="0"/>
        <w:rPr>
          <w:sz w:val="20"/>
          <w:szCs w:val="20"/>
          <w:color w:val="auto"/>
        </w:rPr>
      </w:pPr>
      <w:r>
        <w:rPr>
          <w:rFonts w:ascii="Arial" w:cs="Arial" w:eastAsia="Arial" w:hAnsi="Arial"/>
          <w:sz w:val="20"/>
          <w:szCs w:val="20"/>
          <w:color w:val="auto"/>
        </w:rPr>
        <w:t>____________________</w:t>
      </w:r>
    </w:p>
    <w:p>
      <w:pPr>
        <w:spacing w:after="0" w:line="226" w:lineRule="exact"/>
        <w:rPr>
          <w:sz w:val="20"/>
          <w:szCs w:val="20"/>
          <w:color w:val="auto"/>
        </w:rPr>
      </w:pPr>
    </w:p>
    <w:p>
      <w:pPr>
        <w:ind w:left="442" w:hanging="442"/>
        <w:spacing w:after="0"/>
        <w:tabs>
          <w:tab w:leader="none" w:pos="442" w:val="left"/>
        </w:tabs>
        <w:numPr>
          <w:ilvl w:val="0"/>
          <w:numId w:val="51"/>
        </w:numPr>
        <w:rPr>
          <w:rFonts w:ascii="Arial" w:cs="Arial" w:eastAsia="Arial" w:hAnsi="Arial"/>
          <w:sz w:val="16"/>
          <w:szCs w:val="16"/>
          <w:color w:val="auto"/>
        </w:rPr>
      </w:pPr>
      <w:r>
        <w:rPr>
          <w:rFonts w:ascii="Arial" w:cs="Arial" w:eastAsia="Arial" w:hAnsi="Arial"/>
          <w:sz w:val="16"/>
          <w:szCs w:val="16"/>
          <w:color w:val="auto"/>
        </w:rPr>
        <w:t>less than 1 percent</w:t>
      </w:r>
    </w:p>
    <w:p>
      <w:pPr>
        <w:spacing w:after="0" w:line="257" w:lineRule="exact"/>
        <w:rPr>
          <w:sz w:val="20"/>
          <w:szCs w:val="20"/>
          <w:color w:val="auto"/>
        </w:rPr>
      </w:pPr>
    </w:p>
    <w:p>
      <w:pPr>
        <w:ind w:left="442" w:hanging="442"/>
        <w:spacing w:after="0"/>
        <w:tabs>
          <w:tab w:leader="none" w:pos="442"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Included in shares owned at December 31, 2007:</w:t>
      </w:r>
    </w:p>
    <w:p>
      <w:pPr>
        <w:spacing w:after="0" w:line="289" w:lineRule="exact"/>
        <w:rPr>
          <w:sz w:val="20"/>
          <w:szCs w:val="20"/>
          <w:color w:val="auto"/>
        </w:rPr>
      </w:pPr>
    </w:p>
    <w:tbl>
      <w:tblPr>
        <w:tblLayout w:type="fixed"/>
        <w:tblInd w:w="2282"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320" w:type="dxa"/>
            <w:vAlign w:val="bottom"/>
            <w:gridSpan w:val="3"/>
          </w:tcPr>
          <w:p>
            <w:pPr>
              <w:jc w:val="center"/>
              <w:spacing w:after="0"/>
              <w:rPr>
                <w:sz w:val="20"/>
                <w:szCs w:val="20"/>
                <w:color w:val="auto"/>
              </w:rPr>
            </w:pPr>
            <w:r>
              <w:rPr>
                <w:rFonts w:ascii="Arial" w:cs="Arial" w:eastAsia="Arial" w:hAnsi="Arial"/>
                <w:sz w:val="12"/>
                <w:szCs w:val="12"/>
                <w:b w:val="1"/>
                <w:bCs w:val="1"/>
                <w:color w:val="auto"/>
              </w:rPr>
              <w:t>Shares Credited</w:t>
            </w:r>
          </w:p>
        </w:tc>
        <w:tc>
          <w:tcPr>
            <w:tcW w:w="960" w:type="dxa"/>
            <w:vAlign w:val="bottom"/>
          </w:tcPr>
          <w:p>
            <w:pPr>
              <w:spacing w:after="0"/>
              <w:rPr>
                <w:sz w:val="13"/>
                <w:szCs w:val="13"/>
                <w:color w:val="auto"/>
              </w:rPr>
            </w:pPr>
          </w:p>
        </w:tc>
      </w:tr>
      <w:tr>
        <w:trPr>
          <w:trHeight w:val="221"/>
        </w:trPr>
        <w:tc>
          <w:tcPr>
            <w:tcW w:w="10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To 401(k) and</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rPr>
              <w:t>Restricted Stock</w:t>
            </w:r>
          </w:p>
        </w:tc>
      </w:tr>
      <w:tr>
        <w:trPr>
          <w:trHeight w:val="221"/>
        </w:trPr>
        <w:tc>
          <w:tcPr>
            <w:tcW w:w="10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2"/>
                <w:szCs w:val="12"/>
                <w:b w:val="1"/>
                <w:bCs w:val="1"/>
                <w:color w:val="auto"/>
              </w:rPr>
              <w:t>Shares Obtainable</w:t>
            </w:r>
          </w:p>
        </w:tc>
        <w:tc>
          <w:tcPr>
            <w:tcW w:w="200" w:type="dxa"/>
            <w:vAlign w:val="bottom"/>
          </w:tcPr>
          <w:p>
            <w:pPr>
              <w:spacing w:after="0"/>
              <w:rPr>
                <w:sz w:val="19"/>
                <w:szCs w:val="19"/>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Profit Sharing</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rPr>
              <w:t>Units</w:t>
            </w:r>
          </w:p>
        </w:tc>
      </w:tr>
      <w:tr>
        <w:trPr>
          <w:trHeight w:val="197"/>
        </w:trPr>
        <w:tc>
          <w:tcPr>
            <w:tcW w:w="10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Executive Officer</w:t>
            </w:r>
          </w:p>
        </w:tc>
        <w:tc>
          <w:tcPr>
            <w:tcW w:w="2480" w:type="dxa"/>
            <w:vAlign w:val="bottom"/>
          </w:tcPr>
          <w:p>
            <w:pPr>
              <w:spacing w:after="0"/>
              <w:rPr>
                <w:sz w:val="17"/>
                <w:szCs w:val="17"/>
                <w:color w:val="auto"/>
              </w:rPr>
            </w:pPr>
          </w:p>
        </w:tc>
        <w:tc>
          <w:tcPr>
            <w:tcW w:w="1080" w:type="dxa"/>
            <w:vAlign w:val="bottom"/>
            <w:tcBorders>
              <w:bottom w:val="single" w:sz="8" w:color="auto"/>
            </w:tcBorders>
          </w:tcPr>
          <w:p>
            <w:pPr>
              <w:jc w:val="right"/>
              <w:ind w:right="39"/>
              <w:spacing w:after="0"/>
              <w:rPr>
                <w:sz w:val="20"/>
                <w:szCs w:val="20"/>
                <w:color w:val="auto"/>
              </w:rPr>
            </w:pPr>
            <w:r>
              <w:rPr>
                <w:rFonts w:ascii="Arial" w:cs="Arial" w:eastAsia="Arial" w:hAnsi="Arial"/>
                <w:sz w:val="12"/>
                <w:szCs w:val="12"/>
                <w:b w:val="1"/>
                <w:bCs w:val="1"/>
                <w:color w:val="auto"/>
              </w:rPr>
              <w:t>Within 60 Days</w:t>
            </w:r>
          </w:p>
        </w:tc>
        <w:tc>
          <w:tcPr>
            <w:tcW w:w="20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Accounts</w:t>
            </w:r>
          </w:p>
        </w:tc>
        <w:tc>
          <w:tcPr>
            <w:tcW w:w="200" w:type="dxa"/>
            <w:vAlign w:val="bottom"/>
          </w:tcPr>
          <w:p>
            <w:pPr>
              <w:spacing w:after="0"/>
              <w:rPr>
                <w:sz w:val="17"/>
                <w:szCs w:val="17"/>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rPr>
              <w:t>(in shares)</w:t>
            </w:r>
          </w:p>
        </w:tc>
      </w:tr>
      <w:tr>
        <w:trPr>
          <w:trHeight w:val="213"/>
        </w:trPr>
        <w:tc>
          <w:tcPr>
            <w:tcW w:w="1020" w:type="dxa"/>
            <w:vAlign w:val="bottom"/>
            <w:shd w:val="clear" w:color="auto" w:fill="C0C0C0"/>
          </w:tcPr>
          <w:p>
            <w:pPr>
              <w:spacing w:after="0"/>
              <w:rPr>
                <w:sz w:val="20"/>
                <w:szCs w:val="20"/>
                <w:color w:val="auto"/>
              </w:rPr>
            </w:pPr>
            <w:r>
              <w:rPr>
                <w:rFonts w:ascii="Arial" w:cs="Arial" w:eastAsia="Arial" w:hAnsi="Arial"/>
                <w:sz w:val="12"/>
                <w:szCs w:val="12"/>
                <w:color w:val="auto"/>
              </w:rPr>
              <w:t>R. K. Templeton</w:t>
            </w:r>
          </w:p>
        </w:tc>
        <w:tc>
          <w:tcPr>
            <w:tcW w:w="3560" w:type="dxa"/>
            <w:vAlign w:val="bottom"/>
            <w:gridSpan w:val="2"/>
            <w:shd w:val="clear" w:color="auto" w:fill="C0C0C0"/>
          </w:tcPr>
          <w:p>
            <w:pPr>
              <w:jc w:val="right"/>
              <w:ind w:right="199"/>
              <w:spacing w:after="0"/>
              <w:rPr>
                <w:sz w:val="20"/>
                <w:szCs w:val="20"/>
                <w:color w:val="auto"/>
              </w:rPr>
            </w:pPr>
            <w:r>
              <w:rPr>
                <w:rFonts w:ascii="Arial" w:cs="Arial" w:eastAsia="Arial" w:hAnsi="Arial"/>
                <w:sz w:val="12"/>
                <w:szCs w:val="12"/>
                <w:color w:val="auto"/>
              </w:rPr>
              <w:t>4,477,697</w:t>
            </w:r>
          </w:p>
        </w:tc>
        <w:tc>
          <w:tcPr>
            <w:tcW w:w="1120" w:type="dxa"/>
            <w:vAlign w:val="bottom"/>
            <w:gridSpan w:val="2"/>
            <w:shd w:val="clear" w:color="auto" w:fill="C0C0C0"/>
          </w:tcPr>
          <w:p>
            <w:pPr>
              <w:jc w:val="right"/>
              <w:ind w:right="159"/>
              <w:spacing w:after="0"/>
              <w:rPr>
                <w:sz w:val="20"/>
                <w:szCs w:val="20"/>
                <w:color w:val="auto"/>
              </w:rPr>
            </w:pPr>
            <w:r>
              <w:rPr>
                <w:rFonts w:ascii="Arial" w:cs="Arial" w:eastAsia="Arial" w:hAnsi="Arial"/>
                <w:sz w:val="12"/>
                <w:szCs w:val="12"/>
                <w:color w:val="auto"/>
              </w:rPr>
              <w:t>11,198</w:t>
            </w:r>
          </w:p>
        </w:tc>
        <w:tc>
          <w:tcPr>
            <w:tcW w:w="200" w:type="dxa"/>
            <w:vAlign w:val="bottom"/>
            <w:shd w:val="clear" w:color="auto" w:fill="C0C0C0"/>
          </w:tcPr>
          <w:p>
            <w:pPr>
              <w:spacing w:after="0"/>
              <w:rPr>
                <w:sz w:val="18"/>
                <w:szCs w:val="18"/>
                <w:color w:val="auto"/>
              </w:rPr>
            </w:pPr>
          </w:p>
        </w:tc>
        <w:tc>
          <w:tcPr>
            <w:tcW w:w="960" w:type="dxa"/>
            <w:vAlign w:val="bottom"/>
            <w:shd w:val="clear" w:color="auto" w:fill="C0C0C0"/>
          </w:tcPr>
          <w:p>
            <w:pPr>
              <w:jc w:val="right"/>
              <w:ind w:right="179"/>
              <w:spacing w:after="0"/>
              <w:rPr>
                <w:sz w:val="20"/>
                <w:szCs w:val="20"/>
                <w:color w:val="auto"/>
              </w:rPr>
            </w:pPr>
            <w:r>
              <w:rPr>
                <w:rFonts w:ascii="Arial" w:cs="Arial" w:eastAsia="Arial" w:hAnsi="Arial"/>
                <w:sz w:val="12"/>
                <w:szCs w:val="12"/>
                <w:color w:val="auto"/>
              </w:rPr>
              <w:t>620,000</w:t>
            </w:r>
          </w:p>
        </w:tc>
      </w:tr>
      <w:tr>
        <w:trPr>
          <w:trHeight w:val="221"/>
        </w:trPr>
        <w:tc>
          <w:tcPr>
            <w:tcW w:w="1020" w:type="dxa"/>
            <w:vAlign w:val="bottom"/>
          </w:tcPr>
          <w:p>
            <w:pPr>
              <w:spacing w:after="0"/>
              <w:rPr>
                <w:sz w:val="20"/>
                <w:szCs w:val="20"/>
                <w:color w:val="auto"/>
              </w:rPr>
            </w:pPr>
            <w:r>
              <w:rPr>
                <w:rFonts w:ascii="Arial" w:cs="Arial" w:eastAsia="Arial" w:hAnsi="Arial"/>
                <w:sz w:val="12"/>
                <w:szCs w:val="12"/>
                <w:color w:val="auto"/>
              </w:rPr>
              <w:t>K. P. March</w:t>
            </w:r>
          </w:p>
        </w:tc>
        <w:tc>
          <w:tcPr>
            <w:tcW w:w="3560" w:type="dxa"/>
            <w:vAlign w:val="bottom"/>
            <w:gridSpan w:val="2"/>
          </w:tcPr>
          <w:p>
            <w:pPr>
              <w:jc w:val="right"/>
              <w:ind w:right="199"/>
              <w:spacing w:after="0"/>
              <w:rPr>
                <w:sz w:val="20"/>
                <w:szCs w:val="20"/>
                <w:color w:val="auto"/>
              </w:rPr>
            </w:pPr>
            <w:r>
              <w:rPr>
                <w:rFonts w:ascii="Arial" w:cs="Arial" w:eastAsia="Arial" w:hAnsi="Arial"/>
                <w:sz w:val="12"/>
                <w:szCs w:val="12"/>
                <w:color w:val="auto"/>
              </w:rPr>
              <w:t>466,747</w:t>
            </w:r>
          </w:p>
        </w:tc>
        <w:tc>
          <w:tcPr>
            <w:tcW w:w="1120" w:type="dxa"/>
            <w:vAlign w:val="bottom"/>
            <w:gridSpan w:val="2"/>
          </w:tcPr>
          <w:p>
            <w:pPr>
              <w:jc w:val="right"/>
              <w:ind w:right="159"/>
              <w:spacing w:after="0"/>
              <w:rPr>
                <w:sz w:val="20"/>
                <w:szCs w:val="20"/>
                <w:color w:val="auto"/>
              </w:rPr>
            </w:pPr>
            <w:r>
              <w:rPr>
                <w:rFonts w:ascii="Arial" w:cs="Arial" w:eastAsia="Arial" w:hAnsi="Arial"/>
                <w:sz w:val="12"/>
                <w:szCs w:val="12"/>
                <w:color w:val="auto"/>
              </w:rPr>
              <w:t>1,808</w:t>
            </w:r>
          </w:p>
        </w:tc>
        <w:tc>
          <w:tcPr>
            <w:tcW w:w="20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Arial" w:cs="Arial" w:eastAsia="Arial" w:hAnsi="Arial"/>
                <w:sz w:val="12"/>
                <w:szCs w:val="12"/>
                <w:color w:val="auto"/>
              </w:rPr>
              <w:t>110,000</w:t>
            </w:r>
          </w:p>
        </w:tc>
      </w:tr>
      <w:tr>
        <w:trPr>
          <w:trHeight w:val="221"/>
        </w:trPr>
        <w:tc>
          <w:tcPr>
            <w:tcW w:w="1020" w:type="dxa"/>
            <w:vAlign w:val="bottom"/>
            <w:shd w:val="clear" w:color="auto" w:fill="C0C0C0"/>
          </w:tcPr>
          <w:p>
            <w:pPr>
              <w:spacing w:after="0"/>
              <w:rPr>
                <w:sz w:val="20"/>
                <w:szCs w:val="20"/>
                <w:color w:val="auto"/>
              </w:rPr>
            </w:pPr>
            <w:r>
              <w:rPr>
                <w:rFonts w:ascii="Arial" w:cs="Arial" w:eastAsia="Arial" w:hAnsi="Arial"/>
                <w:sz w:val="12"/>
                <w:szCs w:val="12"/>
                <w:color w:val="auto"/>
              </w:rPr>
              <w:t>T. J. Engibous</w:t>
            </w:r>
          </w:p>
        </w:tc>
        <w:tc>
          <w:tcPr>
            <w:tcW w:w="3560" w:type="dxa"/>
            <w:vAlign w:val="bottom"/>
            <w:gridSpan w:val="2"/>
            <w:shd w:val="clear" w:color="auto" w:fill="C0C0C0"/>
          </w:tcPr>
          <w:p>
            <w:pPr>
              <w:jc w:val="right"/>
              <w:ind w:right="199"/>
              <w:spacing w:after="0"/>
              <w:rPr>
                <w:sz w:val="20"/>
                <w:szCs w:val="20"/>
                <w:color w:val="auto"/>
              </w:rPr>
            </w:pPr>
            <w:r>
              <w:rPr>
                <w:rFonts w:ascii="Arial" w:cs="Arial" w:eastAsia="Arial" w:hAnsi="Arial"/>
                <w:sz w:val="12"/>
                <w:szCs w:val="12"/>
                <w:color w:val="auto"/>
              </w:rPr>
              <w:t>5,559,697</w:t>
            </w:r>
          </w:p>
        </w:tc>
        <w:tc>
          <w:tcPr>
            <w:tcW w:w="1120" w:type="dxa"/>
            <w:vAlign w:val="bottom"/>
            <w:gridSpan w:val="2"/>
            <w:shd w:val="clear" w:color="auto" w:fill="C0C0C0"/>
          </w:tcPr>
          <w:p>
            <w:pPr>
              <w:jc w:val="right"/>
              <w:ind w:right="159"/>
              <w:spacing w:after="0"/>
              <w:rPr>
                <w:sz w:val="20"/>
                <w:szCs w:val="20"/>
                <w:color w:val="auto"/>
              </w:rPr>
            </w:pPr>
            <w:r>
              <w:rPr>
                <w:rFonts w:ascii="Arial" w:cs="Arial" w:eastAsia="Arial" w:hAnsi="Arial"/>
                <w:sz w:val="12"/>
                <w:szCs w:val="12"/>
                <w:color w:val="auto"/>
              </w:rPr>
              <w:t>18,296</w:t>
            </w:r>
          </w:p>
        </w:tc>
        <w:tc>
          <w:tcPr>
            <w:tcW w:w="200" w:type="dxa"/>
            <w:vAlign w:val="bottom"/>
            <w:shd w:val="clear" w:color="auto" w:fill="C0C0C0"/>
          </w:tcPr>
          <w:p>
            <w:pPr>
              <w:spacing w:after="0"/>
              <w:rPr>
                <w:sz w:val="19"/>
                <w:szCs w:val="19"/>
                <w:color w:val="auto"/>
              </w:rPr>
            </w:pPr>
          </w:p>
        </w:tc>
        <w:tc>
          <w:tcPr>
            <w:tcW w:w="960" w:type="dxa"/>
            <w:vAlign w:val="bottom"/>
            <w:shd w:val="clear" w:color="auto" w:fill="C0C0C0"/>
          </w:tcPr>
          <w:p>
            <w:pPr>
              <w:jc w:val="right"/>
              <w:ind w:right="179"/>
              <w:spacing w:after="0"/>
              <w:rPr>
                <w:sz w:val="20"/>
                <w:szCs w:val="20"/>
                <w:color w:val="auto"/>
              </w:rPr>
            </w:pPr>
            <w:r>
              <w:rPr>
                <w:rFonts w:ascii="Arial" w:cs="Arial" w:eastAsia="Arial" w:hAnsi="Arial"/>
                <w:sz w:val="12"/>
                <w:szCs w:val="12"/>
                <w:color w:val="auto"/>
              </w:rPr>
              <w:t>0</w:t>
            </w:r>
          </w:p>
        </w:tc>
      </w:tr>
      <w:tr>
        <w:trPr>
          <w:trHeight w:val="221"/>
        </w:trPr>
        <w:tc>
          <w:tcPr>
            <w:tcW w:w="1020" w:type="dxa"/>
            <w:vAlign w:val="bottom"/>
          </w:tcPr>
          <w:p>
            <w:pPr>
              <w:spacing w:after="0"/>
              <w:rPr>
                <w:sz w:val="20"/>
                <w:szCs w:val="20"/>
                <w:color w:val="auto"/>
              </w:rPr>
            </w:pPr>
            <w:r>
              <w:rPr>
                <w:rFonts w:ascii="Arial" w:cs="Arial" w:eastAsia="Arial" w:hAnsi="Arial"/>
                <w:sz w:val="12"/>
                <w:szCs w:val="12"/>
                <w:color w:val="auto"/>
              </w:rPr>
              <w:t>G. A. Lowe</w:t>
            </w:r>
          </w:p>
        </w:tc>
        <w:tc>
          <w:tcPr>
            <w:tcW w:w="3560" w:type="dxa"/>
            <w:vAlign w:val="bottom"/>
            <w:gridSpan w:val="2"/>
          </w:tcPr>
          <w:p>
            <w:pPr>
              <w:jc w:val="right"/>
              <w:ind w:right="199"/>
              <w:spacing w:after="0"/>
              <w:rPr>
                <w:sz w:val="20"/>
                <w:szCs w:val="20"/>
                <w:color w:val="auto"/>
              </w:rPr>
            </w:pPr>
            <w:r>
              <w:rPr>
                <w:rFonts w:ascii="Arial" w:cs="Arial" w:eastAsia="Arial" w:hAnsi="Arial"/>
                <w:sz w:val="12"/>
                <w:szCs w:val="12"/>
                <w:color w:val="auto"/>
              </w:rPr>
              <w:t>635,197</w:t>
            </w:r>
          </w:p>
        </w:tc>
        <w:tc>
          <w:tcPr>
            <w:tcW w:w="1120" w:type="dxa"/>
            <w:vAlign w:val="bottom"/>
            <w:gridSpan w:val="2"/>
          </w:tcPr>
          <w:p>
            <w:pPr>
              <w:jc w:val="right"/>
              <w:ind w:right="159"/>
              <w:spacing w:after="0"/>
              <w:rPr>
                <w:sz w:val="20"/>
                <w:szCs w:val="20"/>
                <w:color w:val="auto"/>
              </w:rPr>
            </w:pPr>
            <w:r>
              <w:rPr>
                <w:rFonts w:ascii="Arial" w:cs="Arial" w:eastAsia="Arial" w:hAnsi="Arial"/>
                <w:sz w:val="12"/>
                <w:szCs w:val="12"/>
                <w:color w:val="auto"/>
              </w:rPr>
              <w:t>3,483</w:t>
            </w:r>
          </w:p>
        </w:tc>
        <w:tc>
          <w:tcPr>
            <w:tcW w:w="200" w:type="dxa"/>
            <w:vAlign w:val="bottom"/>
          </w:tcPr>
          <w:p>
            <w:pPr>
              <w:spacing w:after="0"/>
              <w:rPr>
                <w:sz w:val="19"/>
                <w:szCs w:val="19"/>
                <w:color w:val="auto"/>
              </w:rPr>
            </w:pPr>
          </w:p>
        </w:tc>
        <w:tc>
          <w:tcPr>
            <w:tcW w:w="960" w:type="dxa"/>
            <w:vAlign w:val="bottom"/>
          </w:tcPr>
          <w:p>
            <w:pPr>
              <w:jc w:val="right"/>
              <w:ind w:right="179"/>
              <w:spacing w:after="0"/>
              <w:rPr>
                <w:sz w:val="20"/>
                <w:szCs w:val="20"/>
                <w:color w:val="auto"/>
              </w:rPr>
            </w:pPr>
            <w:r>
              <w:rPr>
                <w:rFonts w:ascii="Arial" w:cs="Arial" w:eastAsia="Arial" w:hAnsi="Arial"/>
                <w:sz w:val="12"/>
                <w:szCs w:val="12"/>
                <w:color w:val="auto"/>
              </w:rPr>
              <w:t>290,000</w:t>
            </w:r>
          </w:p>
        </w:tc>
      </w:tr>
      <w:tr>
        <w:trPr>
          <w:trHeight w:val="221"/>
        </w:trPr>
        <w:tc>
          <w:tcPr>
            <w:tcW w:w="1020" w:type="dxa"/>
            <w:vAlign w:val="bottom"/>
            <w:shd w:val="clear" w:color="auto" w:fill="C0C0C0"/>
          </w:tcPr>
          <w:p>
            <w:pPr>
              <w:spacing w:after="0"/>
              <w:rPr>
                <w:sz w:val="20"/>
                <w:szCs w:val="20"/>
                <w:color w:val="auto"/>
              </w:rPr>
            </w:pPr>
            <w:r>
              <w:rPr>
                <w:rFonts w:ascii="Arial" w:cs="Arial" w:eastAsia="Arial" w:hAnsi="Arial"/>
                <w:sz w:val="12"/>
                <w:szCs w:val="12"/>
                <w:color w:val="auto"/>
              </w:rPr>
              <w:t>M. J. Hames</w:t>
            </w:r>
          </w:p>
        </w:tc>
        <w:tc>
          <w:tcPr>
            <w:tcW w:w="3560" w:type="dxa"/>
            <w:vAlign w:val="bottom"/>
            <w:gridSpan w:val="2"/>
            <w:shd w:val="clear" w:color="auto" w:fill="C0C0C0"/>
          </w:tcPr>
          <w:p>
            <w:pPr>
              <w:jc w:val="right"/>
              <w:ind w:right="199"/>
              <w:spacing w:after="0"/>
              <w:rPr>
                <w:sz w:val="20"/>
                <w:szCs w:val="20"/>
                <w:color w:val="auto"/>
              </w:rPr>
            </w:pPr>
            <w:r>
              <w:rPr>
                <w:rFonts w:ascii="Arial" w:cs="Arial" w:eastAsia="Arial" w:hAnsi="Arial"/>
                <w:sz w:val="12"/>
                <w:szCs w:val="12"/>
                <w:color w:val="auto"/>
              </w:rPr>
              <w:t>1,238,750</w:t>
            </w:r>
          </w:p>
        </w:tc>
        <w:tc>
          <w:tcPr>
            <w:tcW w:w="1120" w:type="dxa"/>
            <w:vAlign w:val="bottom"/>
            <w:gridSpan w:val="2"/>
            <w:shd w:val="clear" w:color="auto" w:fill="C0C0C0"/>
          </w:tcPr>
          <w:p>
            <w:pPr>
              <w:jc w:val="right"/>
              <w:ind w:right="159"/>
              <w:spacing w:after="0"/>
              <w:rPr>
                <w:sz w:val="20"/>
                <w:szCs w:val="20"/>
                <w:color w:val="auto"/>
              </w:rPr>
            </w:pPr>
            <w:r>
              <w:rPr>
                <w:rFonts w:ascii="Arial" w:cs="Arial" w:eastAsia="Arial" w:hAnsi="Arial"/>
                <w:sz w:val="12"/>
                <w:szCs w:val="12"/>
                <w:color w:val="auto"/>
              </w:rPr>
              <w:t>7,019</w:t>
            </w:r>
          </w:p>
        </w:tc>
        <w:tc>
          <w:tcPr>
            <w:tcW w:w="200" w:type="dxa"/>
            <w:vAlign w:val="bottom"/>
            <w:shd w:val="clear" w:color="auto" w:fill="C0C0C0"/>
          </w:tcPr>
          <w:p>
            <w:pPr>
              <w:spacing w:after="0"/>
              <w:rPr>
                <w:sz w:val="19"/>
                <w:szCs w:val="19"/>
                <w:color w:val="auto"/>
              </w:rPr>
            </w:pPr>
          </w:p>
        </w:tc>
        <w:tc>
          <w:tcPr>
            <w:tcW w:w="960" w:type="dxa"/>
            <w:vAlign w:val="bottom"/>
            <w:shd w:val="clear" w:color="auto" w:fill="C0C0C0"/>
          </w:tcPr>
          <w:p>
            <w:pPr>
              <w:jc w:val="right"/>
              <w:ind w:right="179"/>
              <w:spacing w:after="0"/>
              <w:rPr>
                <w:sz w:val="20"/>
                <w:szCs w:val="20"/>
                <w:color w:val="auto"/>
              </w:rPr>
            </w:pPr>
            <w:r>
              <w:rPr>
                <w:rFonts w:ascii="Arial" w:cs="Arial" w:eastAsia="Arial" w:hAnsi="Arial"/>
                <w:sz w:val="12"/>
                <w:szCs w:val="12"/>
                <w:color w:val="auto"/>
              </w:rPr>
              <w:t>195,000</w:t>
            </w:r>
          </w:p>
        </w:tc>
      </w:tr>
      <w:tr>
        <w:trPr>
          <w:trHeight w:val="217"/>
        </w:trPr>
        <w:tc>
          <w:tcPr>
            <w:tcW w:w="1020" w:type="dxa"/>
            <w:vAlign w:val="bottom"/>
          </w:tcPr>
          <w:p>
            <w:pPr>
              <w:spacing w:after="0"/>
              <w:rPr>
                <w:sz w:val="20"/>
                <w:szCs w:val="20"/>
                <w:color w:val="auto"/>
              </w:rPr>
            </w:pPr>
            <w:r>
              <w:rPr>
                <w:rFonts w:ascii="Arial" w:cs="Arial" w:eastAsia="Arial" w:hAnsi="Arial"/>
                <w:sz w:val="12"/>
                <w:szCs w:val="12"/>
                <w:color w:val="auto"/>
              </w:rPr>
              <w:t>G. Delfassy</w:t>
            </w:r>
          </w:p>
        </w:tc>
        <w:tc>
          <w:tcPr>
            <w:tcW w:w="3560" w:type="dxa"/>
            <w:vAlign w:val="bottom"/>
            <w:gridSpan w:val="2"/>
          </w:tcPr>
          <w:p>
            <w:pPr>
              <w:jc w:val="right"/>
              <w:ind w:right="199"/>
              <w:spacing w:after="0"/>
              <w:rPr>
                <w:sz w:val="20"/>
                <w:szCs w:val="20"/>
                <w:color w:val="auto"/>
              </w:rPr>
            </w:pPr>
            <w:r>
              <w:rPr>
                <w:rFonts w:ascii="Arial" w:cs="Arial" w:eastAsia="Arial" w:hAnsi="Arial"/>
                <w:sz w:val="12"/>
                <w:szCs w:val="12"/>
                <w:color w:val="auto"/>
              </w:rPr>
              <w:t>909,000</w:t>
            </w:r>
          </w:p>
        </w:tc>
        <w:tc>
          <w:tcPr>
            <w:tcW w:w="1120" w:type="dxa"/>
            <w:vAlign w:val="bottom"/>
            <w:gridSpan w:val="2"/>
          </w:tcPr>
          <w:p>
            <w:pPr>
              <w:jc w:val="right"/>
              <w:ind w:right="159"/>
              <w:spacing w:after="0"/>
              <w:rPr>
                <w:sz w:val="20"/>
                <w:szCs w:val="20"/>
                <w:color w:val="auto"/>
              </w:rPr>
            </w:pPr>
            <w:r>
              <w:rPr>
                <w:rFonts w:ascii="Arial" w:cs="Arial" w:eastAsia="Arial" w:hAnsi="Arial"/>
                <w:sz w:val="12"/>
                <w:szCs w:val="12"/>
                <w:color w:val="auto"/>
              </w:rPr>
              <w:t>0</w:t>
            </w:r>
          </w:p>
        </w:tc>
        <w:tc>
          <w:tcPr>
            <w:tcW w:w="200" w:type="dxa"/>
            <w:vAlign w:val="bottom"/>
          </w:tcPr>
          <w:p>
            <w:pPr>
              <w:spacing w:after="0"/>
              <w:rPr>
                <w:sz w:val="18"/>
                <w:szCs w:val="18"/>
                <w:color w:val="auto"/>
              </w:rPr>
            </w:pPr>
          </w:p>
        </w:tc>
        <w:tc>
          <w:tcPr>
            <w:tcW w:w="960" w:type="dxa"/>
            <w:vAlign w:val="bottom"/>
          </w:tcPr>
          <w:p>
            <w:pPr>
              <w:jc w:val="right"/>
              <w:ind w:right="179"/>
              <w:spacing w:after="0"/>
              <w:rPr>
                <w:sz w:val="20"/>
                <w:szCs w:val="20"/>
                <w:color w:val="auto"/>
              </w:rPr>
            </w:pPr>
            <w:r>
              <w:rPr>
                <w:rFonts w:ascii="Arial" w:cs="Arial" w:eastAsia="Arial" w:hAnsi="Arial"/>
                <w:sz w:val="12"/>
                <w:szCs w:val="12"/>
                <w:color w:val="auto"/>
              </w:rPr>
              <w:t>150,000</w:t>
            </w:r>
          </w:p>
        </w:tc>
      </w:tr>
    </w:tbl>
    <w:p>
      <w:pPr>
        <w:ind w:left="2"/>
        <w:spacing w:after="0"/>
        <w:rPr>
          <w:sz w:val="20"/>
          <w:szCs w:val="20"/>
          <w:color w:val="auto"/>
        </w:rPr>
      </w:pPr>
      <w:r>
        <w:rPr>
          <w:rFonts w:ascii="Arial" w:cs="Arial" w:eastAsia="Arial" w:hAnsi="Arial"/>
          <w:sz w:val="20"/>
          <w:szCs w:val="20"/>
          <w:color w:val="auto"/>
        </w:rPr>
        <w:t>____________________</w:t>
      </w:r>
    </w:p>
    <w:p>
      <w:pPr>
        <w:spacing w:after="0" w:line="193" w:lineRule="exact"/>
        <w:rPr>
          <w:sz w:val="20"/>
          <w:szCs w:val="20"/>
          <w:color w:val="auto"/>
        </w:rPr>
      </w:pPr>
    </w:p>
    <w:p>
      <w:pPr>
        <w:ind w:left="182"/>
        <w:spacing w:after="0"/>
        <w:rPr>
          <w:sz w:val="20"/>
          <w:szCs w:val="20"/>
          <w:color w:val="auto"/>
        </w:rPr>
      </w:pPr>
      <w:r>
        <w:rPr>
          <w:rFonts w:ascii="Arial" w:cs="Arial" w:eastAsia="Arial" w:hAnsi="Arial"/>
          <w:sz w:val="16"/>
          <w:szCs w:val="16"/>
          <w:color w:val="auto"/>
        </w:rPr>
        <w:t>Each named executive officer has sole voting and sole investment power with respect to the shares owned.</w:t>
      </w:r>
    </w:p>
    <w:p>
      <w:pPr>
        <w:spacing w:after="0" w:line="196" w:lineRule="exact"/>
        <w:rPr>
          <w:sz w:val="20"/>
          <w:szCs w:val="20"/>
          <w:color w:val="auto"/>
        </w:rPr>
      </w:pPr>
    </w:p>
    <w:p>
      <w:pPr>
        <w:ind w:left="182" w:hanging="182"/>
        <w:spacing w:after="0"/>
        <w:tabs>
          <w:tab w:leader="none" w:pos="182"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w:t>
      </w:r>
    </w:p>
    <w:p>
      <w:pPr>
        <w:spacing w:after="0" w:line="208" w:lineRule="exact"/>
        <w:rPr>
          <w:rFonts w:ascii="Arial" w:cs="Arial" w:eastAsia="Arial" w:hAnsi="Arial"/>
          <w:sz w:val="16"/>
          <w:szCs w:val="16"/>
          <w:color w:val="auto"/>
        </w:rPr>
      </w:pPr>
    </w:p>
    <w:p>
      <w:pPr>
        <w:ind w:left="682" w:hanging="437"/>
        <w:spacing w:after="0"/>
        <w:tabs>
          <w:tab w:leader="none" w:pos="682" w:val="left"/>
        </w:tabs>
        <w:numPr>
          <w:ilvl w:val="1"/>
          <w:numId w:val="53"/>
        </w:numPr>
        <w:rPr>
          <w:rFonts w:ascii="Arial" w:cs="Arial" w:eastAsia="Arial" w:hAnsi="Arial"/>
          <w:sz w:val="16"/>
          <w:szCs w:val="16"/>
          <w:color w:val="auto"/>
        </w:rPr>
      </w:pPr>
      <w:r>
        <w:rPr>
          <w:rFonts w:ascii="Arial" w:cs="Arial" w:eastAsia="Arial" w:hAnsi="Arial"/>
          <w:sz w:val="16"/>
          <w:szCs w:val="16"/>
          <w:color w:val="auto"/>
        </w:rPr>
        <w:t>17,407,396 shares obtainable within 60 days;</w:t>
      </w:r>
    </w:p>
    <w:p>
      <w:pPr>
        <w:spacing w:after="0" w:line="244" w:lineRule="exact"/>
        <w:rPr>
          <w:rFonts w:ascii="Arial" w:cs="Arial" w:eastAsia="Arial" w:hAnsi="Arial"/>
          <w:sz w:val="16"/>
          <w:szCs w:val="16"/>
          <w:color w:val="auto"/>
        </w:rPr>
      </w:pPr>
    </w:p>
    <w:p>
      <w:pPr>
        <w:ind w:left="682" w:hanging="437"/>
        <w:spacing w:after="0"/>
        <w:tabs>
          <w:tab w:leader="none" w:pos="682" w:val="left"/>
        </w:tabs>
        <w:numPr>
          <w:ilvl w:val="1"/>
          <w:numId w:val="53"/>
        </w:numPr>
        <w:rPr>
          <w:rFonts w:ascii="Arial" w:cs="Arial" w:eastAsia="Arial" w:hAnsi="Arial"/>
          <w:sz w:val="16"/>
          <w:szCs w:val="16"/>
          <w:color w:val="auto"/>
        </w:rPr>
      </w:pPr>
      <w:r>
        <w:rPr>
          <w:rFonts w:ascii="Arial" w:cs="Arial" w:eastAsia="Arial" w:hAnsi="Arial"/>
          <w:sz w:val="16"/>
          <w:szCs w:val="16"/>
          <w:color w:val="auto"/>
        </w:rPr>
        <w:t>87,774 shares credited to 401(k) and profit sharing stock accounts;</w:t>
      </w:r>
    </w:p>
    <w:p>
      <w:pPr>
        <w:spacing w:after="0" w:line="220" w:lineRule="exact"/>
        <w:rPr>
          <w:rFonts w:ascii="Arial" w:cs="Arial" w:eastAsia="Arial" w:hAnsi="Arial"/>
          <w:sz w:val="16"/>
          <w:szCs w:val="16"/>
          <w:color w:val="auto"/>
        </w:rPr>
      </w:pPr>
    </w:p>
    <w:p>
      <w:pPr>
        <w:ind w:left="682" w:hanging="437"/>
        <w:spacing w:after="0"/>
        <w:tabs>
          <w:tab w:leader="none" w:pos="682" w:val="left"/>
        </w:tabs>
        <w:numPr>
          <w:ilvl w:val="1"/>
          <w:numId w:val="53"/>
        </w:numPr>
        <w:rPr>
          <w:rFonts w:ascii="Arial" w:cs="Arial" w:eastAsia="Arial" w:hAnsi="Arial"/>
          <w:sz w:val="16"/>
          <w:szCs w:val="16"/>
          <w:color w:val="auto"/>
        </w:rPr>
      </w:pPr>
      <w:r>
        <w:rPr>
          <w:rFonts w:ascii="Arial" w:cs="Arial" w:eastAsia="Arial" w:hAnsi="Arial"/>
          <w:sz w:val="16"/>
          <w:szCs w:val="16"/>
          <w:color w:val="auto"/>
        </w:rPr>
        <w:t>2,204,995 shares subject to restricted stock unit awards; for the terms of these restricted stock units, please see pages 14, 16 and 36-37.</w:t>
      </w:r>
    </w:p>
    <w:p>
      <w:pPr>
        <w:spacing w:after="0" w:line="220" w:lineRule="exact"/>
        <w:rPr>
          <w:rFonts w:ascii="Arial" w:cs="Arial" w:eastAsia="Arial" w:hAnsi="Arial"/>
          <w:sz w:val="16"/>
          <w:szCs w:val="16"/>
          <w:color w:val="auto"/>
        </w:rPr>
      </w:pPr>
    </w:p>
    <w:p>
      <w:pPr>
        <w:ind w:left="682" w:right="460" w:hanging="437"/>
        <w:spacing w:after="0" w:line="250" w:lineRule="auto"/>
        <w:tabs>
          <w:tab w:leader="none" w:pos="682" w:val="left"/>
        </w:tabs>
        <w:numPr>
          <w:ilvl w:val="1"/>
          <w:numId w:val="53"/>
        </w:numPr>
        <w:rPr>
          <w:rFonts w:ascii="Arial" w:cs="Arial" w:eastAsia="Arial" w:hAnsi="Arial"/>
          <w:sz w:val="16"/>
          <w:szCs w:val="16"/>
          <w:color w:val="auto"/>
        </w:rPr>
      </w:pPr>
      <w:r>
        <w:rPr>
          <w:rFonts w:ascii="Arial" w:cs="Arial" w:eastAsia="Arial" w:hAnsi="Arial"/>
          <w:sz w:val="16"/>
          <w:szCs w:val="16"/>
          <w:color w:val="auto"/>
        </w:rPr>
        <w:t>96,605 shares credited to certain non-employee directors’ deferred compensation accounts; shares in deferred compensation accounts are issued following a director’s termination of service.</w:t>
      </w:r>
    </w:p>
    <w:p>
      <w:pPr>
        <w:spacing w:after="0" w:line="180" w:lineRule="exact"/>
        <w:rPr>
          <w:sz w:val="20"/>
          <w:szCs w:val="20"/>
          <w:color w:val="auto"/>
        </w:rPr>
      </w:pPr>
    </w:p>
    <w:p>
      <w:pPr>
        <w:ind w:left="182" w:right="360"/>
        <w:spacing w:after="0" w:line="250" w:lineRule="auto"/>
        <w:rPr>
          <w:sz w:val="20"/>
          <w:szCs w:val="20"/>
          <w:color w:val="auto"/>
        </w:rPr>
      </w:pPr>
      <w:r>
        <w:rPr>
          <w:rFonts w:ascii="Arial" w:cs="Arial" w:eastAsia="Arial" w:hAnsi="Arial"/>
          <w:sz w:val="16"/>
          <w:szCs w:val="16"/>
          <w:color w:val="auto"/>
        </w:rPr>
        <w:t>Excludes shares held by a family member if a director or executive officer has disclaimed beneficial ownership. No director or executive officer has pledged shares of TI common stock.</w:t>
      </w:r>
    </w:p>
    <w:p>
      <w:pPr>
        <w:spacing w:after="0" w:line="180" w:lineRule="exact"/>
        <w:rPr>
          <w:sz w:val="20"/>
          <w:szCs w:val="20"/>
          <w:color w:val="auto"/>
        </w:rPr>
      </w:pPr>
    </w:p>
    <w:p>
      <w:pPr>
        <w:jc w:val="center"/>
        <w:ind w:right="18"/>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279640" cy="20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76"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Related Person Transactions</w:t>
      </w:r>
    </w:p>
    <w:p>
      <w:pPr>
        <w:spacing w:after="0" w:line="216" w:lineRule="exact"/>
        <w:rPr>
          <w:sz w:val="20"/>
          <w:szCs w:val="20"/>
          <w:color w:val="auto"/>
        </w:rPr>
      </w:pPr>
    </w:p>
    <w:p>
      <w:pPr>
        <w:ind w:left="2" w:right="60"/>
        <w:spacing w:after="0" w:line="283" w:lineRule="auto"/>
        <w:rPr>
          <w:sz w:val="20"/>
          <w:szCs w:val="20"/>
          <w:color w:val="auto"/>
        </w:rPr>
      </w:pPr>
      <w:r>
        <w:rPr>
          <w:rFonts w:ascii="Arial" w:cs="Arial" w:eastAsia="Arial" w:hAnsi="Arial"/>
          <w:sz w:val="15"/>
          <w:szCs w:val="15"/>
          <w:color w:val="auto"/>
        </w:rPr>
        <w:t>Because we believe that company transactions with directors and executive officers of TI or with persons related to TI directors and executive officers present a heightened risk of creating or appearing to create a conflict of interest, we have a written related person transaction policy that has been approved by the board of</w:t>
      </w:r>
    </w:p>
    <w:p>
      <w:pPr>
        <w:sectPr>
          <w:pgSz w:w="11900" w:h="16838" w:orient="portrait"/>
          <w:cols w:equalWidth="0" w:num="1">
            <w:col w:w="11442"/>
          </w:cols>
          <w:pgMar w:left="238" w:top="142" w:right="219" w:bottom="0" w:gutter="0" w:footer="0" w:header="0"/>
        </w:sectPr>
      </w:pPr>
    </w:p>
    <w:bookmarkStart w:id="34" w:name="page35"/>
    <w:bookmarkEnd w:id="34"/>
    <w:p>
      <w:pPr>
        <w:ind w:left="2"/>
        <w:spacing w:after="0"/>
        <w:rPr>
          <w:sz w:val="20"/>
          <w:szCs w:val="20"/>
          <w:color w:val="auto"/>
        </w:rPr>
      </w:pPr>
      <w:r>
        <w:rPr>
          <w:rFonts w:ascii="Arial" w:cs="Arial" w:eastAsia="Arial" w:hAnsi="Arial"/>
          <w:sz w:val="16"/>
          <w:szCs w:val="16"/>
          <w:color w:val="auto"/>
        </w:rPr>
        <w:t>directors. The policy states that TI directors and executive officers should obtain the approvals specified below in connection with any related person transaction.</w:t>
      </w:r>
    </w:p>
    <w:p>
      <w:pPr>
        <w:ind w:left="2"/>
        <w:spacing w:after="0"/>
        <w:rPr>
          <w:sz w:val="20"/>
          <w:szCs w:val="20"/>
          <w:color w:val="auto"/>
        </w:rPr>
      </w:pPr>
      <w:r>
        <w:rPr>
          <w:rFonts w:ascii="Arial" w:cs="Arial" w:eastAsia="Arial" w:hAnsi="Arial"/>
          <w:sz w:val="16"/>
          <w:szCs w:val="16"/>
          <w:color w:val="auto"/>
        </w:rPr>
        <w:t>The policy applies to transactions in which:</w:t>
      </w:r>
    </w:p>
    <w:p>
      <w:pPr>
        <w:spacing w:after="0" w:line="196" w:lineRule="exact"/>
        <w:rPr>
          <w:sz w:val="20"/>
          <w:szCs w:val="20"/>
          <w:color w:val="auto"/>
        </w:rPr>
      </w:pPr>
    </w:p>
    <w:p>
      <w:pPr>
        <w:ind w:left="382" w:hanging="382"/>
        <w:spacing w:after="0"/>
        <w:tabs>
          <w:tab w:leader="none" w:pos="38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TI or any TI subsidiary is or will be a participant;</w:t>
      </w:r>
    </w:p>
    <w:p>
      <w:pPr>
        <w:spacing w:after="0" w:line="257" w:lineRule="exact"/>
        <w:rPr>
          <w:rFonts w:ascii="Arial" w:cs="Arial" w:eastAsia="Arial" w:hAnsi="Arial"/>
          <w:sz w:val="16"/>
          <w:szCs w:val="16"/>
          <w:color w:val="auto"/>
        </w:rPr>
      </w:pPr>
    </w:p>
    <w:p>
      <w:pPr>
        <w:ind w:left="382" w:hanging="382"/>
        <w:spacing w:after="0"/>
        <w:tabs>
          <w:tab w:leader="none" w:pos="382"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amount involved exceeds or is expected to exceed $100,000 in a fiscal year; and</w:t>
      </w:r>
    </w:p>
    <w:p>
      <w:pPr>
        <w:spacing w:after="0" w:line="220" w:lineRule="exact"/>
        <w:rPr>
          <w:rFonts w:ascii="Arial" w:cs="Arial" w:eastAsia="Arial" w:hAnsi="Arial"/>
          <w:sz w:val="16"/>
          <w:szCs w:val="16"/>
          <w:color w:val="auto"/>
        </w:rPr>
      </w:pPr>
    </w:p>
    <w:p>
      <w:pPr>
        <w:ind w:left="382" w:hanging="382"/>
        <w:spacing w:after="0"/>
        <w:tabs>
          <w:tab w:leader="none" w:pos="382" w:val="left"/>
        </w:tabs>
        <w:numPr>
          <w:ilvl w:val="0"/>
          <w:numId w:val="54"/>
        </w:numPr>
        <w:rPr>
          <w:rFonts w:ascii="Arial" w:cs="Arial" w:eastAsia="Arial" w:hAnsi="Arial"/>
          <w:sz w:val="16"/>
          <w:szCs w:val="16"/>
          <w:color w:val="auto"/>
        </w:rPr>
      </w:pPr>
      <w:r>
        <w:rPr>
          <w:rFonts w:ascii="Arial" w:cs="Arial" w:eastAsia="Arial" w:hAnsi="Arial"/>
          <w:sz w:val="16"/>
          <w:szCs w:val="16"/>
          <w:color w:val="auto"/>
        </w:rPr>
        <w:t>Any of the following (a “related person”) has or will have a direct or indirect interest:</w:t>
      </w:r>
    </w:p>
    <w:p>
      <w:pPr>
        <w:spacing w:after="0" w:line="220" w:lineRule="exact"/>
        <w:rPr>
          <w:rFonts w:ascii="Arial" w:cs="Arial" w:eastAsia="Arial" w:hAnsi="Arial"/>
          <w:sz w:val="16"/>
          <w:szCs w:val="16"/>
          <w:color w:val="auto"/>
        </w:rPr>
      </w:pPr>
    </w:p>
    <w:p>
      <w:pPr>
        <w:ind w:left="822" w:hanging="442"/>
        <w:spacing w:after="0"/>
        <w:tabs>
          <w:tab w:leader="none" w:pos="822" w:val="left"/>
        </w:tabs>
        <w:numPr>
          <w:ilvl w:val="1"/>
          <w:numId w:val="54"/>
        </w:numPr>
        <w:rPr>
          <w:rFonts w:ascii="Arial" w:cs="Arial" w:eastAsia="Arial" w:hAnsi="Arial"/>
          <w:sz w:val="16"/>
          <w:szCs w:val="16"/>
          <w:color w:val="auto"/>
        </w:rPr>
      </w:pPr>
      <w:r>
        <w:rPr>
          <w:rFonts w:ascii="Arial" w:cs="Arial" w:eastAsia="Arial" w:hAnsi="Arial"/>
          <w:sz w:val="16"/>
          <w:szCs w:val="16"/>
          <w:color w:val="auto"/>
        </w:rPr>
        <w:t>A TI director or executive officer, or an Immediate Family Member of a director or executive officer;</w:t>
      </w:r>
    </w:p>
    <w:p>
      <w:pPr>
        <w:spacing w:after="0" w:line="257" w:lineRule="exact"/>
        <w:rPr>
          <w:rFonts w:ascii="Arial" w:cs="Arial" w:eastAsia="Arial" w:hAnsi="Arial"/>
          <w:sz w:val="16"/>
          <w:szCs w:val="16"/>
          <w:color w:val="auto"/>
        </w:rPr>
      </w:pPr>
    </w:p>
    <w:p>
      <w:pPr>
        <w:ind w:left="822" w:hanging="442"/>
        <w:spacing w:after="0" w:line="245" w:lineRule="auto"/>
        <w:tabs>
          <w:tab w:leader="none" w:pos="822" w:val="left"/>
        </w:tabs>
        <w:numPr>
          <w:ilvl w:val="1"/>
          <w:numId w:val="54"/>
        </w:numPr>
        <w:rPr>
          <w:rFonts w:ascii="Arial" w:cs="Arial" w:eastAsia="Arial" w:hAnsi="Arial"/>
          <w:sz w:val="16"/>
          <w:szCs w:val="16"/>
          <w:color w:val="auto"/>
        </w:rPr>
      </w:pPr>
      <w:r>
        <w:rPr>
          <w:rFonts w:ascii="Arial" w:cs="Arial" w:eastAsia="Arial" w:hAnsi="Arial"/>
          <w:sz w:val="16"/>
          <w:szCs w:val="16"/>
          <w:color w:val="auto"/>
        </w:rPr>
        <w:t>A stockholder owning more than 5 percent of the common stock of TI or an Immediate Family Member of such stockholder, or, if the 5 percent stockholder is not a natural person, any person or entity designated in the Form 13G or 13D filed under the SEC rules and regulations by the 5 percent stockholder as having an ownership interest in TI stock (individually or collectively, a “5 percent holder”); or</w:t>
      </w:r>
    </w:p>
    <w:p>
      <w:pPr>
        <w:spacing w:after="0" w:line="208" w:lineRule="exact"/>
        <w:rPr>
          <w:rFonts w:ascii="Arial" w:cs="Arial" w:eastAsia="Arial" w:hAnsi="Arial"/>
          <w:sz w:val="16"/>
          <w:szCs w:val="16"/>
          <w:color w:val="auto"/>
        </w:rPr>
      </w:pPr>
    </w:p>
    <w:p>
      <w:pPr>
        <w:ind w:left="822" w:right="120" w:hanging="442"/>
        <w:spacing w:after="0" w:line="250" w:lineRule="auto"/>
        <w:tabs>
          <w:tab w:leader="none" w:pos="822" w:val="left"/>
        </w:tabs>
        <w:numPr>
          <w:ilvl w:val="1"/>
          <w:numId w:val="54"/>
        </w:numPr>
        <w:rPr>
          <w:rFonts w:ascii="Arial" w:cs="Arial" w:eastAsia="Arial" w:hAnsi="Arial"/>
          <w:sz w:val="16"/>
          <w:szCs w:val="16"/>
          <w:color w:val="auto"/>
        </w:rPr>
      </w:pPr>
      <w:r>
        <w:rPr>
          <w:rFonts w:ascii="Arial" w:cs="Arial" w:eastAsia="Arial" w:hAnsi="Arial"/>
          <w:sz w:val="16"/>
          <w:szCs w:val="16"/>
          <w:color w:val="auto"/>
        </w:rPr>
        <w:t>An entity in which someone listed in (a) or (b) above has a 5 percent or greater ownership interest, by which someone listed in (a) or (b) is employed, or of which someone listed in (a) or (b) is a director, principal or partner.</w:t>
      </w:r>
    </w:p>
    <w:p>
      <w:pPr>
        <w:spacing w:after="0" w:line="180" w:lineRule="exact"/>
        <w:rPr>
          <w:sz w:val="20"/>
          <w:szCs w:val="20"/>
          <w:color w:val="auto"/>
        </w:rPr>
      </w:pPr>
    </w:p>
    <w:p>
      <w:pPr>
        <w:ind w:left="2" w:right="100"/>
        <w:spacing w:after="0" w:line="245" w:lineRule="auto"/>
        <w:rPr>
          <w:sz w:val="20"/>
          <w:szCs w:val="20"/>
          <w:color w:val="auto"/>
        </w:rPr>
      </w:pPr>
      <w:r>
        <w:rPr>
          <w:rFonts w:ascii="Arial" w:cs="Arial" w:eastAsia="Arial" w:hAnsi="Arial"/>
          <w:sz w:val="16"/>
          <w:szCs w:val="16"/>
          <w:color w:val="auto"/>
        </w:rPr>
        <w:t>For purposes of the policy, an “Immediate Family Member” is any child, stepchild, parent, stepparent, spouse, sibling, mother-in-law, father-in-law, son-in-law, daughter-in-law, brother-in-law, sister-in-law or any person (other than a tenant or employee) sharing the household of a TI director, executive officer or 5 percent holder.</w:t>
      </w:r>
    </w:p>
    <w:p>
      <w:pPr>
        <w:spacing w:after="0" w:line="184" w:lineRule="exact"/>
        <w:rPr>
          <w:sz w:val="20"/>
          <w:szCs w:val="20"/>
          <w:color w:val="auto"/>
        </w:rPr>
      </w:pPr>
    </w:p>
    <w:p>
      <w:pPr>
        <w:ind w:left="2" w:right="800"/>
        <w:spacing w:after="0" w:line="250" w:lineRule="auto"/>
        <w:rPr>
          <w:sz w:val="20"/>
          <w:szCs w:val="20"/>
          <w:color w:val="auto"/>
        </w:rPr>
      </w:pPr>
      <w:r>
        <w:rPr>
          <w:rFonts w:ascii="Arial" w:cs="Arial" w:eastAsia="Arial" w:hAnsi="Arial"/>
          <w:sz w:val="16"/>
          <w:szCs w:val="16"/>
          <w:color w:val="auto"/>
        </w:rPr>
        <w:t>The policy specifies that a related person transaction includes, but is not limited to, any financial transaction, arrangement or relationship (including any indebtedness or guarantee of indebtedness) or any series of similar transactions or arrangements.</w:t>
      </w:r>
    </w:p>
    <w:p>
      <w:pPr>
        <w:spacing w:after="0" w:line="153" w:lineRule="exact"/>
        <w:rPr>
          <w:sz w:val="20"/>
          <w:szCs w:val="20"/>
          <w:color w:val="auto"/>
        </w:rPr>
      </w:pPr>
    </w:p>
    <w:tbl>
      <w:tblPr>
        <w:tblLayout w:type="fixed"/>
        <w:tblInd w:w="2" w:type="dxa"/>
        <w:tblCellMar>
          <w:top w:w="0" w:type="dxa"/>
          <w:left w:w="0" w:type="dxa"/>
          <w:bottom w:w="0" w:type="dxa"/>
          <w:right w:w="0" w:type="dxa"/>
        </w:tblCellMar>
      </w:tblPr>
      <w:tr>
        <w:trPr>
          <w:trHeight w:val="184"/>
        </w:trPr>
        <w:tc>
          <w:tcPr>
            <w:tcW w:w="1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8"/>
              </w:rPr>
              <w:t>Approval Required</w:t>
            </w:r>
          </w:p>
        </w:tc>
        <w:tc>
          <w:tcPr>
            <w:tcW w:w="2860" w:type="dxa"/>
            <w:vAlign w:val="bottom"/>
            <w:gridSpan w:val="2"/>
          </w:tcPr>
          <w:p>
            <w:pPr>
              <w:spacing w:after="0"/>
              <w:rPr>
                <w:sz w:val="16"/>
                <w:szCs w:val="16"/>
                <w:color w:val="auto"/>
              </w:rPr>
            </w:pPr>
          </w:p>
        </w:tc>
        <w:tc>
          <w:tcPr>
            <w:tcW w:w="1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384"/>
        </w:trPr>
        <w:tc>
          <w:tcPr>
            <w:tcW w:w="4180" w:type="dxa"/>
            <w:vAlign w:val="bottom"/>
            <w:gridSpan w:val="3"/>
          </w:tcPr>
          <w:p>
            <w:pPr>
              <w:spacing w:after="0"/>
              <w:rPr>
                <w:sz w:val="20"/>
                <w:szCs w:val="20"/>
                <w:color w:val="auto"/>
              </w:rPr>
            </w:pPr>
            <w:r>
              <w:rPr>
                <w:rFonts w:ascii="Arial" w:cs="Arial" w:eastAsia="Arial" w:hAnsi="Arial"/>
                <w:sz w:val="16"/>
                <w:szCs w:val="16"/>
                <w:color w:val="auto"/>
              </w:rPr>
              <w:t>Arrangement involving:</w:t>
            </w:r>
          </w:p>
        </w:tc>
        <w:tc>
          <w:tcPr>
            <w:tcW w:w="3260" w:type="dxa"/>
            <w:vAlign w:val="bottom"/>
            <w:gridSpan w:val="3"/>
          </w:tcPr>
          <w:p>
            <w:pPr>
              <w:ind w:left="1200"/>
              <w:spacing w:after="0"/>
              <w:rPr>
                <w:sz w:val="20"/>
                <w:szCs w:val="20"/>
                <w:color w:val="auto"/>
              </w:rPr>
            </w:pPr>
            <w:r>
              <w:rPr>
                <w:rFonts w:ascii="Arial" w:cs="Arial" w:eastAsia="Arial" w:hAnsi="Arial"/>
                <w:sz w:val="16"/>
                <w:szCs w:val="16"/>
                <w:color w:val="auto"/>
              </w:rPr>
              <w:t>Approval required by:</w:t>
            </w: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36"/>
        </w:trPr>
        <w:tc>
          <w:tcPr>
            <w:tcW w:w="4180" w:type="dxa"/>
            <w:vAlign w:val="bottom"/>
            <w:gridSpan w:val="3"/>
          </w:tcPr>
          <w:p>
            <w:pPr>
              <w:spacing w:after="0"/>
              <w:rPr>
                <w:sz w:val="20"/>
                <w:szCs w:val="20"/>
                <w:color w:val="auto"/>
              </w:rPr>
            </w:pPr>
            <w:r>
              <w:rPr>
                <w:rFonts w:ascii="Arial" w:cs="Arial" w:eastAsia="Arial" w:hAnsi="Arial"/>
                <w:sz w:val="16"/>
                <w:szCs w:val="16"/>
                <w:color w:val="auto"/>
              </w:rPr>
              <w:t>Executive officer who is also a member</w:t>
            </w:r>
          </w:p>
        </w:tc>
        <w:tc>
          <w:tcPr>
            <w:tcW w:w="3260" w:type="dxa"/>
            <w:vAlign w:val="bottom"/>
            <w:gridSpan w:val="3"/>
          </w:tcPr>
          <w:p>
            <w:pPr>
              <w:ind w:left="1200"/>
              <w:spacing w:after="0"/>
              <w:rPr>
                <w:sz w:val="20"/>
                <w:szCs w:val="20"/>
                <w:color w:val="auto"/>
              </w:rPr>
            </w:pPr>
            <w:r>
              <w:rPr>
                <w:rFonts w:ascii="Arial" w:cs="Arial" w:eastAsia="Arial" w:hAnsi="Arial"/>
                <w:sz w:val="16"/>
                <w:szCs w:val="16"/>
                <w:color w:val="auto"/>
                <w:w w:val="98"/>
              </w:rPr>
              <w:t>Governance and Stockholder</w:t>
            </w:r>
          </w:p>
        </w:tc>
      </w:tr>
      <w:tr>
        <w:trPr>
          <w:trHeight w:val="221"/>
        </w:trPr>
        <w:tc>
          <w:tcPr>
            <w:tcW w:w="4180" w:type="dxa"/>
            <w:vAlign w:val="bottom"/>
            <w:gridSpan w:val="3"/>
          </w:tcPr>
          <w:p>
            <w:pPr>
              <w:spacing w:after="0"/>
              <w:rPr>
                <w:sz w:val="20"/>
                <w:szCs w:val="20"/>
                <w:color w:val="auto"/>
              </w:rPr>
            </w:pPr>
            <w:r>
              <w:rPr>
                <w:rFonts w:ascii="Arial" w:cs="Arial" w:eastAsia="Arial" w:hAnsi="Arial"/>
                <w:sz w:val="16"/>
                <w:szCs w:val="16"/>
                <w:color w:val="auto"/>
              </w:rPr>
              <w:t>of the TI board, an Immediate Family</w:t>
            </w:r>
          </w:p>
        </w:tc>
        <w:tc>
          <w:tcPr>
            <w:tcW w:w="3260" w:type="dxa"/>
            <w:vAlign w:val="bottom"/>
            <w:gridSpan w:val="3"/>
          </w:tcPr>
          <w:p>
            <w:pPr>
              <w:ind w:left="1200"/>
              <w:spacing w:after="0"/>
              <w:rPr>
                <w:sz w:val="20"/>
                <w:szCs w:val="20"/>
                <w:color w:val="auto"/>
              </w:rPr>
            </w:pPr>
            <w:r>
              <w:rPr>
                <w:rFonts w:ascii="Arial" w:cs="Arial" w:eastAsia="Arial" w:hAnsi="Arial"/>
                <w:sz w:val="16"/>
                <w:szCs w:val="16"/>
                <w:color w:val="auto"/>
              </w:rPr>
              <w:t>Relations Committee</w:t>
            </w:r>
          </w:p>
        </w:tc>
      </w:tr>
      <w:tr>
        <w:trPr>
          <w:trHeight w:val="221"/>
        </w:trPr>
        <w:tc>
          <w:tcPr>
            <w:tcW w:w="4180" w:type="dxa"/>
            <w:vAlign w:val="bottom"/>
            <w:gridSpan w:val="3"/>
          </w:tcPr>
          <w:p>
            <w:pPr>
              <w:spacing w:after="0"/>
              <w:rPr>
                <w:sz w:val="20"/>
                <w:szCs w:val="20"/>
                <w:color w:val="auto"/>
              </w:rPr>
            </w:pPr>
            <w:r>
              <w:rPr>
                <w:rFonts w:ascii="Arial" w:cs="Arial" w:eastAsia="Arial" w:hAnsi="Arial"/>
                <w:sz w:val="16"/>
                <w:szCs w:val="16"/>
                <w:color w:val="auto"/>
              </w:rPr>
              <w:t>Member of such person, or an entity in</w:t>
            </w:r>
          </w:p>
        </w:tc>
        <w:tc>
          <w:tcPr>
            <w:tcW w:w="1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1"/>
        </w:trPr>
        <w:tc>
          <w:tcPr>
            <w:tcW w:w="4180" w:type="dxa"/>
            <w:vAlign w:val="bottom"/>
            <w:gridSpan w:val="3"/>
          </w:tcPr>
          <w:p>
            <w:pPr>
              <w:spacing w:after="0"/>
              <w:rPr>
                <w:sz w:val="20"/>
                <w:szCs w:val="20"/>
                <w:color w:val="auto"/>
              </w:rPr>
            </w:pPr>
            <w:r>
              <w:rPr>
                <w:rFonts w:ascii="Arial" w:cs="Arial" w:eastAsia="Arial" w:hAnsi="Arial"/>
                <w:sz w:val="16"/>
                <w:szCs w:val="16"/>
                <w:color w:val="auto"/>
              </w:rPr>
              <w:t>which any of the foregoing has a 5 percent</w:t>
            </w:r>
          </w:p>
        </w:tc>
        <w:tc>
          <w:tcPr>
            <w:tcW w:w="1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1"/>
        </w:trPr>
        <w:tc>
          <w:tcPr>
            <w:tcW w:w="4180" w:type="dxa"/>
            <w:vAlign w:val="bottom"/>
            <w:gridSpan w:val="3"/>
          </w:tcPr>
          <w:p>
            <w:pPr>
              <w:spacing w:after="0"/>
              <w:rPr>
                <w:sz w:val="20"/>
                <w:szCs w:val="20"/>
                <w:color w:val="auto"/>
              </w:rPr>
            </w:pPr>
            <w:r>
              <w:rPr>
                <w:rFonts w:ascii="Arial" w:cs="Arial" w:eastAsia="Arial" w:hAnsi="Arial"/>
                <w:sz w:val="16"/>
                <w:szCs w:val="16"/>
                <w:color w:val="auto"/>
              </w:rPr>
              <w:t>or greater ownership interest</w:t>
            </w:r>
          </w:p>
        </w:tc>
        <w:tc>
          <w:tcPr>
            <w:tcW w:w="1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41"/>
        </w:trPr>
        <w:tc>
          <w:tcPr>
            <w:tcW w:w="4180" w:type="dxa"/>
            <w:vAlign w:val="bottom"/>
            <w:gridSpan w:val="3"/>
          </w:tcPr>
          <w:p>
            <w:pPr>
              <w:spacing w:after="0"/>
              <w:rPr>
                <w:sz w:val="20"/>
                <w:szCs w:val="20"/>
                <w:color w:val="auto"/>
              </w:rPr>
            </w:pPr>
            <w:r>
              <w:rPr>
                <w:rFonts w:ascii="Arial" w:cs="Arial" w:eastAsia="Arial" w:hAnsi="Arial"/>
                <w:sz w:val="16"/>
                <w:szCs w:val="16"/>
                <w:color w:val="auto"/>
              </w:rPr>
              <w:t>Chief compliance officer, any of his or her</w:t>
            </w:r>
          </w:p>
        </w:tc>
        <w:tc>
          <w:tcPr>
            <w:tcW w:w="3260" w:type="dxa"/>
            <w:vAlign w:val="bottom"/>
            <w:gridSpan w:val="3"/>
          </w:tcPr>
          <w:p>
            <w:pPr>
              <w:ind w:left="1200"/>
              <w:spacing w:after="0"/>
              <w:rPr>
                <w:sz w:val="20"/>
                <w:szCs w:val="20"/>
                <w:color w:val="auto"/>
              </w:rPr>
            </w:pPr>
            <w:r>
              <w:rPr>
                <w:rFonts w:ascii="Arial" w:cs="Arial" w:eastAsia="Arial" w:hAnsi="Arial"/>
                <w:sz w:val="16"/>
                <w:szCs w:val="16"/>
                <w:color w:val="auto"/>
                <w:w w:val="98"/>
              </w:rPr>
              <w:t>Governance and Stockholder</w:t>
            </w:r>
          </w:p>
        </w:tc>
      </w:tr>
      <w:tr>
        <w:trPr>
          <w:trHeight w:val="221"/>
        </w:trPr>
        <w:tc>
          <w:tcPr>
            <w:tcW w:w="4180" w:type="dxa"/>
            <w:vAlign w:val="bottom"/>
            <w:gridSpan w:val="3"/>
          </w:tcPr>
          <w:p>
            <w:pPr>
              <w:spacing w:after="0"/>
              <w:rPr>
                <w:sz w:val="20"/>
                <w:szCs w:val="20"/>
                <w:color w:val="auto"/>
              </w:rPr>
            </w:pPr>
            <w:r>
              <w:rPr>
                <w:rFonts w:ascii="Arial" w:cs="Arial" w:eastAsia="Arial" w:hAnsi="Arial"/>
                <w:sz w:val="16"/>
                <w:szCs w:val="16"/>
                <w:color w:val="auto"/>
              </w:rPr>
              <w:t>Immediate Family Members, or an entity</w:t>
            </w:r>
          </w:p>
        </w:tc>
        <w:tc>
          <w:tcPr>
            <w:tcW w:w="3260" w:type="dxa"/>
            <w:vAlign w:val="bottom"/>
            <w:gridSpan w:val="3"/>
          </w:tcPr>
          <w:p>
            <w:pPr>
              <w:ind w:left="1200"/>
              <w:spacing w:after="0"/>
              <w:rPr>
                <w:sz w:val="20"/>
                <w:szCs w:val="20"/>
                <w:color w:val="auto"/>
              </w:rPr>
            </w:pPr>
            <w:r>
              <w:rPr>
                <w:rFonts w:ascii="Arial" w:cs="Arial" w:eastAsia="Arial" w:hAnsi="Arial"/>
                <w:sz w:val="16"/>
                <w:szCs w:val="16"/>
                <w:color w:val="auto"/>
              </w:rPr>
              <w:t>Relations Committee</w:t>
            </w:r>
          </w:p>
        </w:tc>
      </w:tr>
      <w:tr>
        <w:trPr>
          <w:trHeight w:val="221"/>
        </w:trPr>
        <w:tc>
          <w:tcPr>
            <w:tcW w:w="4180" w:type="dxa"/>
            <w:vAlign w:val="bottom"/>
            <w:gridSpan w:val="3"/>
          </w:tcPr>
          <w:p>
            <w:pPr>
              <w:spacing w:after="0"/>
              <w:rPr>
                <w:sz w:val="20"/>
                <w:szCs w:val="20"/>
                <w:color w:val="auto"/>
              </w:rPr>
            </w:pPr>
            <w:r>
              <w:rPr>
                <w:rFonts w:ascii="Arial" w:cs="Arial" w:eastAsia="Arial" w:hAnsi="Arial"/>
                <w:sz w:val="16"/>
                <w:szCs w:val="16"/>
                <w:color w:val="auto"/>
              </w:rPr>
              <w:t>in which any of the foregoing has a 5</w:t>
            </w:r>
          </w:p>
        </w:tc>
        <w:tc>
          <w:tcPr>
            <w:tcW w:w="1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1"/>
        </w:trPr>
        <w:tc>
          <w:tcPr>
            <w:tcW w:w="4180" w:type="dxa"/>
            <w:vAlign w:val="bottom"/>
            <w:gridSpan w:val="3"/>
          </w:tcPr>
          <w:p>
            <w:pPr>
              <w:spacing w:after="0"/>
              <w:rPr>
                <w:sz w:val="20"/>
                <w:szCs w:val="20"/>
                <w:color w:val="auto"/>
              </w:rPr>
            </w:pPr>
            <w:r>
              <w:rPr>
                <w:rFonts w:ascii="Arial" w:cs="Arial" w:eastAsia="Arial" w:hAnsi="Arial"/>
                <w:sz w:val="16"/>
                <w:szCs w:val="16"/>
                <w:color w:val="auto"/>
              </w:rPr>
              <w:t>percent or greater ownership interest</w:t>
            </w:r>
          </w:p>
        </w:tc>
        <w:tc>
          <w:tcPr>
            <w:tcW w:w="1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441"/>
        </w:trPr>
        <w:tc>
          <w:tcPr>
            <w:tcW w:w="4180" w:type="dxa"/>
            <w:vAlign w:val="bottom"/>
            <w:gridSpan w:val="3"/>
          </w:tcPr>
          <w:p>
            <w:pPr>
              <w:spacing w:after="0"/>
              <w:rPr>
                <w:sz w:val="20"/>
                <w:szCs w:val="20"/>
                <w:color w:val="auto"/>
              </w:rPr>
            </w:pPr>
            <w:r>
              <w:rPr>
                <w:rFonts w:ascii="Arial" w:cs="Arial" w:eastAsia="Arial" w:hAnsi="Arial"/>
                <w:sz w:val="16"/>
                <w:szCs w:val="16"/>
                <w:color w:val="auto"/>
              </w:rPr>
              <w:t>Any other director or executive officer,</w:t>
            </w:r>
          </w:p>
        </w:tc>
        <w:tc>
          <w:tcPr>
            <w:tcW w:w="3260" w:type="dxa"/>
            <w:vAlign w:val="bottom"/>
            <w:gridSpan w:val="3"/>
          </w:tcPr>
          <w:p>
            <w:pPr>
              <w:ind w:left="1200"/>
              <w:spacing w:after="0"/>
              <w:rPr>
                <w:sz w:val="20"/>
                <w:szCs w:val="20"/>
                <w:color w:val="auto"/>
              </w:rPr>
            </w:pPr>
            <w:r>
              <w:rPr>
                <w:rFonts w:ascii="Arial" w:cs="Arial" w:eastAsia="Arial" w:hAnsi="Arial"/>
                <w:sz w:val="16"/>
                <w:szCs w:val="16"/>
                <w:color w:val="auto"/>
              </w:rPr>
              <w:t>Chief compliance officer</w:t>
            </w:r>
          </w:p>
        </w:tc>
      </w:tr>
      <w:tr>
        <w:trPr>
          <w:trHeight w:val="221"/>
        </w:trPr>
        <w:tc>
          <w:tcPr>
            <w:tcW w:w="4180" w:type="dxa"/>
            <w:vAlign w:val="bottom"/>
            <w:gridSpan w:val="3"/>
          </w:tcPr>
          <w:p>
            <w:pPr>
              <w:spacing w:after="0"/>
              <w:rPr>
                <w:sz w:val="20"/>
                <w:szCs w:val="20"/>
                <w:color w:val="auto"/>
              </w:rPr>
            </w:pPr>
            <w:r>
              <w:rPr>
                <w:rFonts w:ascii="Arial" w:cs="Arial" w:eastAsia="Arial" w:hAnsi="Arial"/>
                <w:sz w:val="16"/>
                <w:szCs w:val="16"/>
                <w:color w:val="auto"/>
              </w:rPr>
              <w:t>an Immediate Family Member of such</w:t>
            </w:r>
          </w:p>
        </w:tc>
        <w:tc>
          <w:tcPr>
            <w:tcW w:w="3260" w:type="dxa"/>
            <w:vAlign w:val="bottom"/>
            <w:gridSpan w:val="3"/>
          </w:tcPr>
          <w:p>
            <w:pPr>
              <w:ind w:left="1200"/>
              <w:spacing w:after="0"/>
              <w:rPr>
                <w:sz w:val="20"/>
                <w:szCs w:val="20"/>
                <w:color w:val="auto"/>
              </w:rPr>
            </w:pPr>
            <w:r>
              <w:rPr>
                <w:rFonts w:ascii="Arial" w:cs="Arial" w:eastAsia="Arial" w:hAnsi="Arial"/>
                <w:sz w:val="16"/>
                <w:szCs w:val="16"/>
                <w:color w:val="auto"/>
              </w:rPr>
              <w:t>in consultation with the</w:t>
            </w:r>
          </w:p>
        </w:tc>
      </w:tr>
      <w:tr>
        <w:trPr>
          <w:trHeight w:val="221"/>
        </w:trPr>
        <w:tc>
          <w:tcPr>
            <w:tcW w:w="4180" w:type="dxa"/>
            <w:vAlign w:val="bottom"/>
            <w:gridSpan w:val="3"/>
          </w:tcPr>
          <w:p>
            <w:pPr>
              <w:spacing w:after="0"/>
              <w:rPr>
                <w:sz w:val="20"/>
                <w:szCs w:val="20"/>
                <w:color w:val="auto"/>
              </w:rPr>
            </w:pPr>
            <w:r>
              <w:rPr>
                <w:rFonts w:ascii="Arial" w:cs="Arial" w:eastAsia="Arial" w:hAnsi="Arial"/>
                <w:sz w:val="16"/>
                <w:szCs w:val="16"/>
                <w:color w:val="auto"/>
              </w:rPr>
              <w:t>person, or an entity in which any of</w:t>
            </w:r>
          </w:p>
        </w:tc>
        <w:tc>
          <w:tcPr>
            <w:tcW w:w="3260" w:type="dxa"/>
            <w:vAlign w:val="bottom"/>
            <w:gridSpan w:val="3"/>
          </w:tcPr>
          <w:p>
            <w:pPr>
              <w:ind w:left="1200"/>
              <w:spacing w:after="0"/>
              <w:rPr>
                <w:sz w:val="20"/>
                <w:szCs w:val="20"/>
                <w:color w:val="auto"/>
              </w:rPr>
            </w:pPr>
            <w:r>
              <w:rPr>
                <w:rFonts w:ascii="Arial" w:cs="Arial" w:eastAsia="Arial" w:hAnsi="Arial"/>
                <w:sz w:val="16"/>
                <w:szCs w:val="16"/>
                <w:color w:val="auto"/>
              </w:rPr>
              <w:t>Chair of the Governance</w:t>
            </w:r>
          </w:p>
        </w:tc>
      </w:tr>
      <w:tr>
        <w:trPr>
          <w:trHeight w:val="221"/>
        </w:trPr>
        <w:tc>
          <w:tcPr>
            <w:tcW w:w="4180" w:type="dxa"/>
            <w:vAlign w:val="bottom"/>
            <w:gridSpan w:val="3"/>
          </w:tcPr>
          <w:p>
            <w:pPr>
              <w:spacing w:after="0"/>
              <w:rPr>
                <w:sz w:val="20"/>
                <w:szCs w:val="20"/>
                <w:color w:val="auto"/>
              </w:rPr>
            </w:pPr>
            <w:r>
              <w:rPr>
                <w:rFonts w:ascii="Arial" w:cs="Arial" w:eastAsia="Arial" w:hAnsi="Arial"/>
                <w:sz w:val="16"/>
                <w:szCs w:val="16"/>
                <w:color w:val="auto"/>
              </w:rPr>
              <w:t>the foregoing has a 5 percent or greater</w:t>
            </w:r>
          </w:p>
        </w:tc>
        <w:tc>
          <w:tcPr>
            <w:tcW w:w="3260" w:type="dxa"/>
            <w:vAlign w:val="bottom"/>
            <w:gridSpan w:val="3"/>
          </w:tcPr>
          <w:p>
            <w:pPr>
              <w:ind w:left="1200"/>
              <w:spacing w:after="0"/>
              <w:rPr>
                <w:sz w:val="20"/>
                <w:szCs w:val="20"/>
                <w:color w:val="auto"/>
              </w:rPr>
            </w:pPr>
            <w:r>
              <w:rPr>
                <w:rFonts w:ascii="Arial" w:cs="Arial" w:eastAsia="Arial" w:hAnsi="Arial"/>
                <w:sz w:val="16"/>
                <w:szCs w:val="16"/>
                <w:color w:val="auto"/>
              </w:rPr>
              <w:t>and Stockholder Relations</w:t>
            </w:r>
          </w:p>
        </w:tc>
      </w:tr>
      <w:tr>
        <w:trPr>
          <w:trHeight w:val="221"/>
        </w:trPr>
        <w:tc>
          <w:tcPr>
            <w:tcW w:w="4180" w:type="dxa"/>
            <w:vAlign w:val="bottom"/>
            <w:gridSpan w:val="3"/>
          </w:tcPr>
          <w:p>
            <w:pPr>
              <w:spacing w:after="0"/>
              <w:rPr>
                <w:sz w:val="20"/>
                <w:szCs w:val="20"/>
                <w:color w:val="auto"/>
              </w:rPr>
            </w:pPr>
            <w:r>
              <w:rPr>
                <w:rFonts w:ascii="Arial" w:cs="Arial" w:eastAsia="Arial" w:hAnsi="Arial"/>
                <w:sz w:val="16"/>
                <w:szCs w:val="16"/>
                <w:color w:val="auto"/>
              </w:rPr>
              <w:t>ownership interest</w:t>
            </w:r>
          </w:p>
        </w:tc>
        <w:tc>
          <w:tcPr>
            <w:tcW w:w="3260" w:type="dxa"/>
            <w:vAlign w:val="bottom"/>
            <w:gridSpan w:val="3"/>
          </w:tcPr>
          <w:p>
            <w:pPr>
              <w:ind w:left="1200"/>
              <w:spacing w:after="0"/>
              <w:rPr>
                <w:sz w:val="20"/>
                <w:szCs w:val="20"/>
                <w:color w:val="auto"/>
              </w:rPr>
            </w:pPr>
            <w:r>
              <w:rPr>
                <w:rFonts w:ascii="Arial" w:cs="Arial" w:eastAsia="Arial" w:hAnsi="Arial"/>
                <w:sz w:val="16"/>
                <w:szCs w:val="16"/>
                <w:color w:val="auto"/>
              </w:rPr>
              <w:t>Committee</w:t>
            </w:r>
          </w:p>
        </w:tc>
      </w:tr>
      <w:tr>
        <w:trPr>
          <w:trHeight w:val="441"/>
        </w:trPr>
        <w:tc>
          <w:tcPr>
            <w:tcW w:w="4180" w:type="dxa"/>
            <w:vAlign w:val="bottom"/>
            <w:gridSpan w:val="3"/>
          </w:tcPr>
          <w:p>
            <w:pPr>
              <w:spacing w:after="0"/>
              <w:rPr>
                <w:sz w:val="20"/>
                <w:szCs w:val="20"/>
                <w:color w:val="auto"/>
              </w:rPr>
            </w:pPr>
            <w:r>
              <w:rPr>
                <w:rFonts w:ascii="Arial" w:cs="Arial" w:eastAsia="Arial" w:hAnsi="Arial"/>
                <w:sz w:val="16"/>
                <w:szCs w:val="16"/>
                <w:color w:val="auto"/>
              </w:rPr>
              <w:t>A 5 percent holder</w:t>
            </w:r>
          </w:p>
        </w:tc>
        <w:tc>
          <w:tcPr>
            <w:tcW w:w="3260" w:type="dxa"/>
            <w:vAlign w:val="bottom"/>
            <w:gridSpan w:val="3"/>
          </w:tcPr>
          <w:p>
            <w:pPr>
              <w:ind w:left="1200"/>
              <w:spacing w:after="0"/>
              <w:rPr>
                <w:sz w:val="20"/>
                <w:szCs w:val="20"/>
                <w:color w:val="auto"/>
              </w:rPr>
            </w:pPr>
            <w:r>
              <w:rPr>
                <w:rFonts w:ascii="Arial" w:cs="Arial" w:eastAsia="Arial" w:hAnsi="Arial"/>
                <w:sz w:val="16"/>
                <w:szCs w:val="16"/>
                <w:color w:val="auto"/>
                <w:w w:val="98"/>
              </w:rPr>
              <w:t>Governance and Stockholder</w:t>
            </w:r>
          </w:p>
        </w:tc>
      </w:tr>
      <w:tr>
        <w:trPr>
          <w:trHeight w:val="221"/>
        </w:trPr>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260" w:type="dxa"/>
            <w:vAlign w:val="bottom"/>
            <w:gridSpan w:val="3"/>
          </w:tcPr>
          <w:p>
            <w:pPr>
              <w:ind w:left="1200"/>
              <w:spacing w:after="0"/>
              <w:rPr>
                <w:sz w:val="20"/>
                <w:szCs w:val="20"/>
                <w:color w:val="auto"/>
              </w:rPr>
            </w:pPr>
            <w:r>
              <w:rPr>
                <w:rFonts w:ascii="Arial" w:cs="Arial" w:eastAsia="Arial" w:hAnsi="Arial"/>
                <w:sz w:val="16"/>
                <w:szCs w:val="16"/>
                <w:color w:val="auto"/>
              </w:rPr>
              <w:t>Relations Committee</w:t>
            </w:r>
          </w:p>
        </w:tc>
      </w:tr>
      <w:tr>
        <w:trPr>
          <w:trHeight w:val="613"/>
        </w:trPr>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720" w:type="dxa"/>
            <w:vAlign w:val="bottom"/>
            <w:gridSpan w:val="2"/>
          </w:tcPr>
          <w:p>
            <w:pPr>
              <w:ind w:left="1440"/>
              <w:spacing w:after="0"/>
              <w:rPr>
                <w:sz w:val="20"/>
                <w:szCs w:val="20"/>
                <w:color w:val="auto"/>
              </w:rPr>
            </w:pPr>
            <w:r>
              <w:rPr>
                <w:rFonts w:ascii="Arial" w:cs="Arial" w:eastAsia="Arial" w:hAnsi="Arial"/>
                <w:sz w:val="16"/>
                <w:szCs w:val="16"/>
                <w:color w:val="auto"/>
              </w:rPr>
              <w:t>54</w:t>
            </w:r>
          </w:p>
        </w:tc>
        <w:tc>
          <w:tcPr>
            <w:tcW w:w="5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7279640" cy="203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88" w:lineRule="exact"/>
        <w:rPr>
          <w:sz w:val="20"/>
          <w:szCs w:val="20"/>
          <w:color w:val="auto"/>
        </w:rPr>
      </w:pPr>
    </w:p>
    <w:p>
      <w:pPr>
        <w:ind w:left="2" w:right="100"/>
        <w:spacing w:after="0" w:line="250" w:lineRule="auto"/>
        <w:rPr>
          <w:sz w:val="20"/>
          <w:szCs w:val="20"/>
          <w:color w:val="auto"/>
        </w:rPr>
      </w:pPr>
      <w:r>
        <w:rPr>
          <w:rFonts w:ascii="Arial" w:cs="Arial" w:eastAsia="Arial" w:hAnsi="Arial"/>
          <w:sz w:val="16"/>
          <w:szCs w:val="16"/>
          <w:color w:val="auto"/>
        </w:rPr>
        <w:t>No member of the Governance and Stockholder Relations Committee will participate in the consideration of a related person arrangement in which such member or any of his or her Immediate Family Members is the related person.</w:t>
      </w:r>
    </w:p>
    <w:p>
      <w:pPr>
        <w:spacing w:after="0" w:line="180" w:lineRule="exact"/>
        <w:rPr>
          <w:sz w:val="20"/>
          <w:szCs w:val="20"/>
          <w:color w:val="auto"/>
        </w:rPr>
      </w:pPr>
    </w:p>
    <w:p>
      <w:pPr>
        <w:ind w:left="2" w:right="40"/>
        <w:spacing w:after="0" w:line="241" w:lineRule="auto"/>
        <w:rPr>
          <w:sz w:val="20"/>
          <w:szCs w:val="20"/>
          <w:color w:val="auto"/>
        </w:rPr>
      </w:pPr>
      <w:r>
        <w:rPr>
          <w:rFonts w:ascii="Arial" w:cs="Arial" w:eastAsia="Arial" w:hAnsi="Arial"/>
          <w:sz w:val="16"/>
          <w:szCs w:val="16"/>
          <w:color w:val="auto"/>
        </w:rPr>
        <w:t>The approving body or persons will consider all of the relevant facts and circumstances available to them, including (if applicable) but not limited to: the benefits to the company of the arrangement; the impact on a director’s independence; the availability of other sources for comparable products or services; the terms of the arrangement; and the terms available to unrelated third parties or to employees generally. The primary consideration is whether the transaction between TI and the related person (a) was the result of undue influence from the related person or (b) could adversely influence or appear to adversely influence the judgment, decisions or actions of the director or executive officer in meeting TI responsibilities or create obligations to other organizations that may come in conflict with responsibilities to TI.</w:t>
      </w:r>
    </w:p>
    <w:p>
      <w:pPr>
        <w:spacing w:after="0" w:line="190" w:lineRule="exact"/>
        <w:rPr>
          <w:sz w:val="20"/>
          <w:szCs w:val="20"/>
          <w:color w:val="auto"/>
        </w:rPr>
      </w:pPr>
    </w:p>
    <w:p>
      <w:pPr>
        <w:ind w:left="2" w:right="180"/>
        <w:spacing w:after="0" w:line="250" w:lineRule="auto"/>
        <w:rPr>
          <w:sz w:val="20"/>
          <w:szCs w:val="20"/>
          <w:color w:val="auto"/>
        </w:rPr>
      </w:pPr>
      <w:r>
        <w:rPr>
          <w:rFonts w:ascii="Arial" w:cs="Arial" w:eastAsia="Arial" w:hAnsi="Arial"/>
          <w:sz w:val="16"/>
          <w:szCs w:val="16"/>
          <w:color w:val="auto"/>
        </w:rPr>
        <w:t>No related person arrangement will be approved unless it is determined to be in, or not inconsistent with, the best interests of the company and its stockholders, as the approving body or persons shall determine in good faith.</w:t>
      </w:r>
    </w:p>
    <w:p>
      <w:pPr>
        <w:spacing w:after="0" w:line="180" w:lineRule="exact"/>
        <w:rPr>
          <w:sz w:val="20"/>
          <w:szCs w:val="20"/>
          <w:color w:val="auto"/>
        </w:rPr>
      </w:pPr>
    </w:p>
    <w:p>
      <w:pPr>
        <w:ind w:left="2" w:right="120"/>
        <w:spacing w:after="0" w:line="245" w:lineRule="auto"/>
        <w:rPr>
          <w:sz w:val="20"/>
          <w:szCs w:val="20"/>
          <w:color w:val="auto"/>
        </w:rPr>
      </w:pPr>
      <w:r>
        <w:rPr>
          <w:rFonts w:ascii="Arial" w:cs="Arial" w:eastAsia="Arial" w:hAnsi="Arial"/>
          <w:sz w:val="16"/>
          <w:szCs w:val="16"/>
          <w:color w:val="auto"/>
        </w:rPr>
        <w:t>The chief compliance officer will provide periodic reports to the committee on related person transactions. Any related person transaction brought to the attention of the chief compliance officer or of which the chief compliance officer becomes aware that is not approved pursuant to the process set forth above shall be terminated as soon as practicable.</w:t>
      </w:r>
    </w:p>
    <w:p>
      <w:pPr>
        <w:spacing w:after="0" w:line="184" w:lineRule="exact"/>
        <w:rPr>
          <w:sz w:val="20"/>
          <w:szCs w:val="20"/>
          <w:color w:val="auto"/>
        </w:rPr>
      </w:pPr>
    </w:p>
    <w:p>
      <w:pPr>
        <w:ind w:left="2" w:right="80"/>
        <w:spacing w:after="0" w:line="241" w:lineRule="auto"/>
        <w:rPr>
          <w:sz w:val="20"/>
          <w:szCs w:val="20"/>
          <w:color w:val="auto"/>
        </w:rPr>
      </w:pPr>
      <w:r>
        <w:rPr>
          <w:rFonts w:ascii="Arial" w:cs="Arial" w:eastAsia="Arial" w:hAnsi="Arial"/>
          <w:sz w:val="16"/>
          <w:szCs w:val="16"/>
          <w:color w:val="auto"/>
        </w:rPr>
        <w:t>Joseph F. Hubach, senior vice president, secretary, general counsel and chief compliance officer of the company, is the brother of Francis P. Hubach, Jr., partner of the law firm of Jones Day who, until January 1, 2008, was in charge of the firm’s Dallas, Texas office. The company, whose relationship with Jones Day began before Mr. J. Hubach joined the company, engaged the services of Jones Day during 2007. Mr. F. Hubach provides no services to the company. In accordance with TI’s policy, the committee reviewed the details of this relationship and, having determined that Mr. F. Hubach has no material interest, direct or indirect, in the transactions between TI and Jones Day, approved the continued engagement of Jones Day by the company. Mr. J. Hubach did not participate in any discussions regarding this matter. Given the determination that Mr. F. Hubach has no material interest, this relationship is not a related person transaction. However, TI discloses it in the interest of transparency.</w:t>
      </w:r>
    </w:p>
    <w:p>
      <w:pPr>
        <w:spacing w:after="0" w:line="169" w:lineRule="exact"/>
        <w:rPr>
          <w:sz w:val="20"/>
          <w:szCs w:val="20"/>
          <w:color w:val="auto"/>
        </w:rPr>
      </w:pPr>
    </w:p>
    <w:p>
      <w:pPr>
        <w:ind w:left="2"/>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216" w:lineRule="exact"/>
        <w:rPr>
          <w:sz w:val="20"/>
          <w:szCs w:val="20"/>
          <w:color w:val="auto"/>
        </w:rPr>
      </w:pPr>
    </w:p>
    <w:p>
      <w:pPr>
        <w:ind w:left="2" w:right="120"/>
        <w:spacing w:after="0" w:line="243" w:lineRule="auto"/>
        <w:rPr>
          <w:sz w:val="20"/>
          <w:szCs w:val="20"/>
          <w:color w:val="auto"/>
        </w:rPr>
      </w:pPr>
      <w:r>
        <w:rPr>
          <w:rFonts w:ascii="Arial" w:cs="Arial" w:eastAsia="Arial" w:hAnsi="Arial"/>
          <w:sz w:val="16"/>
          <w:szCs w:val="16"/>
          <w:color w:val="auto"/>
        </w:rPr>
        <w:t>During 2007, Mr. Carp, Ms. Simmons and Ms. Whitman served on the Compensation Committee. No committee member (i) was an officer or employee of TI, (ii) was formerly an officer of TI, or (iii) had any relationship requiring disclosure under the SEC’s rules governing disclosure of related person transactions (Item 404 of Regulation S-K). No executive officer of TI served as a director or member of the compensation committee of another entity, one of whose directors or executive officers served as a member of our board of directors or a member of the Compensation Committee.</w:t>
      </w:r>
    </w:p>
    <w:p>
      <w:pPr>
        <w:sectPr>
          <w:pgSz w:w="11900" w:h="16838" w:orient="portrait"/>
          <w:cols w:equalWidth="0" w:num="1">
            <w:col w:w="11422"/>
          </w:cols>
          <w:pgMar w:left="238" w:top="142" w:right="239" w:bottom="0" w:gutter="0" w:footer="0" w:header="0"/>
        </w:sectPr>
      </w:pPr>
    </w:p>
    <w:bookmarkStart w:id="35" w:name="page36"/>
    <w:bookmarkEnd w:id="35"/>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 of Solicitation</w:t>
      </w:r>
    </w:p>
    <w:p>
      <w:pPr>
        <w:spacing w:after="0" w:line="216" w:lineRule="exact"/>
        <w:rPr>
          <w:sz w:val="20"/>
          <w:szCs w:val="20"/>
          <w:color w:val="auto"/>
        </w:rPr>
      </w:pPr>
    </w:p>
    <w:p>
      <w:pPr>
        <w:ind w:right="420"/>
        <w:spacing w:after="0" w:line="283" w:lineRule="auto"/>
        <w:rPr>
          <w:sz w:val="20"/>
          <w:szCs w:val="20"/>
          <w:color w:val="auto"/>
        </w:rPr>
      </w:pPr>
      <w:r>
        <w:rPr>
          <w:rFonts w:ascii="Arial" w:cs="Arial" w:eastAsia="Arial" w:hAnsi="Arial"/>
          <w:sz w:val="15"/>
          <w:szCs w:val="15"/>
          <w:color w:val="auto"/>
        </w:rPr>
        <w:t>The solicitation is made on behalf of our board of directors. TI will pay the cost of soliciting these proxies. We will reimburse brokerage houses and other custodians, nominees and fiduciaries for reasonable expenses they incur in sending these proxy materials to you if you are a beneficial holder of our shares.</w:t>
      </w:r>
    </w:p>
    <w:p>
      <w:pPr>
        <w:spacing w:after="0" w:line="157"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Without receiving additional compensation, officials and regular employees of TI may solicit proxies personally, by telephone, fax or e-mail from some stockholders if proxies are not promptly received. We have also hired Georgeson Shareholder Communications Inc. to assist in the solicitation of proxies at a cost of $12,000 plus out-of-pocket expenses.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Proposals for 2009</w:t>
      </w:r>
    </w:p>
    <w:p>
      <w:pPr>
        <w:spacing w:after="0" w:line="216"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If you wish to submit a proposal for possible inclusion in TI’s 2009 proxy material, we must receive your notice, in accordance with rules of the SEC, on or before November 7, 2008. Proposals are to be sent to: Texas Instruments Incorporated, 12500 TI Boulevard, MS 8658, Dallas, Texas, 75243, Attn: Secretary.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9640" cy="203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96"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If you wish to submit a proposal at the 2009 annual meeting (but not seek inclusion of the proposal in the company’s proxy material), we must receive your notice, in accordance with the company’s by-laws, on or before January 17, 2009.</w:t>
      </w:r>
    </w:p>
    <w:p>
      <w:pPr>
        <w:spacing w:after="0" w:line="180" w:lineRule="exact"/>
        <w:rPr>
          <w:sz w:val="20"/>
          <w:szCs w:val="20"/>
          <w:color w:val="auto"/>
        </w:rPr>
      </w:pPr>
    </w:p>
    <w:p>
      <w:pPr>
        <w:ind w:right="40"/>
        <w:spacing w:after="0" w:line="242" w:lineRule="auto"/>
        <w:rPr>
          <w:sz w:val="20"/>
          <w:szCs w:val="20"/>
          <w:color w:val="auto"/>
        </w:rPr>
      </w:pPr>
      <w:r>
        <w:rPr>
          <w:rFonts w:ascii="Arial" w:cs="Arial" w:eastAsia="Arial" w:hAnsi="Arial"/>
          <w:sz w:val="16"/>
          <w:szCs w:val="16"/>
          <w:color w:val="auto"/>
        </w:rPr>
        <w:t>All suggestions from stockholders concerning the company’s business are welcome and will be carefully considered by TI’s management. To ensure that your suggestions receive appropriate review, the Governance and Stockholder Relations Committee from time to time reviews correspondence from stockholders and management’s responses. Stockholders are thereby given access at the board level without having to resort to formal stockholder proposals. Generally, the board prefers you present your views in this manner rather than through the process of formal stockholder proposals. Please see page 5 for information on contacting the board.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Quorum Requirement</w:t>
      </w:r>
    </w:p>
    <w:p>
      <w:pPr>
        <w:spacing w:after="0" w:line="216" w:lineRule="exact"/>
        <w:rPr>
          <w:sz w:val="20"/>
          <w:szCs w:val="20"/>
          <w:color w:val="auto"/>
        </w:rPr>
      </w:pPr>
    </w:p>
    <w:p>
      <w:pPr>
        <w:ind w:right="480"/>
        <w:spacing w:after="0" w:line="250" w:lineRule="auto"/>
        <w:rPr>
          <w:sz w:val="20"/>
          <w:szCs w:val="20"/>
          <w:color w:val="auto"/>
        </w:rPr>
      </w:pPr>
      <w:r>
        <w:rPr>
          <w:rFonts w:ascii="Arial" w:cs="Arial" w:eastAsia="Arial" w:hAnsi="Arial"/>
          <w:sz w:val="16"/>
          <w:szCs w:val="16"/>
          <w:color w:val="auto"/>
        </w:rPr>
        <w:t>A quorum of stockholders is necessary to hold a valid meeting. If at least a majority of the shares of TI stock issued and outstanding and entitled to vote are present in person or by proxy, a quorum will exist.</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216" w:lineRule="exact"/>
        <w:rPr>
          <w:sz w:val="20"/>
          <w:szCs w:val="20"/>
          <w:color w:val="auto"/>
        </w:rPr>
      </w:pPr>
    </w:p>
    <w:p>
      <w:pPr>
        <w:ind w:right="400"/>
        <w:spacing w:after="0" w:line="250" w:lineRule="auto"/>
        <w:rPr>
          <w:sz w:val="20"/>
          <w:szCs w:val="20"/>
          <w:color w:val="auto"/>
        </w:rPr>
      </w:pPr>
      <w:r>
        <w:rPr>
          <w:rFonts w:ascii="Arial" w:cs="Arial" w:eastAsia="Arial" w:hAnsi="Arial"/>
          <w:sz w:val="16"/>
          <w:szCs w:val="16"/>
          <w:color w:val="auto"/>
        </w:rPr>
        <w:t>For all matters submitted at the meeting, including the election of directors, an affirmative vote of the majority of the shares present in person or by proxy and entitled to vote thereon is necessary for approval.</w:t>
      </w:r>
    </w:p>
    <w:p>
      <w:pPr>
        <w:spacing w:after="0" w:line="180"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We do not expect any matters to be presented for a vote at the annual meeting other than (1) the election of directors, (2) the proposal to ratify the appointment of the company’s independent registered public accounting firm for 2008 and (3) the stockholder proposal. If you grant a proxy, the persons named in the proxy will have the discretion to vote your shares on any additional matters properly presented for a vote at the meeting.</w:t>
      </w:r>
    </w:p>
    <w:p>
      <w:pPr>
        <w:spacing w:after="0" w:line="184" w:lineRule="exact"/>
        <w:rPr>
          <w:sz w:val="20"/>
          <w:szCs w:val="20"/>
          <w:color w:val="auto"/>
        </w:rPr>
      </w:pPr>
    </w:p>
    <w:p>
      <w:pPr>
        <w:ind w:right="40"/>
        <w:spacing w:after="0" w:line="261" w:lineRule="auto"/>
        <w:rPr>
          <w:sz w:val="20"/>
          <w:szCs w:val="20"/>
          <w:color w:val="auto"/>
        </w:rPr>
      </w:pPr>
      <w:r>
        <w:rPr>
          <w:rFonts w:ascii="Arial" w:cs="Arial" w:eastAsia="Arial" w:hAnsi="Arial"/>
          <w:sz w:val="15"/>
          <w:szCs w:val="15"/>
          <w:color w:val="auto"/>
        </w:rPr>
        <w:t>Under Delaware law and the company’s Restated Certificate of Incorporation and by-laws, the aggregate number of votes entitled to be cast by all stockholders present in person or represented by proxy at the meeting, whether those stockholders vote FOR, AGAINST or abstain from voting, will be counted for purposes of determining the minimum number of affirmative votes required for approval of such matters. The total number of votes cast FOR each of these matters will be counted for purposes of determining whether sufficient affirmative votes have been cast. An abstention from voting on a matter by a stockholder present in person or represented by proxy at the meeting has the same legal effect as a vote AGAINST the matter even though the stockholder or interested parties analyzing the results of the voting may interpret such a vote differently. TI has appointed independent inspectors of election to tabulate the voting for the meeting.</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Benefit Plan Voting</w:t>
      </w:r>
    </w:p>
    <w:p>
      <w:pPr>
        <w:spacing w:after="0" w:line="216"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If you are a participant in the TI Contribution and 401(k) Savings Plan, or the TI 401(k) Savings Plan, you are a “named fiduciary” under the plans and are entitled to direct the voting of shares allocable to your accounts under these plans. The trustee administering your plan will vote your shares in accordance with your instructions. If you wish to instruct the trustee on the voting of shares held for your accounts, you should do so by April 14, 2008, in the manner described in the notice of meeting.</w:t>
      </w:r>
    </w:p>
    <w:p>
      <w:pPr>
        <w:spacing w:after="0" w:line="186"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Additionally, participants under the plans are designated as “named fiduciaries” for the purpose of voting TI stock held under the plans for which no voting direction is received. TI shares held by the TI 401(k) savings plans for which no voting instructions are received by April 14, 2008, will be voted in the same proportions as the shares in the plans for which voting instructions have been received by that date.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Section 16(a) Beneficial Ownership Reporting Compliance</w:t>
      </w:r>
    </w:p>
    <w:p>
      <w:pPr>
        <w:spacing w:after="0" w:line="216" w:lineRule="exact"/>
        <w:rPr>
          <w:sz w:val="20"/>
          <w:szCs w:val="20"/>
          <w:color w:val="auto"/>
        </w:rPr>
      </w:pPr>
    </w:p>
    <w:p>
      <w:pPr>
        <w:jc w:val="both"/>
        <w:ind w:right="300"/>
        <w:spacing w:after="0" w:line="245" w:lineRule="auto"/>
        <w:rPr>
          <w:sz w:val="20"/>
          <w:szCs w:val="20"/>
          <w:color w:val="auto"/>
        </w:rPr>
      </w:pPr>
      <w:r>
        <w:rPr>
          <w:rFonts w:ascii="Arial" w:cs="Arial" w:eastAsia="Arial" w:hAnsi="Arial"/>
          <w:sz w:val="16"/>
          <w:szCs w:val="16"/>
          <w:color w:val="auto"/>
        </w:rPr>
        <w:t>Section 16(a) of the Securities Exchange Act of 1934 requires certain persons, including the company’s directors and executive officers, to file reports with the SEC regarding beneficial ownership of certain equity securities of the company. During 2007, due to an inadvertent clerical error at the company, Mr. Kevin J. Ritchie had one Form 4 that was filed one day late.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9640" cy="203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Telephone and Internet Voting</w:t>
      </w:r>
    </w:p>
    <w:p>
      <w:pPr>
        <w:spacing w:after="0" w:line="196" w:lineRule="exact"/>
        <w:rPr>
          <w:sz w:val="20"/>
          <w:szCs w:val="20"/>
          <w:color w:val="auto"/>
        </w:rPr>
      </w:pPr>
    </w:p>
    <w:p>
      <w:pPr>
        <w:jc w:val="both"/>
        <w:ind w:right="40"/>
        <w:spacing w:after="0" w:line="258" w:lineRule="auto"/>
        <w:rPr>
          <w:sz w:val="20"/>
          <w:szCs w:val="20"/>
          <w:color w:val="auto"/>
        </w:rPr>
      </w:pPr>
      <w:r>
        <w:rPr>
          <w:rFonts w:ascii="Arial" w:cs="Arial" w:eastAsia="Arial" w:hAnsi="Arial"/>
          <w:sz w:val="16"/>
          <w:szCs w:val="16"/>
          <w:b w:val="1"/>
          <w:bCs w:val="1"/>
          <w:color w:val="auto"/>
        </w:rPr>
        <w:t xml:space="preserve">Registered Stockholders and Benefit Plan Participants. </w:t>
      </w:r>
      <w:r>
        <w:rPr>
          <w:rFonts w:ascii="Arial" w:cs="Arial" w:eastAsia="Arial" w:hAnsi="Arial"/>
          <w:sz w:val="16"/>
          <w:szCs w:val="16"/>
          <w:color w:val="auto"/>
        </w:rPr>
        <w:t>Stockholders with shares registered directly with Computershare (TI’s transfer agent) and participants</w:t>
      </w:r>
      <w:r>
        <w:rPr>
          <w:rFonts w:ascii="Arial" w:cs="Arial" w:eastAsia="Arial" w:hAnsi="Arial"/>
          <w:sz w:val="16"/>
          <w:szCs w:val="16"/>
          <w:b w:val="1"/>
          <w:bCs w:val="1"/>
          <w:color w:val="auto"/>
        </w:rPr>
        <w:t xml:space="preserve"> </w:t>
      </w:r>
      <w:r>
        <w:rPr>
          <w:rFonts w:ascii="Arial" w:cs="Arial" w:eastAsia="Arial" w:hAnsi="Arial"/>
          <w:sz w:val="16"/>
          <w:szCs w:val="16"/>
          <w:color w:val="auto"/>
        </w:rPr>
        <w:t>who beneficially own shares in a TI benefit plan may vote telephonically by calling (800) 690-6903 (within the U.S. and Canada only, toll-free) or via the Internet at www.proxyvote.com.</w:t>
      </w:r>
    </w:p>
    <w:p>
      <w:pPr>
        <w:spacing w:after="0" w:line="174" w:lineRule="exact"/>
        <w:rPr>
          <w:sz w:val="20"/>
          <w:szCs w:val="20"/>
          <w:color w:val="auto"/>
        </w:rPr>
      </w:pPr>
    </w:p>
    <w:p>
      <w:pPr>
        <w:ind w:right="260"/>
        <w:spacing w:after="0" w:line="245" w:lineRule="auto"/>
        <w:rPr>
          <w:sz w:val="20"/>
          <w:szCs w:val="20"/>
          <w:color w:val="auto"/>
        </w:rPr>
      </w:pPr>
      <w:r>
        <w:rPr>
          <w:rFonts w:ascii="Arial" w:cs="Arial" w:eastAsia="Arial" w:hAnsi="Arial"/>
          <w:sz w:val="16"/>
          <w:szCs w:val="16"/>
          <w:color w:val="auto"/>
        </w:rPr>
        <w:t>The telephone and Internet voting procedures are designed to authenticate stockholders’ identities, to allow stockholders to give their voting instructions and to confirm that stockholders’ instructions have been recorded properly. TI has been advised by counsel that the telephone and Internet voting procedures, which have been made available through Broadridge Investor Communication Solutions, Inc., are consistent with the requirements of applicable law.</w:t>
      </w:r>
    </w:p>
    <w:p>
      <w:pPr>
        <w:spacing w:after="0" w:line="164" w:lineRule="exact"/>
        <w:rPr>
          <w:sz w:val="20"/>
          <w:szCs w:val="20"/>
          <w:color w:val="auto"/>
        </w:rPr>
      </w:pPr>
    </w:p>
    <w:p>
      <w:pPr>
        <w:jc w:val="both"/>
        <w:ind w:right="120"/>
        <w:spacing w:after="0" w:line="258" w:lineRule="auto"/>
        <w:rPr>
          <w:sz w:val="20"/>
          <w:szCs w:val="20"/>
          <w:color w:val="auto"/>
        </w:rPr>
      </w:pPr>
      <w:r>
        <w:rPr>
          <w:rFonts w:ascii="Arial" w:cs="Arial" w:eastAsia="Arial" w:hAnsi="Arial"/>
          <w:sz w:val="16"/>
          <w:szCs w:val="16"/>
          <w:b w:val="1"/>
          <w:bCs w:val="1"/>
          <w:color w:val="auto"/>
        </w:rPr>
        <w:t xml:space="preserve">Stockholders with Shares Registered in the Name of a Brokerage Firm or Bank. </w:t>
      </w:r>
      <w:r>
        <w:rPr>
          <w:rFonts w:ascii="Arial" w:cs="Arial" w:eastAsia="Arial" w:hAnsi="Arial"/>
          <w:sz w:val="16"/>
          <w:szCs w:val="16"/>
          <w:color w:val="auto"/>
        </w:rPr>
        <w:t>A number of brokerage firms and banks offer telephone and Internet voting</w:t>
      </w:r>
      <w:r>
        <w:rPr>
          <w:rFonts w:ascii="Arial" w:cs="Arial" w:eastAsia="Arial" w:hAnsi="Arial"/>
          <w:sz w:val="16"/>
          <w:szCs w:val="16"/>
          <w:b w:val="1"/>
          <w:bCs w:val="1"/>
          <w:color w:val="auto"/>
        </w:rPr>
        <w:t xml:space="preserve"> </w:t>
      </w:r>
      <w:r>
        <w:rPr>
          <w:rFonts w:ascii="Arial" w:cs="Arial" w:eastAsia="Arial" w:hAnsi="Arial"/>
          <w:sz w:val="16"/>
          <w:szCs w:val="16"/>
          <w:color w:val="auto"/>
        </w:rPr>
        <w:t>options. These programs may differ from the program provided to registered stockholders and benefit plan participants. Check the information forwarded by your bank, broker or other holder of record to see which options are available to you.</w:t>
      </w:r>
    </w:p>
    <w:p>
      <w:pPr>
        <w:spacing w:after="0" w:line="174" w:lineRule="exact"/>
        <w:rPr>
          <w:sz w:val="20"/>
          <w:szCs w:val="20"/>
          <w:color w:val="auto"/>
        </w:rPr>
      </w:pPr>
    </w:p>
    <w:p>
      <w:pPr>
        <w:ind w:right="640"/>
        <w:spacing w:after="0" w:line="250" w:lineRule="auto"/>
        <w:rPr>
          <w:sz w:val="20"/>
          <w:szCs w:val="20"/>
          <w:color w:val="auto"/>
        </w:rPr>
      </w:pPr>
      <w:r>
        <w:rPr>
          <w:rFonts w:ascii="Arial" w:cs="Arial" w:eastAsia="Arial" w:hAnsi="Arial"/>
          <w:sz w:val="16"/>
          <w:szCs w:val="16"/>
          <w:color w:val="auto"/>
        </w:rPr>
        <w:t>Stockholders voting via the Internet should understand that there may be costs associated with electronic access, such as usage charges from telephone companies and Internet access providers, that must be borne by the stockholder.</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Stockholders Sharing the Same Address</w:t>
      </w:r>
    </w:p>
    <w:p>
      <w:pPr>
        <w:spacing w:after="0" w:line="216"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To reduce the expenses of delivering duplicate proxy materials, we are taking advantage of the SEC’s “householding” rules that permit us to deliver only one set of proxy materials to stockholders who share an address unless otherwise requested. If you share an address with another stockholder and have received only one</w:t>
      </w:r>
    </w:p>
    <w:p>
      <w:pPr>
        <w:sectPr>
          <w:pgSz w:w="11900" w:h="16948" w:orient="portrait"/>
          <w:cols w:equalWidth="0" w:num="1">
            <w:col w:w="11420"/>
          </w:cols>
          <w:pgMar w:left="240" w:top="122" w:right="239" w:bottom="0" w:gutter="0" w:footer="0" w:header="0"/>
        </w:sectPr>
      </w:pPr>
    </w:p>
    <w:bookmarkStart w:id="36" w:name="page37"/>
    <w:bookmarkEnd w:id="36"/>
    <w:p>
      <w:pPr>
        <w:ind w:right="120"/>
        <w:spacing w:after="0" w:line="243" w:lineRule="auto"/>
        <w:rPr>
          <w:sz w:val="20"/>
          <w:szCs w:val="20"/>
          <w:color w:val="auto"/>
        </w:rPr>
      </w:pPr>
      <w:r>
        <w:rPr>
          <w:rFonts w:ascii="Arial" w:cs="Arial" w:eastAsia="Arial" w:hAnsi="Arial"/>
          <w:sz w:val="16"/>
          <w:szCs w:val="16"/>
          <w:color w:val="auto"/>
        </w:rPr>
        <w:t>set of proxy materials, you may request a separate copy of these materials at no cost to you by calling Investor Relations at (972) 995-3773 or by writing to Texas Instruments Incorporated, P.O. Box 660199, MS 8657, Dallas, TX 75266-0199, Attn: Investor Relations. For future annual meetings, you may request separate voting materials, or request that we send only one set of proxy materials to you if you are receiving multiple copies, by calling (800) 542-1061 or writing to Investor Relations at the address given above.</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Electronic Delivery of Proxy Materials</w:t>
      </w:r>
    </w:p>
    <w:p>
      <w:pPr>
        <w:spacing w:after="0" w:line="216" w:lineRule="exact"/>
        <w:rPr>
          <w:sz w:val="20"/>
          <w:szCs w:val="20"/>
          <w:color w:val="auto"/>
        </w:rPr>
      </w:pPr>
    </w:p>
    <w:p>
      <w:pPr>
        <w:ind w:right="180"/>
        <w:spacing w:after="0" w:line="241" w:lineRule="auto"/>
        <w:rPr>
          <w:sz w:val="20"/>
          <w:szCs w:val="20"/>
          <w:color w:val="auto"/>
        </w:rPr>
      </w:pPr>
      <w:r>
        <w:rPr>
          <w:rFonts w:ascii="Arial" w:cs="Arial" w:eastAsia="Arial" w:hAnsi="Arial"/>
          <w:sz w:val="16"/>
          <w:szCs w:val="16"/>
          <w:color w:val="auto"/>
        </w:rPr>
        <w:t>As an alternative to receiving printed copies of these materials in future years, we are pleased to offer stockholders the opportunity to receive proxy mailings electronically. To request electronic delivery, please vote via the Internet at www.proxyvote.com and, when prompted, enroll to receive or access proxy materials electronically in future years. After the meeting date, stockholders holding shares through a broker or bank may request electronic delivery by visiting www.icsdelivery.com/ti and entering information for each account held by a bank or broker. If you are a registered stockholder and would like to request electronic delivery, please visit www. computershare.com/us/sc/txnb or call TI Investor Relations at (972) 995-3773 for more information. If you are a participant in a TI benefit plan and would like to request electronic delivery, please call TI Investor Relations for more information.</w:t>
      </w:r>
    </w:p>
    <w:p>
      <w:pPr>
        <w:spacing w:after="0" w:line="170" w:lineRule="exact"/>
        <w:rPr>
          <w:sz w:val="20"/>
          <w:szCs w:val="20"/>
          <w:color w:val="auto"/>
        </w:rPr>
      </w:pPr>
    </w:p>
    <w:p>
      <w:pPr>
        <w:ind w:right="180"/>
        <w:spacing w:after="0" w:line="276" w:lineRule="auto"/>
        <w:rPr>
          <w:sz w:val="20"/>
          <w:szCs w:val="20"/>
          <w:color w:val="auto"/>
        </w:rPr>
      </w:pPr>
      <w:r>
        <w:rPr>
          <w:rFonts w:ascii="Arial" w:cs="Arial" w:eastAsia="Arial" w:hAnsi="Arial"/>
          <w:sz w:val="16"/>
          <w:szCs w:val="16"/>
          <w:b w:val="1"/>
          <w:bCs w:val="1"/>
          <w:color w:val="auto"/>
        </w:rPr>
        <w:t>Important Notice Regarding the Availability of Proxy Materials for the Stockholder Meeting to be held on April 17, 2008. This 2008 proxy statement and the company’s 2007 annual report are accessible at: www.proxyvote.com.</w:t>
      </w:r>
    </w:p>
    <w:p>
      <w:pPr>
        <w:spacing w:after="0" w:line="185"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5715</wp:posOffset>
            </wp:positionV>
            <wp:extent cx="2162810" cy="46672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162810" cy="466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Joseph F. Hubach</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i w:val="1"/>
          <w:iCs w:val="1"/>
          <w:color w:val="auto"/>
        </w:rPr>
        <w:t>Senior Vice President,</w:t>
      </w:r>
    </w:p>
    <w:p>
      <w:pPr>
        <w:spacing w:after="0" w:line="37" w:lineRule="exact"/>
        <w:rPr>
          <w:sz w:val="20"/>
          <w:szCs w:val="20"/>
          <w:color w:val="auto"/>
        </w:rPr>
      </w:pPr>
    </w:p>
    <w:p>
      <w:pPr>
        <w:ind w:left="5720"/>
        <w:spacing w:after="0"/>
        <w:rPr>
          <w:sz w:val="20"/>
          <w:szCs w:val="20"/>
          <w:color w:val="auto"/>
        </w:rPr>
      </w:pPr>
      <w:r>
        <w:rPr>
          <w:rFonts w:ascii="Arial" w:cs="Arial" w:eastAsia="Arial" w:hAnsi="Arial"/>
          <w:sz w:val="16"/>
          <w:szCs w:val="16"/>
          <w:i w:val="1"/>
          <w:iCs w:val="1"/>
          <w:color w:val="auto"/>
        </w:rPr>
        <w:t>Secretary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March 7, 2008</w:t>
      </w:r>
    </w:p>
    <w:p>
      <w:pPr>
        <w:spacing w:after="0"/>
        <w:rPr>
          <w:sz w:val="20"/>
          <w:szCs w:val="20"/>
          <w:color w:val="auto"/>
        </w:rPr>
      </w:pPr>
      <w:r>
        <w:rPr>
          <w:rFonts w:ascii="Arial" w:cs="Arial" w:eastAsia="Arial" w:hAnsi="Arial"/>
          <w:sz w:val="16"/>
          <w:szCs w:val="16"/>
          <w:color w:val="auto"/>
        </w:rPr>
        <w:t>Dallas, Texas</w:t>
      </w:r>
    </w:p>
    <w:p>
      <w:pPr>
        <w:spacing w:after="0" w:line="196"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79640" cy="203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76"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DIRECTIONS AND OTHER ANNUAL MEETING INFORMATION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Directions</w:t>
      </w:r>
    </w:p>
    <w:p>
      <w:pPr>
        <w:spacing w:after="0" w:line="196" w:lineRule="exact"/>
        <w:rPr>
          <w:sz w:val="20"/>
          <w:szCs w:val="20"/>
          <w:color w:val="auto"/>
        </w:rPr>
      </w:pPr>
    </w:p>
    <w:p>
      <w:pPr>
        <w:ind w:left="180" w:right="280"/>
        <w:spacing w:after="0" w:line="276" w:lineRule="auto"/>
        <w:rPr>
          <w:sz w:val="20"/>
          <w:szCs w:val="20"/>
          <w:color w:val="auto"/>
        </w:rPr>
      </w:pPr>
      <w:r>
        <w:rPr>
          <w:rFonts w:ascii="Arial" w:cs="Arial" w:eastAsia="Arial" w:hAnsi="Arial"/>
          <w:sz w:val="16"/>
          <w:szCs w:val="16"/>
          <w:b w:val="1"/>
          <w:bCs w:val="1"/>
          <w:color w:val="auto"/>
        </w:rPr>
        <w:t xml:space="preserve">From DFW Airport: </w:t>
      </w:r>
      <w:r>
        <w:rPr>
          <w:rFonts w:ascii="Arial" w:cs="Arial" w:eastAsia="Arial" w:hAnsi="Arial"/>
          <w:sz w:val="16"/>
          <w:szCs w:val="16"/>
          <w:color w:val="auto"/>
        </w:rPr>
        <w:t>Take the North Airport exit to IH-635E. Take IH-635E to the Greenville Avenue exit. Turn right (South) on Greenville. Turn right (West) on</w:t>
      </w:r>
      <w:r>
        <w:rPr>
          <w:rFonts w:ascii="Arial" w:cs="Arial" w:eastAsia="Arial" w:hAnsi="Arial"/>
          <w:sz w:val="16"/>
          <w:szCs w:val="16"/>
          <w:b w:val="1"/>
          <w:bCs w:val="1"/>
          <w:color w:val="auto"/>
        </w:rPr>
        <w:t xml:space="preserve"> </w:t>
      </w:r>
      <w:r>
        <w:rPr>
          <w:rFonts w:ascii="Arial" w:cs="Arial" w:eastAsia="Arial" w:hAnsi="Arial"/>
          <w:sz w:val="16"/>
          <w:szCs w:val="16"/>
          <w:color w:val="auto"/>
        </w:rPr>
        <w:t>Forest Lane. Texas Instruments will be on your right at the second traffic light. Please use the North entrance to the building.</w:t>
      </w:r>
    </w:p>
    <w:p>
      <w:pPr>
        <w:spacing w:after="0" w:line="140" w:lineRule="exact"/>
        <w:rPr>
          <w:sz w:val="20"/>
          <w:szCs w:val="20"/>
          <w:color w:val="auto"/>
        </w:rPr>
      </w:pPr>
    </w:p>
    <w:p>
      <w:pPr>
        <w:ind w:left="180" w:right="480"/>
        <w:spacing w:after="0" w:line="258" w:lineRule="auto"/>
        <w:rPr>
          <w:sz w:val="20"/>
          <w:szCs w:val="20"/>
          <w:color w:val="auto"/>
        </w:rPr>
      </w:pPr>
      <w:r>
        <w:rPr>
          <w:rFonts w:ascii="Arial" w:cs="Arial" w:eastAsia="Arial" w:hAnsi="Arial"/>
          <w:sz w:val="16"/>
          <w:szCs w:val="16"/>
          <w:b w:val="1"/>
          <w:bCs w:val="1"/>
          <w:color w:val="auto"/>
        </w:rPr>
        <w:t xml:space="preserve">From Love Field Airport: </w:t>
      </w:r>
      <w:r>
        <w:rPr>
          <w:rFonts w:ascii="Arial" w:cs="Arial" w:eastAsia="Arial" w:hAnsi="Arial"/>
          <w:sz w:val="16"/>
          <w:szCs w:val="16"/>
          <w:color w:val="auto"/>
        </w:rPr>
        <w:t>Take Mockingbird Lane East to US-75N (Central Expressway). Travel North on 75N to the Forest Lane exit. Turn right (East) on</w:t>
      </w:r>
      <w:r>
        <w:rPr>
          <w:rFonts w:ascii="Arial" w:cs="Arial" w:eastAsia="Arial" w:hAnsi="Arial"/>
          <w:sz w:val="16"/>
          <w:szCs w:val="16"/>
          <w:b w:val="1"/>
          <w:bCs w:val="1"/>
          <w:color w:val="auto"/>
        </w:rPr>
        <w:t xml:space="preserve"> </w:t>
      </w:r>
      <w:r>
        <w:rPr>
          <w:rFonts w:ascii="Arial" w:cs="Arial" w:eastAsia="Arial" w:hAnsi="Arial"/>
          <w:sz w:val="16"/>
          <w:szCs w:val="16"/>
          <w:color w:val="auto"/>
        </w:rPr>
        <w:t>Forest Lane. You will pass two traffic lights. At the third light, the entrance to Texas Instruments will be on your left. Please use the North entrance to the building.</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Parking</w:t>
      </w:r>
    </w:p>
    <w:p>
      <w:pPr>
        <w:spacing w:after="0" w:line="216" w:lineRule="exact"/>
        <w:rPr>
          <w:sz w:val="20"/>
          <w:szCs w:val="20"/>
          <w:color w:val="auto"/>
        </w:rPr>
      </w:pPr>
    </w:p>
    <w:p>
      <w:pPr>
        <w:ind w:right="660"/>
        <w:spacing w:after="0" w:line="250" w:lineRule="auto"/>
        <w:rPr>
          <w:sz w:val="20"/>
          <w:szCs w:val="20"/>
          <w:color w:val="auto"/>
        </w:rPr>
      </w:pPr>
      <w:r>
        <w:rPr>
          <w:rFonts w:ascii="Arial" w:cs="Arial" w:eastAsia="Arial" w:hAnsi="Arial"/>
          <w:sz w:val="16"/>
          <w:szCs w:val="16"/>
          <w:color w:val="auto"/>
        </w:rPr>
        <w:t>There will be reserved parking for all visitors at the North Lobby. Visitors with special needs requiring assistance will be accommodated at the South Lobby entrance.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Security</w:t>
      </w:r>
    </w:p>
    <w:p>
      <w:pPr>
        <w:spacing w:after="0" w:line="216"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Please be advised that TI’s security policy forbids weapons, cameras and audio/video recording devices inside TI buildings. All bags will be subject to search upon entry into the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79640" cy="203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ectPr>
          <w:pgSz w:w="11900" w:h="16838" w:orient="portrait"/>
          <w:cols w:equalWidth="0" w:num="1">
            <w:col w:w="11520"/>
          </w:cols>
          <w:pgMar w:left="240" w:top="142" w:right="139" w:bottom="52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80"/>
        <w:spacing w:after="0"/>
        <w:rPr>
          <w:sz w:val="20"/>
          <w:szCs w:val="20"/>
          <w:color w:val="auto"/>
        </w:rPr>
      </w:pPr>
      <w:r>
        <w:rPr>
          <w:rFonts w:ascii="Arial" w:cs="Arial" w:eastAsia="Arial" w:hAnsi="Arial"/>
          <w:sz w:val="16"/>
          <w:szCs w:val="16"/>
          <w:b w:val="1"/>
          <w:bCs w:val="1"/>
          <w:i w:val="1"/>
          <w:iCs w:val="1"/>
          <w:color w:val="auto"/>
        </w:rPr>
        <w:t>ATTN: JANE NAHRA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372110</wp:posOffset>
            </wp:positionH>
            <wp:positionV relativeFrom="paragraph">
              <wp:posOffset>-484505</wp:posOffset>
            </wp:positionV>
            <wp:extent cx="980440" cy="3810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80440" cy="38100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6"/>
          <w:szCs w:val="16"/>
          <w:b w:val="1"/>
          <w:bCs w:val="1"/>
          <w:i w:val="1"/>
          <w:iCs w:val="1"/>
          <w:color w:val="auto"/>
        </w:rPr>
        <w:t>7839 CHURCHILL WAY</w:t>
      </w:r>
    </w:p>
    <w:p>
      <w:pPr>
        <w:ind w:left="580"/>
        <w:spacing w:after="0"/>
        <w:rPr>
          <w:sz w:val="20"/>
          <w:szCs w:val="20"/>
          <w:color w:val="auto"/>
        </w:rPr>
      </w:pPr>
      <w:r>
        <w:rPr>
          <w:rFonts w:ascii="Arial" w:cs="Arial" w:eastAsia="Arial" w:hAnsi="Arial"/>
          <w:sz w:val="16"/>
          <w:szCs w:val="16"/>
          <w:b w:val="1"/>
          <w:bCs w:val="1"/>
          <w:i w:val="1"/>
          <w:iCs w:val="1"/>
          <w:color w:val="auto"/>
        </w:rPr>
        <w:t>MS 3999</w:t>
      </w:r>
    </w:p>
    <w:p>
      <w:pPr>
        <w:ind w:left="580"/>
        <w:spacing w:after="0"/>
        <w:rPr>
          <w:sz w:val="20"/>
          <w:szCs w:val="20"/>
          <w:color w:val="auto"/>
        </w:rPr>
      </w:pPr>
      <w:r>
        <w:rPr>
          <w:rFonts w:ascii="Arial" w:cs="Arial" w:eastAsia="Arial" w:hAnsi="Arial"/>
          <w:sz w:val="16"/>
          <w:szCs w:val="16"/>
          <w:b w:val="1"/>
          <w:bCs w:val="1"/>
          <w:i w:val="1"/>
          <w:iCs w:val="1"/>
          <w:color w:val="auto"/>
        </w:rPr>
        <w:t>DALLAS, TX 75251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 registered shares, your proxy must be received by 11:59 P.M.</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Daylight Time) on </w:t>
      </w:r>
      <w:r>
        <w:rPr>
          <w:rFonts w:ascii="Arial" w:cs="Arial" w:eastAsia="Arial" w:hAnsi="Arial"/>
          <w:sz w:val="12"/>
          <w:szCs w:val="12"/>
          <w:b w:val="1"/>
          <w:bCs w:val="1"/>
          <w:i w:val="1"/>
          <w:iCs w:val="1"/>
          <w:color w:val="auto"/>
        </w:rPr>
        <w:t>April 16, 2008</w:t>
      </w:r>
      <w:r>
        <w:rPr>
          <w:rFonts w:ascii="Arial" w:cs="Arial" w:eastAsia="Arial" w:hAnsi="Arial"/>
          <w:sz w:val="12"/>
          <w:szCs w:val="12"/>
          <w:b w:val="1"/>
          <w:bCs w:val="1"/>
          <w:color w:val="auto"/>
        </w:rPr>
        <w:t>.</w:t>
      </w:r>
    </w:p>
    <w:p>
      <w:pPr>
        <w:spacing w:after="0" w:line="234" w:lineRule="auto"/>
        <w:rPr>
          <w:sz w:val="20"/>
          <w:szCs w:val="20"/>
          <w:color w:val="auto"/>
        </w:rPr>
      </w:pPr>
      <w:r>
        <w:rPr>
          <w:rFonts w:ascii="Arial" w:cs="Arial" w:eastAsia="Arial" w:hAnsi="Arial"/>
          <w:sz w:val="12"/>
          <w:szCs w:val="12"/>
          <w:b w:val="1"/>
          <w:bCs w:val="1"/>
          <w:color w:val="auto"/>
        </w:rPr>
        <w:t>For shares allocable to a benefit plan account, your proxy must be rec</w:t>
      </w:r>
    </w:p>
    <w:p>
      <w:pPr>
        <w:spacing w:after="0"/>
        <w:rPr>
          <w:sz w:val="20"/>
          <w:szCs w:val="20"/>
          <w:color w:val="auto"/>
        </w:rPr>
      </w:pPr>
      <w:r>
        <w:rPr>
          <w:rFonts w:ascii="Arial" w:cs="Arial" w:eastAsia="Arial" w:hAnsi="Arial"/>
          <w:sz w:val="12"/>
          <w:szCs w:val="12"/>
          <w:b w:val="1"/>
          <w:bCs w:val="1"/>
          <w:color w:val="auto"/>
        </w:rPr>
        <w:t xml:space="preserve">11:59 P.M. (Eastern Daylight Time) on </w:t>
      </w:r>
      <w:r>
        <w:rPr>
          <w:rFonts w:ascii="Arial" w:cs="Arial" w:eastAsia="Arial" w:hAnsi="Arial"/>
          <w:sz w:val="12"/>
          <w:szCs w:val="12"/>
          <w:b w:val="1"/>
          <w:bCs w:val="1"/>
          <w:i w:val="1"/>
          <w:iCs w:val="1"/>
          <w:color w:val="auto"/>
        </w:rPr>
        <w:t>April 14, 2008</w:t>
      </w:r>
      <w:r>
        <w:rPr>
          <w:rFonts w:ascii="Arial" w:cs="Arial" w:eastAsia="Arial" w:hAnsi="Arial"/>
          <w:sz w:val="12"/>
          <w:szCs w:val="12"/>
          <w:b w:val="1"/>
          <w:bCs w:val="1"/>
          <w:color w:val="auto"/>
        </w:rPr>
        <w:t>.</w:t>
      </w:r>
    </w:p>
    <w:p>
      <w:pPr>
        <w:spacing w:after="0"/>
        <w:rPr>
          <w:sz w:val="20"/>
          <w:szCs w:val="20"/>
          <w:color w:val="auto"/>
        </w:rPr>
      </w:pPr>
      <w:r>
        <w:rPr>
          <w:rFonts w:ascii="Arial" w:cs="Arial" w:eastAsia="Arial" w:hAnsi="Arial"/>
          <w:sz w:val="13"/>
          <w:szCs w:val="13"/>
          <w:b w:val="1"/>
          <w:bCs w:val="1"/>
          <w:color w:val="auto"/>
        </w:rPr>
        <w:t xml:space="preserve">VOTE BY INTERNET - </w:t>
      </w:r>
      <w:r>
        <w:rPr>
          <w:rFonts w:ascii="Arial" w:cs="Arial" w:eastAsia="Arial" w:hAnsi="Arial"/>
          <w:sz w:val="13"/>
          <w:szCs w:val="13"/>
          <w:b w:val="1"/>
          <w:bCs w:val="1"/>
          <w:u w:val="single" w:color="auto"/>
          <w:color w:val="auto"/>
        </w:rPr>
        <w:t>www.proxyvote.com</w:t>
      </w:r>
    </w:p>
    <w:p>
      <w:pPr>
        <w:spacing w:after="0" w:line="236" w:lineRule="auto"/>
        <w:rPr>
          <w:sz w:val="20"/>
          <w:szCs w:val="20"/>
          <w:color w:val="auto"/>
        </w:rPr>
      </w:pPr>
      <w:r>
        <w:rPr>
          <w:rFonts w:ascii="Arial" w:cs="Arial" w:eastAsia="Arial" w:hAnsi="Arial"/>
          <w:sz w:val="13"/>
          <w:szCs w:val="13"/>
          <w:color w:val="auto"/>
        </w:rPr>
        <w:t>Use the Internet to transmit your voting instructions and for electronic d</w:t>
      </w:r>
    </w:p>
    <w:p>
      <w:pPr>
        <w:spacing w:after="0" w:line="236" w:lineRule="auto"/>
        <w:rPr>
          <w:sz w:val="20"/>
          <w:szCs w:val="20"/>
          <w:color w:val="auto"/>
        </w:rPr>
      </w:pPr>
      <w:r>
        <w:rPr>
          <w:rFonts w:ascii="Arial" w:cs="Arial" w:eastAsia="Arial" w:hAnsi="Arial"/>
          <w:sz w:val="13"/>
          <w:szCs w:val="13"/>
          <w:color w:val="auto"/>
        </w:rPr>
        <w:t>information up until 11:59 P.M. Eastern Daylight Time on April 14, 2</w:t>
      </w:r>
    </w:p>
    <w:p>
      <w:pPr>
        <w:spacing w:after="0" w:line="236" w:lineRule="auto"/>
        <w:rPr>
          <w:sz w:val="20"/>
          <w:szCs w:val="20"/>
          <w:color w:val="auto"/>
        </w:rPr>
      </w:pPr>
      <w:r>
        <w:rPr>
          <w:rFonts w:ascii="Arial" w:cs="Arial" w:eastAsia="Arial" w:hAnsi="Arial"/>
          <w:sz w:val="13"/>
          <w:szCs w:val="13"/>
          <w:color w:val="auto"/>
        </w:rPr>
        <w:t>shares allocable to a benefit plan account) or April 16, 2008 (for re</w:t>
      </w:r>
    </w:p>
    <w:p>
      <w:pPr>
        <w:spacing w:after="0" w:line="236" w:lineRule="auto"/>
        <w:rPr>
          <w:sz w:val="20"/>
          <w:szCs w:val="20"/>
          <w:color w:val="auto"/>
        </w:rPr>
      </w:pPr>
      <w:r>
        <w:rPr>
          <w:rFonts w:ascii="Arial" w:cs="Arial" w:eastAsia="Arial" w:hAnsi="Arial"/>
          <w:sz w:val="13"/>
          <w:szCs w:val="13"/>
          <w:color w:val="auto"/>
        </w:rPr>
        <w:t>shares). Have your proxy card in hand when you access the web site a</w:t>
      </w:r>
    </w:p>
    <w:p>
      <w:pPr>
        <w:spacing w:after="0" w:line="236" w:lineRule="auto"/>
        <w:rPr>
          <w:sz w:val="20"/>
          <w:szCs w:val="20"/>
          <w:color w:val="auto"/>
        </w:rPr>
      </w:pPr>
      <w:r>
        <w:rPr>
          <w:rFonts w:ascii="Arial" w:cs="Arial" w:eastAsia="Arial" w:hAnsi="Arial"/>
          <w:sz w:val="13"/>
          <w:szCs w:val="13"/>
          <w:color w:val="auto"/>
        </w:rPr>
        <w:t>the instructions to obtain your records and to create an electroni</w:t>
      </w:r>
    </w:p>
    <w:p>
      <w:pPr>
        <w:spacing w:after="0" w:line="236" w:lineRule="auto"/>
        <w:rPr>
          <w:sz w:val="20"/>
          <w:szCs w:val="20"/>
          <w:color w:val="auto"/>
        </w:rPr>
      </w:pPr>
      <w:r>
        <w:rPr>
          <w:rFonts w:ascii="Arial" w:cs="Arial" w:eastAsia="Arial" w:hAnsi="Arial"/>
          <w:sz w:val="13"/>
          <w:szCs w:val="13"/>
          <w:color w:val="auto"/>
        </w:rPr>
        <w:t>instruction form.</w:t>
      </w:r>
    </w:p>
    <w:p>
      <w:pPr>
        <w:spacing w:after="0" w:line="236" w:lineRule="auto"/>
        <w:rPr>
          <w:sz w:val="20"/>
          <w:szCs w:val="20"/>
          <w:color w:val="auto"/>
        </w:rPr>
      </w:pPr>
      <w:r>
        <w:rPr>
          <w:rFonts w:ascii="Arial" w:cs="Arial" w:eastAsia="Arial" w:hAnsi="Arial"/>
          <w:sz w:val="13"/>
          <w:szCs w:val="13"/>
          <w:b w:val="1"/>
          <w:bCs w:val="1"/>
          <w:color w:val="auto"/>
        </w:rPr>
        <w:t>ELECTRONIC DELIVERY OF FUTURE STOCKHOLDER COMMUNIC</w:t>
      </w:r>
    </w:p>
    <w:p>
      <w:pPr>
        <w:spacing w:after="0"/>
        <w:rPr>
          <w:sz w:val="20"/>
          <w:szCs w:val="20"/>
          <w:color w:val="auto"/>
        </w:rPr>
      </w:pPr>
      <w:r>
        <w:rPr>
          <w:rFonts w:ascii="Arial" w:cs="Arial" w:eastAsia="Arial" w:hAnsi="Arial"/>
          <w:sz w:val="12"/>
          <w:szCs w:val="12"/>
          <w:color w:val="auto"/>
        </w:rPr>
        <w:t>If you would like to reduce the costs incurred by Texas Instruments Inco</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in mailing proxy materials, you can consent to receiving all futur</w:t>
      </w:r>
    </w:p>
    <w:p>
      <w:pPr>
        <w:spacing w:after="0" w:line="236" w:lineRule="auto"/>
        <w:rPr>
          <w:sz w:val="20"/>
          <w:szCs w:val="20"/>
          <w:color w:val="auto"/>
        </w:rPr>
      </w:pPr>
      <w:r>
        <w:rPr>
          <w:rFonts w:ascii="Arial" w:cs="Arial" w:eastAsia="Arial" w:hAnsi="Arial"/>
          <w:sz w:val="13"/>
          <w:szCs w:val="13"/>
          <w:color w:val="auto"/>
        </w:rPr>
        <w:t>statements, proxy cards and annual reports electronically via e-ma</w:t>
      </w:r>
    </w:p>
    <w:p>
      <w:pPr>
        <w:spacing w:after="0" w:line="236" w:lineRule="auto"/>
        <w:rPr>
          <w:sz w:val="20"/>
          <w:szCs w:val="20"/>
          <w:color w:val="auto"/>
        </w:rPr>
      </w:pPr>
      <w:r>
        <w:rPr>
          <w:rFonts w:ascii="Arial" w:cs="Arial" w:eastAsia="Arial" w:hAnsi="Arial"/>
          <w:sz w:val="13"/>
          <w:szCs w:val="13"/>
          <w:color w:val="auto"/>
        </w:rPr>
        <w:t>Internet. To sign up for electronic delivery, please follow the instruction</w:t>
      </w:r>
    </w:p>
    <w:p>
      <w:pPr>
        <w:spacing w:after="0" w:line="236" w:lineRule="auto"/>
        <w:rPr>
          <w:sz w:val="20"/>
          <w:szCs w:val="20"/>
          <w:color w:val="auto"/>
        </w:rPr>
      </w:pPr>
      <w:r>
        <w:rPr>
          <w:rFonts w:ascii="Arial" w:cs="Arial" w:eastAsia="Arial" w:hAnsi="Arial"/>
          <w:sz w:val="13"/>
          <w:szCs w:val="13"/>
          <w:color w:val="auto"/>
        </w:rPr>
        <w:t>to vote using the Internet and, when prompted, indicate that you</w:t>
      </w:r>
    </w:p>
    <w:p>
      <w:pPr>
        <w:spacing w:after="0" w:line="236" w:lineRule="auto"/>
        <w:rPr>
          <w:sz w:val="20"/>
          <w:szCs w:val="20"/>
          <w:color w:val="auto"/>
        </w:rPr>
      </w:pPr>
      <w:r>
        <w:rPr>
          <w:rFonts w:ascii="Arial" w:cs="Arial" w:eastAsia="Arial" w:hAnsi="Arial"/>
          <w:sz w:val="13"/>
          <w:szCs w:val="13"/>
          <w:color w:val="auto"/>
        </w:rPr>
        <w:t>receive or access stockholder communications electronically in future y</w:t>
      </w:r>
    </w:p>
    <w:p>
      <w:pPr>
        <w:spacing w:after="0" w:line="228" w:lineRule="auto"/>
        <w:rPr>
          <w:sz w:val="20"/>
          <w:szCs w:val="20"/>
          <w:color w:val="auto"/>
        </w:rPr>
      </w:pPr>
      <w:r>
        <w:rPr>
          <w:rFonts w:ascii="Arial" w:cs="Arial" w:eastAsia="Arial" w:hAnsi="Arial"/>
          <w:sz w:val="13"/>
          <w:szCs w:val="13"/>
          <w:b w:val="1"/>
          <w:bCs w:val="1"/>
          <w:color w:val="auto"/>
        </w:rPr>
        <w:t>VOTE BY PHONE - 1-800-690-6903</w:t>
      </w:r>
    </w:p>
    <w:p>
      <w:pPr>
        <w:spacing w:after="0" w:line="234" w:lineRule="auto"/>
        <w:rPr>
          <w:sz w:val="20"/>
          <w:szCs w:val="20"/>
          <w:color w:val="auto"/>
        </w:rPr>
      </w:pPr>
      <w:r>
        <w:rPr>
          <w:rFonts w:ascii="Arial" w:cs="Arial" w:eastAsia="Arial" w:hAnsi="Arial"/>
          <w:sz w:val="12"/>
          <w:szCs w:val="12"/>
          <w:color w:val="auto"/>
        </w:rPr>
        <w:t>Use any touch-tone telephone to transmit your voting instructions up until 1</w:t>
      </w:r>
    </w:p>
    <w:p>
      <w:pPr>
        <w:spacing w:after="0" w:line="235" w:lineRule="auto"/>
        <w:rPr>
          <w:sz w:val="20"/>
          <w:szCs w:val="20"/>
          <w:color w:val="auto"/>
        </w:rPr>
      </w:pPr>
      <w:r>
        <w:rPr>
          <w:rFonts w:ascii="Arial" w:cs="Arial" w:eastAsia="Arial" w:hAnsi="Arial"/>
          <w:sz w:val="12"/>
          <w:szCs w:val="12"/>
          <w:color w:val="auto"/>
        </w:rPr>
        <w:t>Eastern Time on April 14, 2008 (for shares allocable to a benefit plan ac</w:t>
      </w:r>
    </w:p>
    <w:p>
      <w:pPr>
        <w:spacing w:after="0" w:line="234" w:lineRule="auto"/>
        <w:rPr>
          <w:sz w:val="20"/>
          <w:szCs w:val="20"/>
          <w:color w:val="auto"/>
        </w:rPr>
      </w:pPr>
      <w:r>
        <w:rPr>
          <w:rFonts w:ascii="Arial" w:cs="Arial" w:eastAsia="Arial" w:hAnsi="Arial"/>
          <w:sz w:val="12"/>
          <w:szCs w:val="12"/>
          <w:color w:val="auto"/>
        </w:rPr>
        <w:t>April 16, 2008 (for registered shares). Have your proxy card in hand when</w:t>
      </w:r>
    </w:p>
    <w:p>
      <w:pPr>
        <w:spacing w:after="0"/>
        <w:rPr>
          <w:sz w:val="20"/>
          <w:szCs w:val="20"/>
          <w:color w:val="auto"/>
        </w:rPr>
      </w:pPr>
      <w:r>
        <w:rPr>
          <w:rFonts w:ascii="Arial" w:cs="Arial" w:eastAsia="Arial" w:hAnsi="Arial"/>
          <w:sz w:val="12"/>
          <w:szCs w:val="12"/>
          <w:color w:val="auto"/>
        </w:rPr>
        <w:t>and then follow the instructions.</w:t>
      </w:r>
    </w:p>
    <w:p>
      <w:pPr>
        <w:spacing w:after="0"/>
        <w:rPr>
          <w:sz w:val="20"/>
          <w:szCs w:val="20"/>
          <w:color w:val="auto"/>
        </w:rPr>
      </w:pPr>
      <w:r>
        <w:rPr>
          <w:rFonts w:ascii="Arial" w:cs="Arial" w:eastAsia="Arial" w:hAnsi="Arial"/>
          <w:sz w:val="13"/>
          <w:szCs w:val="13"/>
          <w:b w:val="1"/>
          <w:bCs w:val="1"/>
          <w:color w:val="auto"/>
        </w:rPr>
        <w:t>VOTE BY MAIL</w:t>
      </w:r>
    </w:p>
    <w:p>
      <w:pPr>
        <w:spacing w:after="0" w:line="236" w:lineRule="auto"/>
        <w:rPr>
          <w:sz w:val="20"/>
          <w:szCs w:val="20"/>
          <w:color w:val="auto"/>
        </w:rPr>
      </w:pPr>
      <w:r>
        <w:rPr>
          <w:rFonts w:ascii="Arial" w:cs="Arial" w:eastAsia="Arial" w:hAnsi="Arial"/>
          <w:sz w:val="13"/>
          <w:szCs w:val="13"/>
          <w:color w:val="auto"/>
        </w:rPr>
        <w:t>Mark, sign and date your proxy card and return it in the postage-paid e</w:t>
      </w:r>
    </w:p>
    <w:p>
      <w:pPr>
        <w:spacing w:after="0"/>
        <w:tabs>
          <w:tab w:leader="none" w:pos="260" w:val="left"/>
          <w:tab w:leader="none" w:pos="640" w:val="left"/>
          <w:tab w:leader="none" w:pos="1240" w:val="left"/>
          <w:tab w:leader="none" w:pos="1460" w:val="left"/>
          <w:tab w:leader="none" w:pos="1920" w:val="left"/>
          <w:tab w:leader="none" w:pos="2080" w:val="left"/>
          <w:tab w:leader="none" w:pos="2300" w:val="left"/>
          <w:tab w:leader="none" w:pos="2740" w:val="left"/>
          <w:tab w:leader="none" w:pos="3540" w:val="left"/>
        </w:tabs>
        <w:rPr>
          <w:sz w:val="20"/>
          <w:szCs w:val="20"/>
          <w:color w:val="auto"/>
        </w:rPr>
      </w:pPr>
      <w:r>
        <w:rPr>
          <w:rFonts w:ascii="Arial" w:cs="Arial" w:eastAsia="Arial" w:hAnsi="Arial"/>
          <w:sz w:val="13"/>
          <w:szCs w:val="13"/>
          <w:color w:val="auto"/>
        </w:rPr>
        <w:t>we</w:t>
        <w:tab/>
        <w:t>have</w:t>
        <w:tab/>
        <w:t>provided</w:t>
        <w:tab/>
        <w:t>or</w:t>
        <w:tab/>
        <w:t>return</w:t>
        <w:tab/>
        <w:t>it</w:t>
        <w:tab/>
        <w:t>to</w:t>
        <w:tab/>
        <w:t>Texas</w:t>
        <w:tab/>
        <w:t>Instruments</w:t>
      </w:r>
      <w:r>
        <w:rPr>
          <w:sz w:val="20"/>
          <w:szCs w:val="20"/>
          <w:color w:val="auto"/>
        </w:rPr>
        <w:tab/>
      </w:r>
      <w:r>
        <w:rPr>
          <w:rFonts w:ascii="Arial" w:cs="Arial" w:eastAsia="Arial" w:hAnsi="Arial"/>
          <w:sz w:val="12"/>
          <w:szCs w:val="12"/>
          <w:color w:val="auto"/>
        </w:rPr>
        <w:t>Incorpora</w:t>
      </w:r>
    </w:p>
    <w:p>
      <w:pPr>
        <w:spacing w:after="0"/>
        <w:rPr>
          <w:sz w:val="20"/>
          <w:szCs w:val="20"/>
          <w:color w:val="auto"/>
        </w:rPr>
      </w:pPr>
      <w:r>
        <w:rPr>
          <w:rFonts w:ascii="Arial" w:cs="Arial" w:eastAsia="Arial" w:hAnsi="Arial"/>
          <w:sz w:val="13"/>
          <w:szCs w:val="13"/>
          <w:color w:val="auto"/>
        </w:rPr>
        <w:t>Broadridge, 51 Mercedes Way, Edgewood, NY 11717.</w:t>
      </w:r>
    </w:p>
    <w:p>
      <w:pPr>
        <w:sectPr>
          <w:pgSz w:w="11900" w:h="16838" w:orient="portrait"/>
          <w:cols w:equalWidth="0" w:num="2">
            <w:col w:w="6680" w:space="720"/>
            <w:col w:w="4120"/>
          </w:cols>
          <w:pgMar w:left="240" w:top="142" w:right="139" w:bottom="529" w:gutter="0" w:footer="0" w:header="0"/>
          <w:type w:val="continuous"/>
        </w:sectPr>
      </w:pPr>
    </w:p>
    <w:bookmarkStart w:id="37" w:name="page38"/>
    <w:bookmarkEnd w:id="3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right"/>
        <w:ind w:right="80"/>
        <w:spacing w:after="0" w:line="245" w:lineRule="auto"/>
        <w:rPr>
          <w:sz w:val="20"/>
          <w:szCs w:val="20"/>
          <w:color w:val="auto"/>
        </w:rPr>
      </w:pPr>
      <w:r>
        <w:rPr>
          <w:rFonts w:ascii="Arial" w:cs="Arial" w:eastAsia="Arial" w:hAnsi="Arial"/>
          <w:sz w:val="13"/>
          <w:szCs w:val="13"/>
          <w:color w:val="auto"/>
        </w:rPr>
        <w:t xml:space="preserve">TO VOTE, MARK BLOCKS BELOW IN BLUE OR BLACK INK AS FOLLOWS:                                            </w:t>
      </w:r>
      <w:r>
        <w:rPr>
          <w:rFonts w:ascii="Arial" w:cs="Arial" w:eastAsia="Arial" w:hAnsi="Arial"/>
          <w:sz w:val="13"/>
          <w:szCs w:val="13"/>
          <w:u w:val="single" w:color="auto"/>
          <w:color w:val="auto"/>
        </w:rPr>
        <w:t>TEINS1</w:t>
      </w:r>
      <w:r>
        <w:rPr>
          <w:rFonts w:ascii="Arial" w:cs="Arial" w:eastAsia="Arial" w:hAnsi="Arial"/>
          <w:sz w:val="13"/>
          <w:szCs w:val="13"/>
          <w:color w:val="auto"/>
        </w:rPr>
        <w:t xml:space="preserve">           KEEP THIS PORTION FOR YOUR RECORDS 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-115570</wp:posOffset>
            </wp:positionV>
            <wp:extent cx="7284720" cy="330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4720" cy="33020"/>
                    </a:xfrm>
                    <a:prstGeom prst="rect">
                      <a:avLst/>
                    </a:prstGeom>
                    <a:noFill/>
                  </pic:spPr>
                </pic:pic>
              </a:graphicData>
            </a:graphic>
          </wp:anchor>
        </w:drawing>
      </w:r>
    </w:p>
    <w:p>
      <w:pPr>
        <w:jc w:val="center"/>
        <w:ind w:right="60"/>
        <w:spacing w:after="0"/>
        <w:rPr>
          <w:sz w:val="20"/>
          <w:szCs w:val="20"/>
          <w:color w:val="auto"/>
        </w:rPr>
      </w:pPr>
      <w:r>
        <w:rPr>
          <w:rFonts w:ascii="Arial" w:cs="Arial" w:eastAsia="Arial" w:hAnsi="Arial"/>
          <w:sz w:val="13"/>
          <w:szCs w:val="13"/>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7311390" cy="348297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311390" cy="3482975"/>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TEXAS INSTRUMENTS INCORPORATED</w:t>
      </w:r>
    </w:p>
    <w:p>
      <w:pPr>
        <w:spacing w:after="0" w:line="200" w:lineRule="exact"/>
        <w:rPr>
          <w:sz w:val="20"/>
          <w:szCs w:val="20"/>
          <w:color w:val="auto"/>
        </w:rPr>
      </w:pPr>
    </w:p>
    <w:p>
      <w:pPr>
        <w:spacing w:after="0" w:line="255" w:lineRule="exact"/>
        <w:rPr>
          <w:sz w:val="20"/>
          <w:szCs w:val="20"/>
          <w:color w:val="auto"/>
        </w:rPr>
      </w:pPr>
    </w:p>
    <w:p>
      <w:pPr>
        <w:ind w:left="680" w:right="2280"/>
        <w:spacing w:after="0" w:line="246" w:lineRule="auto"/>
        <w:rPr>
          <w:sz w:val="20"/>
          <w:szCs w:val="20"/>
          <w:color w:val="auto"/>
        </w:rPr>
      </w:pPr>
      <w:r>
        <w:rPr>
          <w:rFonts w:ascii="Arial" w:cs="Arial" w:eastAsia="Arial" w:hAnsi="Arial"/>
          <w:sz w:val="13"/>
          <w:szCs w:val="13"/>
          <w:color w:val="auto"/>
        </w:rPr>
        <w:t>The board of directors of Texas Instruments Incorporated recommends a vote FOR each of the nominees for director and the board proposal and AGAINST the stockholder proposal.</w:t>
      </w:r>
    </w:p>
    <w:p>
      <w:pPr>
        <w:sectPr>
          <w:pgSz w:w="11900" w:h="16838" w:orient="portrait"/>
          <w:cols w:equalWidth="0" w:num="1">
            <w:col w:w="11520"/>
          </w:cols>
          <w:pgMar w:left="240" w:top="1440" w:right="139" w:bottom="0" w:gutter="0" w:footer="0" w:header="0"/>
        </w:sectPr>
      </w:pPr>
    </w:p>
    <w:p>
      <w:pPr>
        <w:spacing w:after="0" w:line="119"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Election of Directors</w:t>
      </w:r>
    </w:p>
    <w:p>
      <w:pPr>
        <w:spacing w:after="0" w:line="144" w:lineRule="exact"/>
        <w:rPr>
          <w:sz w:val="20"/>
          <w:szCs w:val="20"/>
          <w:color w:val="auto"/>
        </w:rPr>
      </w:pPr>
    </w:p>
    <w:tbl>
      <w:tblPr>
        <w:tblLayout w:type="fixed"/>
        <w:tblInd w:w="250" w:type="dxa"/>
        <w:tblCellMar>
          <w:top w:w="0" w:type="dxa"/>
          <w:left w:w="0" w:type="dxa"/>
          <w:bottom w:w="0" w:type="dxa"/>
          <w:right w:w="0" w:type="dxa"/>
        </w:tblCellMar>
      </w:tblPr>
      <w:tr>
        <w:trPr>
          <w:trHeight w:val="173"/>
        </w:trPr>
        <w:tc>
          <w:tcPr>
            <w:tcW w:w="3580" w:type="dxa"/>
            <w:vAlign w:val="bottom"/>
            <w:gridSpan w:val="3"/>
          </w:tcPr>
          <w:p>
            <w:pPr>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2"/>
                <w:szCs w:val="12"/>
                <w:color w:val="auto"/>
              </w:rPr>
              <w:t>Election of Directors -</w:t>
            </w:r>
            <w:r>
              <w:rPr>
                <w:rFonts w:ascii="Arial" w:cs="Arial" w:eastAsia="Arial" w:hAnsi="Arial"/>
                <w:sz w:val="13"/>
                <w:szCs w:val="13"/>
                <w:color w:val="auto"/>
              </w:rPr>
              <w:t xml:space="preserve"> </w:t>
            </w:r>
            <w:r>
              <w:rPr>
                <w:rFonts w:ascii="Arial" w:cs="Arial" w:eastAsia="Arial" w:hAnsi="Arial"/>
                <w:sz w:val="12"/>
                <w:szCs w:val="12"/>
                <w:i w:val="1"/>
                <w:iCs w:val="1"/>
                <w:color w:val="auto"/>
              </w:rPr>
              <w:t>Nominees:</w:t>
            </w:r>
          </w:p>
        </w:tc>
        <w:tc>
          <w:tcPr>
            <w:tcW w:w="1360" w:type="dxa"/>
            <w:vAlign w:val="bottom"/>
            <w:gridSpan w:val="2"/>
          </w:tcPr>
          <w:p>
            <w:pPr>
              <w:ind w:left="560"/>
              <w:spacing w:after="0"/>
              <w:rPr>
                <w:sz w:val="20"/>
                <w:szCs w:val="20"/>
                <w:color w:val="auto"/>
              </w:rPr>
            </w:pPr>
            <w:r>
              <w:rPr>
                <w:rFonts w:ascii="Arial" w:cs="Arial" w:eastAsia="Arial" w:hAnsi="Arial"/>
                <w:sz w:val="13"/>
                <w:szCs w:val="13"/>
                <w:b w:val="1"/>
                <w:bCs w:val="1"/>
                <w:color w:val="auto"/>
              </w:rPr>
              <w:t>For Against</w:t>
            </w:r>
          </w:p>
        </w:tc>
        <w:tc>
          <w:tcPr>
            <w:tcW w:w="660" w:type="dxa"/>
            <w:vAlign w:val="bottom"/>
          </w:tcPr>
          <w:p>
            <w:pPr>
              <w:jc w:val="center"/>
              <w:ind w:right="22"/>
              <w:spacing w:after="0"/>
              <w:rPr>
                <w:sz w:val="20"/>
                <w:szCs w:val="20"/>
                <w:color w:val="auto"/>
              </w:rPr>
            </w:pPr>
            <w:r>
              <w:rPr>
                <w:rFonts w:ascii="Arial" w:cs="Arial" w:eastAsia="Arial" w:hAnsi="Arial"/>
                <w:sz w:val="13"/>
                <w:szCs w:val="13"/>
                <w:b w:val="1"/>
                <w:bCs w:val="1"/>
                <w:color w:val="auto"/>
              </w:rPr>
              <w:t>Abstain</w:t>
            </w:r>
          </w:p>
        </w:tc>
      </w:tr>
      <w:tr>
        <w:trPr>
          <w:trHeight w:val="476"/>
        </w:trPr>
        <w:tc>
          <w:tcPr>
            <w:tcW w:w="440" w:type="dxa"/>
            <w:vAlign w:val="bottom"/>
          </w:tcPr>
          <w:p>
            <w:pPr>
              <w:ind w:left="200"/>
              <w:spacing w:after="0"/>
              <w:rPr>
                <w:sz w:val="20"/>
                <w:szCs w:val="20"/>
                <w:color w:val="auto"/>
              </w:rPr>
            </w:pPr>
            <w:r>
              <w:rPr>
                <w:rFonts w:ascii="Arial" w:cs="Arial" w:eastAsia="Arial" w:hAnsi="Arial"/>
                <w:sz w:val="13"/>
                <w:szCs w:val="13"/>
                <w:color w:val="auto"/>
              </w:rPr>
              <w:t>1A)</w:t>
            </w:r>
          </w:p>
        </w:tc>
        <w:tc>
          <w:tcPr>
            <w:tcW w:w="3140" w:type="dxa"/>
            <w:vAlign w:val="bottom"/>
            <w:gridSpan w:val="2"/>
          </w:tcPr>
          <w:p>
            <w:pPr>
              <w:ind w:left="40"/>
              <w:spacing w:after="0"/>
              <w:rPr>
                <w:sz w:val="20"/>
                <w:szCs w:val="20"/>
                <w:color w:val="auto"/>
              </w:rPr>
            </w:pPr>
            <w:r>
              <w:rPr>
                <w:rFonts w:ascii="Arial" w:cs="Arial" w:eastAsia="Arial" w:hAnsi="Arial"/>
                <w:sz w:val="13"/>
                <w:szCs w:val="13"/>
                <w:color w:val="auto"/>
              </w:rPr>
              <w:t>J. R. Adams</w:t>
            </w:r>
          </w:p>
        </w:tc>
        <w:tc>
          <w:tcPr>
            <w:tcW w:w="880" w:type="dxa"/>
            <w:vAlign w:val="bottom"/>
          </w:tcPr>
          <w:p>
            <w:pPr>
              <w:ind w:left="620"/>
              <w:spacing w:after="0"/>
              <w:rPr>
                <w:sz w:val="20"/>
                <w:szCs w:val="20"/>
                <w:color w:val="auto"/>
              </w:rPr>
            </w:pPr>
            <w:r>
              <w:rPr>
                <w:rFonts w:ascii="Arial" w:cs="Arial" w:eastAsia="Arial" w:hAnsi="Arial"/>
                <w:sz w:val="16"/>
                <w:szCs w:val="16"/>
                <w:color w:val="auto"/>
              </w:rPr>
              <w:t>o</w:t>
            </w:r>
          </w:p>
        </w:tc>
        <w:tc>
          <w:tcPr>
            <w:tcW w:w="480" w:type="dxa"/>
            <w:vAlign w:val="bottom"/>
          </w:tcPr>
          <w:p>
            <w:pPr>
              <w:ind w:left="200"/>
              <w:spacing w:after="0"/>
              <w:rPr>
                <w:sz w:val="20"/>
                <w:szCs w:val="20"/>
                <w:color w:val="auto"/>
              </w:rPr>
            </w:pPr>
            <w:r>
              <w:rPr>
                <w:rFonts w:ascii="Arial" w:cs="Arial" w:eastAsia="Arial" w:hAnsi="Arial"/>
                <w:sz w:val="16"/>
                <w:szCs w:val="16"/>
                <w:color w:val="auto"/>
              </w:rPr>
              <w:t>o</w:t>
            </w:r>
          </w:p>
        </w:tc>
        <w:tc>
          <w:tcPr>
            <w:tcW w:w="660" w:type="dxa"/>
            <w:vAlign w:val="bottom"/>
          </w:tcPr>
          <w:p>
            <w:pPr>
              <w:jc w:val="center"/>
              <w:ind w:right="22"/>
              <w:spacing w:after="0"/>
              <w:rPr>
                <w:sz w:val="20"/>
                <w:szCs w:val="20"/>
                <w:color w:val="auto"/>
              </w:rPr>
            </w:pPr>
            <w:r>
              <w:rPr>
                <w:rFonts w:ascii="Arial" w:cs="Arial" w:eastAsia="Arial" w:hAnsi="Arial"/>
                <w:sz w:val="16"/>
                <w:szCs w:val="16"/>
                <w:color w:val="auto"/>
                <w:w w:val="89"/>
              </w:rPr>
              <w:t>o</w:t>
            </w:r>
          </w:p>
        </w:tc>
      </w:tr>
      <w:tr>
        <w:trPr>
          <w:trHeight w:val="343"/>
        </w:trPr>
        <w:tc>
          <w:tcPr>
            <w:tcW w:w="440" w:type="dxa"/>
            <w:vAlign w:val="bottom"/>
          </w:tcPr>
          <w:p>
            <w:pPr>
              <w:ind w:left="200"/>
              <w:spacing w:after="0"/>
              <w:rPr>
                <w:sz w:val="20"/>
                <w:szCs w:val="20"/>
                <w:color w:val="auto"/>
              </w:rPr>
            </w:pPr>
            <w:r>
              <w:rPr>
                <w:rFonts w:ascii="Arial" w:cs="Arial" w:eastAsia="Arial" w:hAnsi="Arial"/>
                <w:sz w:val="13"/>
                <w:szCs w:val="13"/>
                <w:color w:val="auto"/>
              </w:rPr>
              <w:t>1B)</w:t>
            </w:r>
          </w:p>
        </w:tc>
        <w:tc>
          <w:tcPr>
            <w:tcW w:w="3140" w:type="dxa"/>
            <w:vAlign w:val="bottom"/>
            <w:gridSpan w:val="2"/>
          </w:tcPr>
          <w:p>
            <w:pPr>
              <w:ind w:left="40"/>
              <w:spacing w:after="0"/>
              <w:rPr>
                <w:sz w:val="20"/>
                <w:szCs w:val="20"/>
                <w:color w:val="auto"/>
              </w:rPr>
            </w:pPr>
            <w:r>
              <w:rPr>
                <w:rFonts w:ascii="Arial" w:cs="Arial" w:eastAsia="Arial" w:hAnsi="Arial"/>
                <w:sz w:val="13"/>
                <w:szCs w:val="13"/>
                <w:color w:val="auto"/>
              </w:rPr>
              <w:t>D. L. Boren</w:t>
            </w:r>
          </w:p>
        </w:tc>
        <w:tc>
          <w:tcPr>
            <w:tcW w:w="880" w:type="dxa"/>
            <w:vAlign w:val="bottom"/>
          </w:tcPr>
          <w:p>
            <w:pPr>
              <w:ind w:left="620"/>
              <w:spacing w:after="0"/>
              <w:rPr>
                <w:sz w:val="20"/>
                <w:szCs w:val="20"/>
                <w:color w:val="auto"/>
              </w:rPr>
            </w:pPr>
            <w:r>
              <w:rPr>
                <w:rFonts w:ascii="Arial" w:cs="Arial" w:eastAsia="Arial" w:hAnsi="Arial"/>
                <w:sz w:val="16"/>
                <w:szCs w:val="16"/>
                <w:color w:val="auto"/>
              </w:rPr>
              <w:t>o</w:t>
            </w:r>
          </w:p>
        </w:tc>
        <w:tc>
          <w:tcPr>
            <w:tcW w:w="480" w:type="dxa"/>
            <w:vAlign w:val="bottom"/>
          </w:tcPr>
          <w:p>
            <w:pPr>
              <w:ind w:left="200"/>
              <w:spacing w:after="0"/>
              <w:rPr>
                <w:sz w:val="20"/>
                <w:szCs w:val="20"/>
                <w:color w:val="auto"/>
              </w:rPr>
            </w:pPr>
            <w:r>
              <w:rPr>
                <w:rFonts w:ascii="Arial" w:cs="Arial" w:eastAsia="Arial" w:hAnsi="Arial"/>
                <w:sz w:val="16"/>
                <w:szCs w:val="16"/>
                <w:color w:val="auto"/>
              </w:rPr>
              <w:t>o</w:t>
            </w:r>
          </w:p>
        </w:tc>
        <w:tc>
          <w:tcPr>
            <w:tcW w:w="660" w:type="dxa"/>
            <w:vAlign w:val="bottom"/>
          </w:tcPr>
          <w:p>
            <w:pPr>
              <w:jc w:val="center"/>
              <w:ind w:right="22"/>
              <w:spacing w:after="0"/>
              <w:rPr>
                <w:sz w:val="20"/>
                <w:szCs w:val="20"/>
                <w:color w:val="auto"/>
              </w:rPr>
            </w:pPr>
            <w:r>
              <w:rPr>
                <w:rFonts w:ascii="Arial" w:cs="Arial" w:eastAsia="Arial" w:hAnsi="Arial"/>
                <w:sz w:val="16"/>
                <w:szCs w:val="16"/>
                <w:color w:val="auto"/>
                <w:w w:val="89"/>
              </w:rPr>
              <w:t>o</w:t>
            </w:r>
          </w:p>
        </w:tc>
      </w:tr>
      <w:tr>
        <w:trPr>
          <w:trHeight w:val="343"/>
        </w:trPr>
        <w:tc>
          <w:tcPr>
            <w:tcW w:w="440" w:type="dxa"/>
            <w:vAlign w:val="bottom"/>
          </w:tcPr>
          <w:p>
            <w:pPr>
              <w:ind w:left="200"/>
              <w:spacing w:after="0"/>
              <w:rPr>
                <w:sz w:val="20"/>
                <w:szCs w:val="20"/>
                <w:color w:val="auto"/>
              </w:rPr>
            </w:pPr>
            <w:r>
              <w:rPr>
                <w:rFonts w:ascii="Arial" w:cs="Arial" w:eastAsia="Arial" w:hAnsi="Arial"/>
                <w:sz w:val="13"/>
                <w:szCs w:val="13"/>
                <w:color w:val="auto"/>
              </w:rPr>
              <w:t>1C)</w:t>
            </w:r>
          </w:p>
        </w:tc>
        <w:tc>
          <w:tcPr>
            <w:tcW w:w="3140" w:type="dxa"/>
            <w:vAlign w:val="bottom"/>
            <w:gridSpan w:val="2"/>
          </w:tcPr>
          <w:p>
            <w:pPr>
              <w:ind w:left="40"/>
              <w:spacing w:after="0"/>
              <w:rPr>
                <w:sz w:val="20"/>
                <w:szCs w:val="20"/>
                <w:color w:val="auto"/>
              </w:rPr>
            </w:pPr>
            <w:r>
              <w:rPr>
                <w:rFonts w:ascii="Arial" w:cs="Arial" w:eastAsia="Arial" w:hAnsi="Arial"/>
                <w:sz w:val="13"/>
                <w:szCs w:val="13"/>
                <w:color w:val="auto"/>
              </w:rPr>
              <w:t>D. A. Carp</w:t>
            </w:r>
          </w:p>
        </w:tc>
        <w:tc>
          <w:tcPr>
            <w:tcW w:w="880" w:type="dxa"/>
            <w:vAlign w:val="bottom"/>
          </w:tcPr>
          <w:p>
            <w:pPr>
              <w:ind w:left="620"/>
              <w:spacing w:after="0"/>
              <w:rPr>
                <w:sz w:val="20"/>
                <w:szCs w:val="20"/>
                <w:color w:val="auto"/>
              </w:rPr>
            </w:pPr>
            <w:r>
              <w:rPr>
                <w:rFonts w:ascii="Arial" w:cs="Arial" w:eastAsia="Arial" w:hAnsi="Arial"/>
                <w:sz w:val="16"/>
                <w:szCs w:val="16"/>
                <w:color w:val="auto"/>
              </w:rPr>
              <w:t>o</w:t>
            </w:r>
          </w:p>
        </w:tc>
        <w:tc>
          <w:tcPr>
            <w:tcW w:w="480" w:type="dxa"/>
            <w:vAlign w:val="bottom"/>
          </w:tcPr>
          <w:p>
            <w:pPr>
              <w:ind w:left="200"/>
              <w:spacing w:after="0"/>
              <w:rPr>
                <w:sz w:val="20"/>
                <w:szCs w:val="20"/>
                <w:color w:val="auto"/>
              </w:rPr>
            </w:pPr>
            <w:r>
              <w:rPr>
                <w:rFonts w:ascii="Arial" w:cs="Arial" w:eastAsia="Arial" w:hAnsi="Arial"/>
                <w:sz w:val="16"/>
                <w:szCs w:val="16"/>
                <w:color w:val="auto"/>
              </w:rPr>
              <w:t>o</w:t>
            </w:r>
          </w:p>
        </w:tc>
        <w:tc>
          <w:tcPr>
            <w:tcW w:w="660" w:type="dxa"/>
            <w:vAlign w:val="bottom"/>
          </w:tcPr>
          <w:p>
            <w:pPr>
              <w:jc w:val="center"/>
              <w:ind w:right="22"/>
              <w:spacing w:after="0"/>
              <w:rPr>
                <w:sz w:val="20"/>
                <w:szCs w:val="20"/>
                <w:color w:val="auto"/>
              </w:rPr>
            </w:pPr>
            <w:r>
              <w:rPr>
                <w:rFonts w:ascii="Arial" w:cs="Arial" w:eastAsia="Arial" w:hAnsi="Arial"/>
                <w:sz w:val="16"/>
                <w:szCs w:val="16"/>
                <w:color w:val="auto"/>
                <w:w w:val="89"/>
              </w:rPr>
              <w:t>o</w:t>
            </w:r>
          </w:p>
        </w:tc>
      </w:tr>
      <w:tr>
        <w:trPr>
          <w:trHeight w:val="343"/>
        </w:trPr>
        <w:tc>
          <w:tcPr>
            <w:tcW w:w="440" w:type="dxa"/>
            <w:vAlign w:val="bottom"/>
          </w:tcPr>
          <w:p>
            <w:pPr>
              <w:ind w:left="200"/>
              <w:spacing w:after="0"/>
              <w:rPr>
                <w:sz w:val="20"/>
                <w:szCs w:val="20"/>
                <w:color w:val="auto"/>
              </w:rPr>
            </w:pPr>
            <w:r>
              <w:rPr>
                <w:rFonts w:ascii="Arial" w:cs="Arial" w:eastAsia="Arial" w:hAnsi="Arial"/>
                <w:sz w:val="13"/>
                <w:szCs w:val="13"/>
                <w:color w:val="auto"/>
              </w:rPr>
              <w:t>1D)</w:t>
            </w:r>
          </w:p>
        </w:tc>
        <w:tc>
          <w:tcPr>
            <w:tcW w:w="3140" w:type="dxa"/>
            <w:vAlign w:val="bottom"/>
            <w:gridSpan w:val="2"/>
          </w:tcPr>
          <w:p>
            <w:pPr>
              <w:ind w:left="40"/>
              <w:spacing w:after="0"/>
              <w:rPr>
                <w:sz w:val="20"/>
                <w:szCs w:val="20"/>
                <w:color w:val="auto"/>
              </w:rPr>
            </w:pPr>
            <w:r>
              <w:rPr>
                <w:rFonts w:ascii="Arial" w:cs="Arial" w:eastAsia="Arial" w:hAnsi="Arial"/>
                <w:sz w:val="13"/>
                <w:szCs w:val="13"/>
                <w:color w:val="auto"/>
              </w:rPr>
              <w:t>C. S. Cox</w:t>
            </w:r>
          </w:p>
        </w:tc>
        <w:tc>
          <w:tcPr>
            <w:tcW w:w="880" w:type="dxa"/>
            <w:vAlign w:val="bottom"/>
          </w:tcPr>
          <w:p>
            <w:pPr>
              <w:ind w:left="620"/>
              <w:spacing w:after="0"/>
              <w:rPr>
                <w:sz w:val="20"/>
                <w:szCs w:val="20"/>
                <w:color w:val="auto"/>
              </w:rPr>
            </w:pPr>
            <w:r>
              <w:rPr>
                <w:rFonts w:ascii="Arial" w:cs="Arial" w:eastAsia="Arial" w:hAnsi="Arial"/>
                <w:sz w:val="16"/>
                <w:szCs w:val="16"/>
                <w:color w:val="auto"/>
              </w:rPr>
              <w:t>o</w:t>
            </w:r>
          </w:p>
        </w:tc>
        <w:tc>
          <w:tcPr>
            <w:tcW w:w="480" w:type="dxa"/>
            <w:vAlign w:val="bottom"/>
          </w:tcPr>
          <w:p>
            <w:pPr>
              <w:ind w:left="200"/>
              <w:spacing w:after="0"/>
              <w:rPr>
                <w:sz w:val="20"/>
                <w:szCs w:val="20"/>
                <w:color w:val="auto"/>
              </w:rPr>
            </w:pPr>
            <w:r>
              <w:rPr>
                <w:rFonts w:ascii="Arial" w:cs="Arial" w:eastAsia="Arial" w:hAnsi="Arial"/>
                <w:sz w:val="16"/>
                <w:szCs w:val="16"/>
                <w:color w:val="auto"/>
              </w:rPr>
              <w:t>o</w:t>
            </w:r>
          </w:p>
        </w:tc>
        <w:tc>
          <w:tcPr>
            <w:tcW w:w="660" w:type="dxa"/>
            <w:vAlign w:val="bottom"/>
          </w:tcPr>
          <w:p>
            <w:pPr>
              <w:jc w:val="center"/>
              <w:ind w:right="22"/>
              <w:spacing w:after="0"/>
              <w:rPr>
                <w:sz w:val="20"/>
                <w:szCs w:val="20"/>
                <w:color w:val="auto"/>
              </w:rPr>
            </w:pPr>
            <w:r>
              <w:rPr>
                <w:rFonts w:ascii="Arial" w:cs="Arial" w:eastAsia="Arial" w:hAnsi="Arial"/>
                <w:sz w:val="16"/>
                <w:szCs w:val="16"/>
                <w:color w:val="auto"/>
                <w:w w:val="89"/>
              </w:rPr>
              <w:t>o</w:t>
            </w:r>
          </w:p>
        </w:tc>
      </w:tr>
      <w:tr>
        <w:trPr>
          <w:trHeight w:val="343"/>
        </w:trPr>
        <w:tc>
          <w:tcPr>
            <w:tcW w:w="440" w:type="dxa"/>
            <w:vAlign w:val="bottom"/>
          </w:tcPr>
          <w:p>
            <w:pPr>
              <w:ind w:left="200"/>
              <w:spacing w:after="0"/>
              <w:rPr>
                <w:sz w:val="20"/>
                <w:szCs w:val="20"/>
                <w:color w:val="auto"/>
              </w:rPr>
            </w:pPr>
            <w:r>
              <w:rPr>
                <w:rFonts w:ascii="Arial" w:cs="Arial" w:eastAsia="Arial" w:hAnsi="Arial"/>
                <w:sz w:val="13"/>
                <w:szCs w:val="13"/>
                <w:color w:val="auto"/>
              </w:rPr>
              <w:t>1E)</w:t>
            </w:r>
          </w:p>
        </w:tc>
        <w:tc>
          <w:tcPr>
            <w:tcW w:w="3140" w:type="dxa"/>
            <w:vAlign w:val="bottom"/>
            <w:gridSpan w:val="2"/>
          </w:tcPr>
          <w:p>
            <w:pPr>
              <w:ind w:left="40"/>
              <w:spacing w:after="0"/>
              <w:rPr>
                <w:sz w:val="20"/>
                <w:szCs w:val="20"/>
                <w:color w:val="auto"/>
              </w:rPr>
            </w:pPr>
            <w:r>
              <w:rPr>
                <w:rFonts w:ascii="Arial" w:cs="Arial" w:eastAsia="Arial" w:hAnsi="Arial"/>
                <w:sz w:val="13"/>
                <w:szCs w:val="13"/>
                <w:color w:val="auto"/>
              </w:rPr>
              <w:t>D. R. Goode</w:t>
            </w:r>
          </w:p>
        </w:tc>
        <w:tc>
          <w:tcPr>
            <w:tcW w:w="880" w:type="dxa"/>
            <w:vAlign w:val="bottom"/>
          </w:tcPr>
          <w:p>
            <w:pPr>
              <w:ind w:left="620"/>
              <w:spacing w:after="0"/>
              <w:rPr>
                <w:sz w:val="20"/>
                <w:szCs w:val="20"/>
                <w:color w:val="auto"/>
              </w:rPr>
            </w:pPr>
            <w:r>
              <w:rPr>
                <w:rFonts w:ascii="Arial" w:cs="Arial" w:eastAsia="Arial" w:hAnsi="Arial"/>
                <w:sz w:val="16"/>
                <w:szCs w:val="16"/>
                <w:color w:val="auto"/>
              </w:rPr>
              <w:t>o</w:t>
            </w:r>
          </w:p>
        </w:tc>
        <w:tc>
          <w:tcPr>
            <w:tcW w:w="480" w:type="dxa"/>
            <w:vAlign w:val="bottom"/>
          </w:tcPr>
          <w:p>
            <w:pPr>
              <w:ind w:left="200"/>
              <w:spacing w:after="0"/>
              <w:rPr>
                <w:sz w:val="20"/>
                <w:szCs w:val="20"/>
                <w:color w:val="auto"/>
              </w:rPr>
            </w:pPr>
            <w:r>
              <w:rPr>
                <w:rFonts w:ascii="Arial" w:cs="Arial" w:eastAsia="Arial" w:hAnsi="Arial"/>
                <w:sz w:val="16"/>
                <w:szCs w:val="16"/>
                <w:color w:val="auto"/>
              </w:rPr>
              <w:t>o</w:t>
            </w:r>
          </w:p>
        </w:tc>
        <w:tc>
          <w:tcPr>
            <w:tcW w:w="660" w:type="dxa"/>
            <w:vAlign w:val="bottom"/>
          </w:tcPr>
          <w:p>
            <w:pPr>
              <w:jc w:val="center"/>
              <w:ind w:right="22"/>
              <w:spacing w:after="0"/>
              <w:rPr>
                <w:sz w:val="20"/>
                <w:szCs w:val="20"/>
                <w:color w:val="auto"/>
              </w:rPr>
            </w:pPr>
            <w:r>
              <w:rPr>
                <w:rFonts w:ascii="Arial" w:cs="Arial" w:eastAsia="Arial" w:hAnsi="Arial"/>
                <w:sz w:val="16"/>
                <w:szCs w:val="16"/>
                <w:color w:val="auto"/>
                <w:w w:val="89"/>
              </w:rPr>
              <w:t>o</w:t>
            </w:r>
          </w:p>
        </w:tc>
      </w:tr>
      <w:tr>
        <w:trPr>
          <w:trHeight w:val="343"/>
        </w:trPr>
        <w:tc>
          <w:tcPr>
            <w:tcW w:w="440" w:type="dxa"/>
            <w:vAlign w:val="bottom"/>
          </w:tcPr>
          <w:p>
            <w:pPr>
              <w:ind w:left="200"/>
              <w:spacing w:after="0"/>
              <w:rPr>
                <w:sz w:val="20"/>
                <w:szCs w:val="20"/>
                <w:color w:val="auto"/>
              </w:rPr>
            </w:pPr>
            <w:r>
              <w:rPr>
                <w:rFonts w:ascii="Arial" w:cs="Arial" w:eastAsia="Arial" w:hAnsi="Arial"/>
                <w:sz w:val="13"/>
                <w:szCs w:val="13"/>
                <w:color w:val="auto"/>
              </w:rPr>
              <w:t>1F)</w:t>
            </w:r>
          </w:p>
        </w:tc>
        <w:tc>
          <w:tcPr>
            <w:tcW w:w="3140" w:type="dxa"/>
            <w:vAlign w:val="bottom"/>
            <w:gridSpan w:val="2"/>
          </w:tcPr>
          <w:p>
            <w:pPr>
              <w:ind w:left="40"/>
              <w:spacing w:after="0"/>
              <w:rPr>
                <w:sz w:val="20"/>
                <w:szCs w:val="20"/>
                <w:color w:val="auto"/>
              </w:rPr>
            </w:pPr>
            <w:r>
              <w:rPr>
                <w:rFonts w:ascii="Arial" w:cs="Arial" w:eastAsia="Arial" w:hAnsi="Arial"/>
                <w:sz w:val="13"/>
                <w:szCs w:val="13"/>
                <w:color w:val="auto"/>
              </w:rPr>
              <w:t>P. H. Patsley</w:t>
            </w:r>
          </w:p>
        </w:tc>
        <w:tc>
          <w:tcPr>
            <w:tcW w:w="880" w:type="dxa"/>
            <w:vAlign w:val="bottom"/>
          </w:tcPr>
          <w:p>
            <w:pPr>
              <w:ind w:left="620"/>
              <w:spacing w:after="0"/>
              <w:rPr>
                <w:sz w:val="20"/>
                <w:szCs w:val="20"/>
                <w:color w:val="auto"/>
              </w:rPr>
            </w:pPr>
            <w:r>
              <w:rPr>
                <w:rFonts w:ascii="Arial" w:cs="Arial" w:eastAsia="Arial" w:hAnsi="Arial"/>
                <w:sz w:val="16"/>
                <w:szCs w:val="16"/>
                <w:color w:val="auto"/>
              </w:rPr>
              <w:t>o</w:t>
            </w:r>
          </w:p>
        </w:tc>
        <w:tc>
          <w:tcPr>
            <w:tcW w:w="480" w:type="dxa"/>
            <w:vAlign w:val="bottom"/>
          </w:tcPr>
          <w:p>
            <w:pPr>
              <w:ind w:left="200"/>
              <w:spacing w:after="0"/>
              <w:rPr>
                <w:sz w:val="20"/>
                <w:szCs w:val="20"/>
                <w:color w:val="auto"/>
              </w:rPr>
            </w:pPr>
            <w:r>
              <w:rPr>
                <w:rFonts w:ascii="Arial" w:cs="Arial" w:eastAsia="Arial" w:hAnsi="Arial"/>
                <w:sz w:val="16"/>
                <w:szCs w:val="16"/>
                <w:color w:val="auto"/>
              </w:rPr>
              <w:t>o</w:t>
            </w:r>
          </w:p>
        </w:tc>
        <w:tc>
          <w:tcPr>
            <w:tcW w:w="660" w:type="dxa"/>
            <w:vAlign w:val="bottom"/>
          </w:tcPr>
          <w:p>
            <w:pPr>
              <w:jc w:val="center"/>
              <w:ind w:right="22"/>
              <w:spacing w:after="0"/>
              <w:rPr>
                <w:sz w:val="20"/>
                <w:szCs w:val="20"/>
                <w:color w:val="auto"/>
              </w:rPr>
            </w:pPr>
            <w:r>
              <w:rPr>
                <w:rFonts w:ascii="Arial" w:cs="Arial" w:eastAsia="Arial" w:hAnsi="Arial"/>
                <w:sz w:val="16"/>
                <w:szCs w:val="16"/>
                <w:color w:val="auto"/>
                <w:w w:val="89"/>
              </w:rPr>
              <w:t>o</w:t>
            </w:r>
          </w:p>
        </w:tc>
      </w:tr>
      <w:tr>
        <w:trPr>
          <w:trHeight w:val="343"/>
        </w:trPr>
        <w:tc>
          <w:tcPr>
            <w:tcW w:w="440" w:type="dxa"/>
            <w:vAlign w:val="bottom"/>
          </w:tcPr>
          <w:p>
            <w:pPr>
              <w:ind w:left="200"/>
              <w:spacing w:after="0"/>
              <w:rPr>
                <w:sz w:val="20"/>
                <w:szCs w:val="20"/>
                <w:color w:val="auto"/>
              </w:rPr>
            </w:pPr>
            <w:r>
              <w:rPr>
                <w:rFonts w:ascii="Arial" w:cs="Arial" w:eastAsia="Arial" w:hAnsi="Arial"/>
                <w:sz w:val="13"/>
                <w:szCs w:val="13"/>
                <w:color w:val="auto"/>
              </w:rPr>
              <w:t>1G)</w:t>
            </w:r>
          </w:p>
        </w:tc>
        <w:tc>
          <w:tcPr>
            <w:tcW w:w="3140" w:type="dxa"/>
            <w:vAlign w:val="bottom"/>
            <w:gridSpan w:val="2"/>
          </w:tcPr>
          <w:p>
            <w:pPr>
              <w:ind w:left="40"/>
              <w:spacing w:after="0"/>
              <w:rPr>
                <w:sz w:val="20"/>
                <w:szCs w:val="20"/>
                <w:color w:val="auto"/>
              </w:rPr>
            </w:pPr>
            <w:r>
              <w:rPr>
                <w:rFonts w:ascii="Arial" w:cs="Arial" w:eastAsia="Arial" w:hAnsi="Arial"/>
                <w:sz w:val="13"/>
                <w:szCs w:val="13"/>
                <w:color w:val="auto"/>
              </w:rPr>
              <w:t>W. R. Sanders</w:t>
            </w:r>
          </w:p>
        </w:tc>
        <w:tc>
          <w:tcPr>
            <w:tcW w:w="880" w:type="dxa"/>
            <w:vAlign w:val="bottom"/>
          </w:tcPr>
          <w:p>
            <w:pPr>
              <w:ind w:left="620"/>
              <w:spacing w:after="0"/>
              <w:rPr>
                <w:sz w:val="20"/>
                <w:szCs w:val="20"/>
                <w:color w:val="auto"/>
              </w:rPr>
            </w:pPr>
            <w:r>
              <w:rPr>
                <w:rFonts w:ascii="Arial" w:cs="Arial" w:eastAsia="Arial" w:hAnsi="Arial"/>
                <w:sz w:val="16"/>
                <w:szCs w:val="16"/>
                <w:color w:val="auto"/>
              </w:rPr>
              <w:t>o</w:t>
            </w:r>
          </w:p>
        </w:tc>
        <w:tc>
          <w:tcPr>
            <w:tcW w:w="480" w:type="dxa"/>
            <w:vAlign w:val="bottom"/>
          </w:tcPr>
          <w:p>
            <w:pPr>
              <w:ind w:left="200"/>
              <w:spacing w:after="0"/>
              <w:rPr>
                <w:sz w:val="20"/>
                <w:szCs w:val="20"/>
                <w:color w:val="auto"/>
              </w:rPr>
            </w:pPr>
            <w:r>
              <w:rPr>
                <w:rFonts w:ascii="Arial" w:cs="Arial" w:eastAsia="Arial" w:hAnsi="Arial"/>
                <w:sz w:val="16"/>
                <w:szCs w:val="16"/>
                <w:color w:val="auto"/>
              </w:rPr>
              <w:t>o</w:t>
            </w:r>
          </w:p>
        </w:tc>
        <w:tc>
          <w:tcPr>
            <w:tcW w:w="660" w:type="dxa"/>
            <w:vAlign w:val="bottom"/>
          </w:tcPr>
          <w:p>
            <w:pPr>
              <w:jc w:val="center"/>
              <w:ind w:right="22"/>
              <w:spacing w:after="0"/>
              <w:rPr>
                <w:sz w:val="20"/>
                <w:szCs w:val="20"/>
                <w:color w:val="auto"/>
              </w:rPr>
            </w:pPr>
            <w:r>
              <w:rPr>
                <w:rFonts w:ascii="Arial" w:cs="Arial" w:eastAsia="Arial" w:hAnsi="Arial"/>
                <w:sz w:val="16"/>
                <w:szCs w:val="16"/>
                <w:color w:val="auto"/>
                <w:w w:val="89"/>
              </w:rPr>
              <w:t>o</w:t>
            </w:r>
          </w:p>
        </w:tc>
      </w:tr>
      <w:tr>
        <w:trPr>
          <w:trHeight w:val="343"/>
        </w:trPr>
        <w:tc>
          <w:tcPr>
            <w:tcW w:w="440" w:type="dxa"/>
            <w:vAlign w:val="bottom"/>
          </w:tcPr>
          <w:p>
            <w:pPr>
              <w:ind w:left="200"/>
              <w:spacing w:after="0"/>
              <w:rPr>
                <w:sz w:val="20"/>
                <w:szCs w:val="20"/>
                <w:color w:val="auto"/>
              </w:rPr>
            </w:pPr>
            <w:r>
              <w:rPr>
                <w:rFonts w:ascii="Arial" w:cs="Arial" w:eastAsia="Arial" w:hAnsi="Arial"/>
                <w:sz w:val="13"/>
                <w:szCs w:val="13"/>
                <w:color w:val="auto"/>
              </w:rPr>
              <w:t>1H)</w:t>
            </w:r>
          </w:p>
        </w:tc>
        <w:tc>
          <w:tcPr>
            <w:tcW w:w="3140" w:type="dxa"/>
            <w:vAlign w:val="bottom"/>
            <w:gridSpan w:val="2"/>
          </w:tcPr>
          <w:p>
            <w:pPr>
              <w:ind w:left="40"/>
              <w:spacing w:after="0"/>
              <w:rPr>
                <w:sz w:val="20"/>
                <w:szCs w:val="20"/>
                <w:color w:val="auto"/>
              </w:rPr>
            </w:pPr>
            <w:r>
              <w:rPr>
                <w:rFonts w:ascii="Arial" w:cs="Arial" w:eastAsia="Arial" w:hAnsi="Arial"/>
                <w:sz w:val="13"/>
                <w:szCs w:val="13"/>
                <w:color w:val="auto"/>
              </w:rPr>
              <w:t>R. J. Simmons</w:t>
            </w:r>
          </w:p>
        </w:tc>
        <w:tc>
          <w:tcPr>
            <w:tcW w:w="880" w:type="dxa"/>
            <w:vAlign w:val="bottom"/>
          </w:tcPr>
          <w:p>
            <w:pPr>
              <w:ind w:left="620"/>
              <w:spacing w:after="0"/>
              <w:rPr>
                <w:sz w:val="20"/>
                <w:szCs w:val="20"/>
                <w:color w:val="auto"/>
              </w:rPr>
            </w:pPr>
            <w:r>
              <w:rPr>
                <w:rFonts w:ascii="Arial" w:cs="Arial" w:eastAsia="Arial" w:hAnsi="Arial"/>
                <w:sz w:val="16"/>
                <w:szCs w:val="16"/>
                <w:color w:val="auto"/>
              </w:rPr>
              <w:t>o</w:t>
            </w:r>
          </w:p>
        </w:tc>
        <w:tc>
          <w:tcPr>
            <w:tcW w:w="480" w:type="dxa"/>
            <w:vAlign w:val="bottom"/>
          </w:tcPr>
          <w:p>
            <w:pPr>
              <w:ind w:left="200"/>
              <w:spacing w:after="0"/>
              <w:rPr>
                <w:sz w:val="20"/>
                <w:szCs w:val="20"/>
                <w:color w:val="auto"/>
              </w:rPr>
            </w:pPr>
            <w:r>
              <w:rPr>
                <w:rFonts w:ascii="Arial" w:cs="Arial" w:eastAsia="Arial" w:hAnsi="Arial"/>
                <w:sz w:val="16"/>
                <w:szCs w:val="16"/>
                <w:color w:val="auto"/>
              </w:rPr>
              <w:t>o</w:t>
            </w:r>
          </w:p>
        </w:tc>
        <w:tc>
          <w:tcPr>
            <w:tcW w:w="660" w:type="dxa"/>
            <w:vAlign w:val="bottom"/>
          </w:tcPr>
          <w:p>
            <w:pPr>
              <w:jc w:val="center"/>
              <w:ind w:right="22"/>
              <w:spacing w:after="0"/>
              <w:rPr>
                <w:sz w:val="20"/>
                <w:szCs w:val="20"/>
                <w:color w:val="auto"/>
              </w:rPr>
            </w:pPr>
            <w:r>
              <w:rPr>
                <w:rFonts w:ascii="Arial" w:cs="Arial" w:eastAsia="Arial" w:hAnsi="Arial"/>
                <w:sz w:val="16"/>
                <w:szCs w:val="16"/>
                <w:color w:val="auto"/>
                <w:w w:val="89"/>
              </w:rPr>
              <w:t>o</w:t>
            </w:r>
          </w:p>
        </w:tc>
      </w:tr>
      <w:tr>
        <w:trPr>
          <w:trHeight w:val="295"/>
        </w:trPr>
        <w:tc>
          <w:tcPr>
            <w:tcW w:w="4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311"/>
        </w:trPr>
        <w:tc>
          <w:tcPr>
            <w:tcW w:w="440" w:type="dxa"/>
            <w:vAlign w:val="bottom"/>
            <w:tcBorders>
              <w:left w:val="single" w:sz="8" w:color="auto"/>
              <w:bottom w:val="single" w:sz="8" w:color="auto"/>
            </w:tcBorders>
          </w:tcPr>
          <w:p>
            <w:pPr>
              <w:spacing w:after="0"/>
              <w:rPr>
                <w:sz w:val="24"/>
                <w:szCs w:val="24"/>
                <w:color w:val="auto"/>
              </w:rPr>
            </w:pPr>
          </w:p>
        </w:tc>
        <w:tc>
          <w:tcPr>
            <w:tcW w:w="2540" w:type="dxa"/>
            <w:vAlign w:val="bottom"/>
            <w:tcBorders>
              <w:bottom w:val="single" w:sz="8" w:color="auto"/>
              <w:right w:val="single" w:sz="8" w:color="auto"/>
            </w:tcBorders>
          </w:tcPr>
          <w:p>
            <w:pPr>
              <w:spacing w:after="0"/>
              <w:rPr>
                <w:sz w:val="24"/>
                <w:szCs w:val="24"/>
                <w:color w:val="auto"/>
              </w:rPr>
            </w:pPr>
          </w:p>
        </w:tc>
        <w:tc>
          <w:tcPr>
            <w:tcW w:w="600" w:type="dxa"/>
            <w:vAlign w:val="bottom"/>
            <w:tcBorders>
              <w:bottom w:val="single" w:sz="8" w:color="auto"/>
              <w:righ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188"/>
        <w:spacing w:after="0"/>
        <w:tabs>
          <w:tab w:leader="none" w:pos="427" w:val="left"/>
        </w:tabs>
        <w:rPr>
          <w:sz w:val="20"/>
          <w:szCs w:val="20"/>
          <w:color w:val="auto"/>
        </w:rPr>
      </w:pPr>
      <w:r>
        <w:rPr>
          <w:rFonts w:ascii="Arial" w:cs="Arial" w:eastAsia="Arial" w:hAnsi="Arial"/>
          <w:sz w:val="13"/>
          <w:szCs w:val="13"/>
          <w:color w:val="auto"/>
        </w:rPr>
        <w:t>1I)</w:t>
      </w:r>
      <w:r>
        <w:rPr>
          <w:sz w:val="20"/>
          <w:szCs w:val="20"/>
          <w:color w:val="auto"/>
        </w:rPr>
        <w:tab/>
      </w:r>
      <w:r>
        <w:rPr>
          <w:rFonts w:ascii="Arial" w:cs="Arial" w:eastAsia="Arial" w:hAnsi="Arial"/>
          <w:sz w:val="12"/>
          <w:szCs w:val="12"/>
          <w:color w:val="auto"/>
        </w:rPr>
        <w:t>R. K. Templeton</w:t>
      </w:r>
    </w:p>
    <w:p>
      <w:pPr>
        <w:spacing w:after="0" w:line="194" w:lineRule="exact"/>
        <w:rPr>
          <w:sz w:val="20"/>
          <w:szCs w:val="20"/>
          <w:color w:val="auto"/>
        </w:rPr>
      </w:pPr>
    </w:p>
    <w:p>
      <w:pPr>
        <w:ind w:left="188"/>
        <w:spacing w:after="0"/>
        <w:rPr>
          <w:sz w:val="20"/>
          <w:szCs w:val="20"/>
          <w:color w:val="auto"/>
        </w:rPr>
      </w:pPr>
      <w:r>
        <w:rPr>
          <w:rFonts w:ascii="Arial" w:cs="Arial" w:eastAsia="Arial" w:hAnsi="Arial"/>
          <w:sz w:val="13"/>
          <w:szCs w:val="13"/>
          <w:color w:val="auto"/>
        </w:rPr>
        <w:t>1J) C. T. Whitman</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3"/>
          <w:szCs w:val="13"/>
          <w:b w:val="1"/>
          <w:bCs w:val="1"/>
          <w:color w:val="auto"/>
        </w:rPr>
        <w:t>Vote on Proposals</w:t>
      </w:r>
    </w:p>
    <w:p>
      <w:pPr>
        <w:spacing w:after="0" w:line="161" w:lineRule="exact"/>
        <w:rPr>
          <w:sz w:val="20"/>
          <w:szCs w:val="20"/>
          <w:color w:val="auto"/>
        </w:rPr>
      </w:pPr>
    </w:p>
    <w:p>
      <w:pPr>
        <w:jc w:val="both"/>
        <w:ind w:left="188" w:hanging="188"/>
        <w:spacing w:after="0" w:line="241" w:lineRule="auto"/>
        <w:tabs>
          <w:tab w:leader="none" w:pos="188" w:val="left"/>
        </w:tabs>
        <w:numPr>
          <w:ilvl w:val="0"/>
          <w:numId w:val="55"/>
        </w:numPr>
        <w:rPr>
          <w:rFonts w:ascii="Arial" w:cs="Arial" w:eastAsia="Arial" w:hAnsi="Arial"/>
          <w:sz w:val="13"/>
          <w:szCs w:val="13"/>
          <w:color w:val="auto"/>
        </w:rPr>
      </w:pPr>
      <w:r>
        <w:rPr>
          <w:rFonts w:ascii="Arial" w:cs="Arial" w:eastAsia="Arial" w:hAnsi="Arial"/>
          <w:sz w:val="13"/>
          <w:szCs w:val="13"/>
          <w:color w:val="auto"/>
        </w:rPr>
        <w:t>Board proposal to ratify the appointment of Ernst &amp; Young LLP as the Company's independent registered public accounting firm for 2008.</w:t>
      </w:r>
    </w:p>
    <w:p>
      <w:pPr>
        <w:spacing w:after="0" w:line="137" w:lineRule="exact"/>
        <w:rPr>
          <w:rFonts w:ascii="Arial" w:cs="Arial" w:eastAsia="Arial" w:hAnsi="Arial"/>
          <w:sz w:val="13"/>
          <w:szCs w:val="13"/>
          <w:color w:val="auto"/>
        </w:rPr>
      </w:pPr>
    </w:p>
    <w:p>
      <w:pPr>
        <w:ind w:left="188" w:hanging="188"/>
        <w:spacing w:after="0"/>
        <w:tabs>
          <w:tab w:leader="none" w:pos="188" w:val="left"/>
        </w:tabs>
        <w:numPr>
          <w:ilvl w:val="0"/>
          <w:numId w:val="55"/>
        </w:numPr>
        <w:rPr>
          <w:rFonts w:ascii="Arial" w:cs="Arial" w:eastAsia="Arial" w:hAnsi="Arial"/>
          <w:sz w:val="13"/>
          <w:szCs w:val="13"/>
          <w:color w:val="auto"/>
        </w:rPr>
      </w:pPr>
      <w:r>
        <w:rPr>
          <w:rFonts w:ascii="Arial" w:cs="Arial" w:eastAsia="Arial" w:hAnsi="Arial"/>
          <w:sz w:val="13"/>
          <w:szCs w:val="13"/>
          <w:color w:val="auto"/>
        </w:rPr>
        <w:t>Stockholder proposal regarding qualifications for director nominees.</w:t>
      </w:r>
    </w:p>
    <w:p>
      <w:pPr>
        <w:spacing w:after="0" w:line="20" w:lineRule="exact"/>
        <w:rPr>
          <w:sz w:val="20"/>
          <w:szCs w:val="20"/>
          <w:color w:val="auto"/>
        </w:rPr>
      </w:pPr>
      <w:r>
        <w:rPr>
          <w:sz w:val="20"/>
          <w:szCs w:val="20"/>
          <w:color w:val="auto"/>
        </w:rPr>
        <w:br w:type="column"/>
      </w:r>
    </w:p>
    <w:p>
      <w:pPr>
        <w:spacing w:after="0" w:line="39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Against Abstain</w:t>
      </w:r>
    </w:p>
    <w:p>
      <w:pPr>
        <w:spacing w:after="0" w:line="294" w:lineRule="exact"/>
        <w:rPr>
          <w:sz w:val="20"/>
          <w:szCs w:val="20"/>
          <w:color w:val="auto"/>
        </w:rPr>
      </w:pPr>
    </w:p>
    <w:p>
      <w:pPr>
        <w:ind w:left="100"/>
        <w:spacing w:after="0"/>
        <w:tabs>
          <w:tab w:leader="none" w:pos="500" w:val="left"/>
          <w:tab w:leader="none" w:pos="1020" w:val="left"/>
        </w:tabs>
        <w:rPr>
          <w:sz w:val="20"/>
          <w:szCs w:val="20"/>
          <w:color w:val="auto"/>
        </w:rPr>
      </w:pP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o</w:t>
      </w:r>
    </w:p>
    <w:p>
      <w:pPr>
        <w:spacing w:after="0" w:line="159" w:lineRule="exact"/>
        <w:rPr>
          <w:sz w:val="20"/>
          <w:szCs w:val="20"/>
          <w:color w:val="auto"/>
        </w:rPr>
      </w:pPr>
    </w:p>
    <w:p>
      <w:pPr>
        <w:ind w:left="100"/>
        <w:spacing w:after="0"/>
        <w:tabs>
          <w:tab w:leader="none" w:pos="500" w:val="left"/>
          <w:tab w:leader="none" w:pos="1020" w:val="left"/>
        </w:tabs>
        <w:rPr>
          <w:sz w:val="20"/>
          <w:szCs w:val="20"/>
          <w:color w:val="auto"/>
        </w:rPr>
      </w:pP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o</w:t>
      </w:r>
    </w:p>
    <w:p>
      <w:pPr>
        <w:spacing w:after="0" w:line="3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Against Abstain</w:t>
      </w:r>
    </w:p>
    <w:p>
      <w:pPr>
        <w:spacing w:after="0" w:line="123" w:lineRule="exact"/>
        <w:rPr>
          <w:sz w:val="20"/>
          <w:szCs w:val="20"/>
          <w:color w:val="auto"/>
        </w:rPr>
      </w:pPr>
    </w:p>
    <w:p>
      <w:pPr>
        <w:ind w:left="100"/>
        <w:spacing w:after="0"/>
        <w:tabs>
          <w:tab w:leader="none" w:pos="500" w:val="left"/>
          <w:tab w:leader="none" w:pos="1020" w:val="left"/>
        </w:tabs>
        <w:rPr>
          <w:sz w:val="20"/>
          <w:szCs w:val="20"/>
          <w:color w:val="auto"/>
        </w:rPr>
      </w:pP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o</w:t>
      </w:r>
    </w:p>
    <w:p>
      <w:pPr>
        <w:spacing w:after="0" w:line="282" w:lineRule="exact"/>
        <w:rPr>
          <w:sz w:val="20"/>
          <w:szCs w:val="20"/>
          <w:color w:val="auto"/>
        </w:rPr>
      </w:pPr>
    </w:p>
    <w:p>
      <w:pPr>
        <w:ind w:left="100"/>
        <w:spacing w:after="0"/>
        <w:tabs>
          <w:tab w:leader="none" w:pos="500" w:val="left"/>
          <w:tab w:leader="none" w:pos="1020" w:val="left"/>
        </w:tabs>
        <w:rPr>
          <w:sz w:val="20"/>
          <w:szCs w:val="20"/>
          <w:color w:val="auto"/>
        </w:rPr>
      </w:pPr>
      <w:r>
        <w:rPr>
          <w:rFonts w:ascii="Arial" w:cs="Arial" w:eastAsia="Arial" w:hAnsi="Arial"/>
          <w:sz w:val="16"/>
          <w:szCs w:val="16"/>
          <w:color w:val="auto"/>
        </w:rPr>
        <w:t>o</w:t>
      </w:r>
      <w:r>
        <w:rPr>
          <w:sz w:val="20"/>
          <w:szCs w:val="20"/>
          <w:color w:val="auto"/>
        </w:rPr>
        <w:tab/>
      </w:r>
      <w:r>
        <w:rPr>
          <w:rFonts w:ascii="Arial" w:cs="Arial" w:eastAsia="Arial" w:hAnsi="Arial"/>
          <w:sz w:val="16"/>
          <w:szCs w:val="16"/>
          <w:color w:val="auto"/>
        </w:rPr>
        <w:t>o</w:t>
      </w:r>
      <w:r>
        <w:rPr>
          <w:sz w:val="20"/>
          <w:szCs w:val="20"/>
          <w:color w:val="auto"/>
        </w:rPr>
        <w:tab/>
      </w:r>
      <w:r>
        <w:rPr>
          <w:rFonts w:ascii="Arial" w:cs="Arial" w:eastAsia="Arial" w:hAnsi="Arial"/>
          <w:sz w:val="14"/>
          <w:szCs w:val="14"/>
          <w:color w:val="auto"/>
        </w:rPr>
        <w:t>o</w:t>
      </w:r>
    </w:p>
    <w:p>
      <w:pPr>
        <w:spacing w:after="0" w:line="1495" w:lineRule="exact"/>
        <w:rPr>
          <w:sz w:val="20"/>
          <w:szCs w:val="20"/>
          <w:color w:val="auto"/>
        </w:rPr>
      </w:pPr>
    </w:p>
    <w:p>
      <w:pPr>
        <w:sectPr>
          <w:pgSz w:w="11900" w:h="16838" w:orient="portrait"/>
          <w:cols w:equalWidth="0" w:num="3">
            <w:col w:w="5840" w:space="92"/>
            <w:col w:w="4088" w:space="180"/>
            <w:col w:w="1320"/>
          </w:cols>
          <w:pgMar w:left="240" w:top="1440" w:right="139" w:bottom="0" w:gutter="0" w:footer="0" w:header="0"/>
          <w:type w:val="continuous"/>
        </w:sectPr>
      </w:pPr>
    </w:p>
    <w:p>
      <w:pPr>
        <w:ind w:left="240"/>
        <w:spacing w:after="0"/>
        <w:tabs>
          <w:tab w:leader="none" w:pos="3180" w:val="left"/>
          <w:tab w:leader="none" w:pos="5860" w:val="left"/>
          <w:tab w:leader="none" w:pos="8820" w:val="left"/>
        </w:tabs>
        <w:rPr>
          <w:sz w:val="20"/>
          <w:szCs w:val="20"/>
          <w:color w:val="auto"/>
        </w:rPr>
      </w:pPr>
      <w:r>
        <w:rPr>
          <w:rFonts w:ascii="Arial" w:cs="Arial" w:eastAsia="Arial" w:hAnsi="Arial"/>
          <w:sz w:val="13"/>
          <w:szCs w:val="13"/>
          <w:color w:val="auto"/>
        </w:rPr>
        <w:t>Signature [PLEASE SIGN WITHIN BOX]</w:t>
      </w:r>
      <w:r>
        <w:rPr>
          <w:sz w:val="20"/>
          <w:szCs w:val="20"/>
          <w:color w:val="auto"/>
        </w:rPr>
        <w:tab/>
      </w:r>
      <w:r>
        <w:rPr>
          <w:rFonts w:ascii="Arial" w:cs="Arial" w:eastAsia="Arial" w:hAnsi="Arial"/>
          <w:sz w:val="13"/>
          <w:szCs w:val="13"/>
          <w:color w:val="auto"/>
        </w:rPr>
        <w:t>Date</w:t>
      </w:r>
      <w:r>
        <w:rPr>
          <w:sz w:val="20"/>
          <w:szCs w:val="20"/>
          <w:color w:val="auto"/>
        </w:rPr>
        <w:tab/>
      </w:r>
      <w:r>
        <w:rPr>
          <w:rFonts w:ascii="Arial" w:cs="Arial" w:eastAsia="Arial" w:hAnsi="Arial"/>
          <w:sz w:val="13"/>
          <w:szCs w:val="13"/>
          <w:color w:val="auto"/>
        </w:rPr>
        <w:t>Signature (Joint Owners)</w:t>
      </w:r>
      <w:r>
        <w:rPr>
          <w:sz w:val="20"/>
          <w:szCs w:val="20"/>
          <w:color w:val="auto"/>
        </w:rPr>
        <w:tab/>
      </w: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444500</wp:posOffset>
            </wp:positionV>
            <wp:extent cx="7279640" cy="203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9640" cy="20320"/>
                    </a:xfrm>
                    <a:prstGeom prst="rect">
                      <a:avLst/>
                    </a:prstGeom>
                    <a:noFill/>
                  </pic:spPr>
                </pic:pic>
              </a:graphicData>
            </a:graphic>
          </wp:anchor>
        </w:drawing>
        <w:drawing>
          <wp:anchor simplePos="0" relativeHeight="251657728" behindDoc="1" locked="0" layoutInCell="0" allowOverlap="1">
            <wp:simplePos x="0" y="0"/>
            <wp:positionH relativeFrom="column">
              <wp:posOffset>2558415</wp:posOffset>
            </wp:positionH>
            <wp:positionV relativeFrom="paragraph">
              <wp:posOffset>586740</wp:posOffset>
            </wp:positionV>
            <wp:extent cx="2139950" cy="82486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139950" cy="824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NOTICE OF ANNUAL MEETING OF STOCKHOLDERS</w:t>
      </w:r>
    </w:p>
    <w:p>
      <w:pPr>
        <w:spacing w:after="0" w:line="196"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color w:val="auto"/>
        </w:rPr>
        <w:t>APRIL 17, 2008</w:t>
      </w:r>
    </w:p>
    <w:p>
      <w:pPr>
        <w:spacing w:after="0" w:line="216" w:lineRule="exact"/>
        <w:rPr>
          <w:sz w:val="20"/>
          <w:szCs w:val="20"/>
          <w:color w:val="auto"/>
        </w:rPr>
      </w:pPr>
    </w:p>
    <w:p>
      <w:pPr>
        <w:jc w:val="both"/>
        <w:ind w:left="980" w:right="1080"/>
        <w:spacing w:after="0" w:line="243" w:lineRule="auto"/>
        <w:rPr>
          <w:sz w:val="20"/>
          <w:szCs w:val="20"/>
          <w:color w:val="auto"/>
        </w:rPr>
      </w:pPr>
      <w:r>
        <w:rPr>
          <w:rFonts w:ascii="Arial" w:cs="Arial" w:eastAsia="Arial" w:hAnsi="Arial"/>
          <w:sz w:val="16"/>
          <w:szCs w:val="16"/>
          <w:color w:val="auto"/>
        </w:rPr>
        <w:t>You are cordially invited to attend the 2008 annual meeting of stockholders on Thursday, April 17, 2008, at the cafeteria on our property at 12500 TI Boulevard, Dallas, Texas, at 10:00 a.m. (Dallas time). At the meeting, we will consider the election of directors, the ratification of the appointment of Ernst &amp; Young LLP as the Company's independent registered public accounting firm for 2008, a stockholder proposal, and such other matters as may properly come before the meeting.</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6"/>
          <w:szCs w:val="16"/>
          <w:b w:val="1"/>
          <w:bCs w:val="1"/>
          <w:u w:val="single" w:color="auto"/>
          <w:color w:val="auto"/>
        </w:rPr>
        <w:t>Electronic Delivery of Proxy Materials</w:t>
      </w:r>
    </w:p>
    <w:p>
      <w:pPr>
        <w:spacing w:after="0" w:line="216" w:lineRule="exact"/>
        <w:rPr>
          <w:sz w:val="20"/>
          <w:szCs w:val="20"/>
          <w:color w:val="auto"/>
        </w:rPr>
      </w:pPr>
    </w:p>
    <w:p>
      <w:pPr>
        <w:jc w:val="both"/>
        <w:ind w:left="980" w:right="1080"/>
        <w:spacing w:after="0" w:line="250" w:lineRule="auto"/>
        <w:rPr>
          <w:sz w:val="20"/>
          <w:szCs w:val="20"/>
          <w:color w:val="auto"/>
        </w:rPr>
      </w:pPr>
      <w:r>
        <w:rPr>
          <w:rFonts w:ascii="Arial" w:cs="Arial" w:eastAsia="Arial" w:hAnsi="Arial"/>
          <w:sz w:val="16"/>
          <w:szCs w:val="16"/>
          <w:color w:val="auto"/>
        </w:rPr>
        <w:t>We are pleased to offer stockholders the opportunity to receive future proxy mailings by e-mail. To request electronic delivery, please vote via the Internet at www.proxyvote.com and, when prompted, enroll to receive proxy materials electronically in future years.</w:t>
      </w:r>
    </w:p>
    <w:p>
      <w:pPr>
        <w:spacing w:after="0" w:line="160"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Important Notice Regarding Internet Availability of Proxy Materials for the Annual Meeting:</w:t>
      </w:r>
    </w:p>
    <w:p>
      <w:pPr>
        <w:spacing w:after="0" w:line="2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2008 Notice and Proxy Statement and 2007 Annual Report are also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1224915</wp:posOffset>
            </wp:positionV>
            <wp:extent cx="7311390" cy="76136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311390" cy="76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left="560"/>
        <w:spacing w:after="0"/>
        <w:rPr>
          <w:sz w:val="20"/>
          <w:szCs w:val="20"/>
          <w:color w:val="auto"/>
        </w:rPr>
      </w:pPr>
      <w:r>
        <w:rPr>
          <w:rFonts w:ascii="Arial" w:cs="Arial" w:eastAsia="Arial" w:hAnsi="Arial"/>
          <w:sz w:val="16"/>
          <w:szCs w:val="16"/>
          <w:b w:val="1"/>
          <w:bCs w:val="1"/>
          <w:color w:val="auto"/>
        </w:rPr>
        <w:t>PROXY FOR ANNUAL MEETING TO BE HELD APRIL 17, 2008</w:t>
      </w:r>
    </w:p>
    <w:p>
      <w:pPr>
        <w:spacing w:after="0" w:line="122" w:lineRule="exact"/>
        <w:rPr>
          <w:sz w:val="20"/>
          <w:szCs w:val="20"/>
          <w:color w:val="auto"/>
        </w:rPr>
      </w:pPr>
    </w:p>
    <w:p>
      <w:pPr>
        <w:jc w:val="center"/>
        <w:ind w:left="560"/>
        <w:spacing w:after="0"/>
        <w:rPr>
          <w:sz w:val="20"/>
          <w:szCs w:val="20"/>
          <w:color w:val="auto"/>
        </w:rPr>
      </w:pPr>
      <w:r>
        <w:rPr>
          <w:rFonts w:ascii="Arial" w:cs="Arial" w:eastAsia="Arial" w:hAnsi="Arial"/>
          <w:sz w:val="16"/>
          <w:szCs w:val="16"/>
          <w:b w:val="1"/>
          <w:bCs w:val="1"/>
          <w:color w:val="auto"/>
        </w:rPr>
        <w:t>This proxy is solicited on behalf of the Board of Directors.</w:t>
      </w:r>
    </w:p>
    <w:p>
      <w:pPr>
        <w:sectPr>
          <w:pgSz w:w="11900" w:h="16838" w:orient="portrait"/>
          <w:cols w:equalWidth="0" w:num="1">
            <w:col w:w="11520"/>
          </w:cols>
          <w:pgMar w:left="240" w:top="1440" w:right="139" w:bottom="0" w:gutter="0" w:footer="0" w:header="0"/>
          <w:type w:val="continuous"/>
        </w:sectPr>
      </w:pPr>
    </w:p>
    <w:bookmarkStart w:id="38" w:name="page39"/>
    <w:bookmarkEnd w:id="38"/>
    <w:p>
      <w:pPr>
        <w:jc w:val="both"/>
        <w:ind w:left="280"/>
        <w:spacing w:after="0" w:line="24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156210</wp:posOffset>
            </wp:positionH>
            <wp:positionV relativeFrom="page">
              <wp:posOffset>88900</wp:posOffset>
            </wp:positionV>
            <wp:extent cx="7311390" cy="23755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311390" cy="2375535"/>
                    </a:xfrm>
                    <a:prstGeom prst="rect">
                      <a:avLst/>
                    </a:prstGeom>
                    <a:noFill/>
                  </pic:spPr>
                </pic:pic>
              </a:graphicData>
            </a:graphic>
          </wp:anchor>
        </w:drawing>
        <w:t xml:space="preserve">The undersigned hereby appoints DAVID L. BOREN, DANIEL A. CARP, THOMAS J. ENGIBOUS, PAMELA H. PATSLEY, or any one or more of them, the true a lawful attorneys of the undersigned with power of substitution, to vote as proxies for the undersigned at the annual meeting of stockholders of Texas Instrume Incorporated to be held in Dallas, Texas, on April 17, 2008, at 10:00 a.m. (Dallas time) and at any or all adjournments thereof, according to the number of shar of common stock that the undersigned would be entitled to vote if then personally present, in the election of directors, upon the board proposal, upon t stockholder proposal, and upon other matters properly coming before the meeting. </w:t>
      </w:r>
      <w:r>
        <w:rPr>
          <w:rFonts w:ascii="Arial" w:cs="Arial" w:eastAsia="Arial" w:hAnsi="Arial"/>
          <w:sz w:val="16"/>
          <w:szCs w:val="16"/>
          <w:b w:val="1"/>
          <w:bCs w:val="1"/>
          <w:color w:val="auto"/>
        </w:rPr>
        <w:t>If no contrary indication is made, this proxy will be voted FOR t</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election of each director nominee and the board proposal and AGAINST the stockholder proposal. </w:t>
      </w:r>
      <w:r>
        <w:rPr>
          <w:rFonts w:ascii="Arial" w:cs="Arial" w:eastAsia="Arial" w:hAnsi="Arial"/>
          <w:sz w:val="16"/>
          <w:szCs w:val="16"/>
          <w:color w:val="auto"/>
        </w:rPr>
        <w:t>If other matters come before the meeting, this proxy</w:t>
      </w:r>
      <w:r>
        <w:rPr>
          <w:rFonts w:ascii="Arial" w:cs="Arial" w:eastAsia="Arial" w:hAnsi="Arial"/>
          <w:sz w:val="16"/>
          <w:szCs w:val="16"/>
          <w:b w:val="1"/>
          <w:bCs w:val="1"/>
          <w:color w:val="auto"/>
        </w:rPr>
        <w:t xml:space="preserve"> </w:t>
      </w:r>
      <w:r>
        <w:rPr>
          <w:rFonts w:ascii="Arial" w:cs="Arial" w:eastAsia="Arial" w:hAnsi="Arial"/>
          <w:sz w:val="16"/>
          <w:szCs w:val="16"/>
          <w:color w:val="auto"/>
        </w:rPr>
        <w:t>be voted in the discretion of the named proxies.</w:t>
      </w:r>
    </w:p>
    <w:p>
      <w:pPr>
        <w:spacing w:after="0" w:line="128" w:lineRule="exact"/>
        <w:rPr>
          <w:sz w:val="20"/>
          <w:szCs w:val="20"/>
          <w:color w:val="auto"/>
        </w:rPr>
      </w:pPr>
    </w:p>
    <w:p>
      <w:pPr>
        <w:jc w:val="both"/>
        <w:ind w:left="280"/>
        <w:spacing w:after="0" w:line="241" w:lineRule="auto"/>
        <w:rPr>
          <w:sz w:val="20"/>
          <w:szCs w:val="20"/>
          <w:color w:val="auto"/>
        </w:rPr>
      </w:pPr>
      <w:r>
        <w:rPr>
          <w:rFonts w:ascii="Arial" w:cs="Arial" w:eastAsia="Arial" w:hAnsi="Arial"/>
          <w:sz w:val="16"/>
          <w:szCs w:val="16"/>
          <w:color w:val="auto"/>
        </w:rPr>
        <w:t>Should you have an account in the TI Contribution and 401(k) Savings Plan or the TI 401(k) Savings Plan, this proxy represents the number of TI shares alloca to that plan account as well as other shares registered in your name. As a "named fiduciary" under the plans for TI shares allocable to that plan account and shares for which no voting instructions are received, this proxy will serve as voting instructions for The Northern Trust Company, trustee for the plans, or designee. The plans provide that the trustee will vote each participant's shares in accordance with the participant's instructions. If the trustee does not rece voting instructions for TI shares under the plans by April 14, 2008, those shares will be voted, in accordance with the terms of plans, in the same proportion as t shares for which voting instructions have been received. If other matters come before the meeting, the named proxies will vote plan shares on those matters their discretion.</w:t>
      </w:r>
    </w:p>
    <w:p>
      <w:pPr>
        <w:spacing w:after="0" w:line="96" w:lineRule="exact"/>
        <w:rPr>
          <w:sz w:val="20"/>
          <w:szCs w:val="20"/>
          <w:color w:val="auto"/>
        </w:rPr>
      </w:pPr>
    </w:p>
    <w:p>
      <w:pPr>
        <w:jc w:val="center"/>
        <w:ind w:left="580"/>
        <w:spacing w:after="0"/>
        <w:rPr>
          <w:sz w:val="20"/>
          <w:szCs w:val="20"/>
          <w:color w:val="auto"/>
        </w:rPr>
      </w:pPr>
      <w:r>
        <w:rPr>
          <w:rFonts w:ascii="Arial" w:cs="Arial" w:eastAsia="Arial" w:hAnsi="Arial"/>
          <w:sz w:val="16"/>
          <w:szCs w:val="16"/>
          <w:b w:val="1"/>
          <w:bCs w:val="1"/>
          <w:color w:val="auto"/>
        </w:rPr>
        <w:t>IMPORTANT – On the reverse side of this card are procedures on how to vote the shares.</w:t>
      </w:r>
    </w:p>
    <w:p>
      <w:pPr>
        <w:spacing w:after="0" w:line="135" w:lineRule="exact"/>
        <w:rPr>
          <w:sz w:val="20"/>
          <w:szCs w:val="20"/>
          <w:color w:val="auto"/>
        </w:rPr>
      </w:pPr>
    </w:p>
    <w:p>
      <w:pPr>
        <w:jc w:val="center"/>
        <w:ind w:left="580"/>
        <w:spacing w:after="0"/>
        <w:rPr>
          <w:sz w:val="20"/>
          <w:szCs w:val="20"/>
          <w:color w:val="auto"/>
        </w:rPr>
      </w:pPr>
      <w:r>
        <w:rPr>
          <w:rFonts w:ascii="Arial" w:cs="Arial" w:eastAsia="Arial" w:hAnsi="Arial"/>
          <w:sz w:val="16"/>
          <w:szCs w:val="16"/>
          <w:b w:val="1"/>
          <w:bCs w:val="1"/>
          <w:color w:val="auto"/>
        </w:rPr>
        <w:t>Please consider voting by Internet or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474980</wp:posOffset>
            </wp:positionV>
            <wp:extent cx="7279640" cy="203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TEXAS INSTRUMENTS INCORPORATED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NOTICE OF ANNUAL MEETING OF STOCKHOLDERS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RECORD DATE: February 19, 2008</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MEETING DATE: April 17, 2008</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CUSIP NUMBER: 882508104</w:t>
      </w:r>
    </w:p>
    <w:p>
      <w:pPr>
        <w:spacing w:after="0" w:line="200" w:lineRule="exact"/>
        <w:rPr>
          <w:sz w:val="20"/>
          <w:szCs w:val="20"/>
          <w:color w:val="auto"/>
        </w:rPr>
      </w:pPr>
    </w:p>
    <w:p>
      <w:pPr>
        <w:ind w:right="220"/>
        <w:spacing w:after="0" w:line="294" w:lineRule="auto"/>
        <w:rPr>
          <w:sz w:val="20"/>
          <w:szCs w:val="20"/>
          <w:color w:val="auto"/>
        </w:rPr>
      </w:pPr>
      <w:r>
        <w:rPr>
          <w:rFonts w:ascii="Arial" w:cs="Arial" w:eastAsia="Arial" w:hAnsi="Arial"/>
          <w:sz w:val="15"/>
          <w:szCs w:val="15"/>
          <w:color w:val="auto"/>
        </w:rPr>
        <w:t>You are cordially invited to attend the 2008 annual meeting of stockholders on Thursday, April 17, 2008, at the cafeteria on our property at 12500 TI Boulevard, Dallas, Texas, at 10:00 a.m. (Dallas time). At the meeting, we will consider the election of directors, a board proposal to ratify the appointment of Ernst &amp; Young LLP as the Company's independent registered public accounting firm for 2008, a stockholder proposal, and such other matters as may properly come before the meeting.</w:t>
      </w:r>
    </w:p>
    <w:p>
      <w:pPr>
        <w:spacing w:after="0" w:line="150" w:lineRule="exact"/>
        <w:rPr>
          <w:sz w:val="20"/>
          <w:szCs w:val="20"/>
          <w:color w:val="auto"/>
        </w:rPr>
      </w:pPr>
    </w:p>
    <w:p>
      <w:pPr>
        <w:ind w:right="220"/>
        <w:spacing w:after="0" w:line="281" w:lineRule="auto"/>
        <w:rPr>
          <w:sz w:val="20"/>
          <w:szCs w:val="20"/>
          <w:color w:val="auto"/>
        </w:rPr>
      </w:pPr>
      <w:r>
        <w:rPr>
          <w:rFonts w:ascii="Arial" w:cs="Arial" w:eastAsia="Arial" w:hAnsi="Arial"/>
          <w:sz w:val="16"/>
          <w:szCs w:val="16"/>
          <w:color w:val="auto"/>
        </w:rPr>
        <w:t>You are enrolled to receive stockholder communications via the Internet. This e-mail contains instructions for accessing the Texas Instruments 2008 Proxy Statement and Annual Report for 2007 and for voting your shares.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Please read the instructions carefully before proceeding.</w:t>
      </w:r>
    </w:p>
    <w:p>
      <w:pPr>
        <w:spacing w:after="0" w:line="208" w:lineRule="exact"/>
        <w:rPr>
          <w:sz w:val="20"/>
          <w:szCs w:val="20"/>
          <w:color w:val="auto"/>
        </w:rPr>
      </w:pPr>
    </w:p>
    <w:p>
      <w:pPr>
        <w:ind w:right="280"/>
        <w:spacing w:after="0" w:line="281" w:lineRule="auto"/>
        <w:rPr>
          <w:sz w:val="20"/>
          <w:szCs w:val="20"/>
          <w:color w:val="auto"/>
        </w:rPr>
      </w:pPr>
      <w:r>
        <w:rPr>
          <w:rFonts w:ascii="Arial" w:cs="Arial" w:eastAsia="Arial" w:hAnsi="Arial"/>
          <w:sz w:val="16"/>
          <w:szCs w:val="16"/>
          <w:color w:val="auto"/>
        </w:rPr>
        <w:t>VOTING YOUR SHARES AND VIEWING THE PROXY MATERIALS- Please review the Proxy Statement and Annual Report before voting. The Proxy Statement discusses the proposals to be voted on.</w:t>
      </w:r>
    </w:p>
    <w:p>
      <w:pPr>
        <w:spacing w:after="0" w:line="157" w:lineRule="exact"/>
        <w:rPr>
          <w:sz w:val="20"/>
          <w:szCs w:val="20"/>
          <w:color w:val="auto"/>
        </w:rPr>
      </w:pPr>
    </w:p>
    <w:p>
      <w:pPr>
        <w:ind w:right="480"/>
        <w:spacing w:after="0" w:line="281" w:lineRule="auto"/>
        <w:rPr>
          <w:sz w:val="20"/>
          <w:szCs w:val="20"/>
          <w:color w:val="auto"/>
        </w:rPr>
      </w:pPr>
      <w:r>
        <w:rPr>
          <w:rFonts w:ascii="Arial" w:cs="Arial" w:eastAsia="Arial" w:hAnsi="Arial"/>
          <w:sz w:val="16"/>
          <w:szCs w:val="16"/>
          <w:color w:val="auto"/>
        </w:rPr>
        <w:t>You can enter your voting instructions and view the shareholder material at the following Internet site. If your browser supports secure transactions you will be automatically directed to a secure site.</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http://www.proxyvote.com/0012345678901</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Registered shares must be voted by 11:59 p.m. (Eastern Daylight Time) on April 16, 2008. Shares allocable to a Texas Instruments (TI) benefit plan must be voted by 11:59 p.m.</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(Eastern Daylight Time) on April 14, 2008.</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To enter your vote you will need the following:</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CONTROL NUMBER: 012345678901</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YOUR 4-DIGIT PIN NUMBER</w:t>
      </w:r>
    </w:p>
    <w:p>
      <w:pPr>
        <w:spacing w:after="0" w:line="200" w:lineRule="exact"/>
        <w:rPr>
          <w:sz w:val="20"/>
          <w:szCs w:val="20"/>
          <w:color w:val="auto"/>
        </w:rPr>
      </w:pPr>
    </w:p>
    <w:p>
      <w:pPr>
        <w:ind w:right="180"/>
        <w:spacing w:after="0" w:line="316" w:lineRule="auto"/>
        <w:rPr>
          <w:sz w:val="20"/>
          <w:szCs w:val="20"/>
          <w:color w:val="auto"/>
        </w:rPr>
      </w:pPr>
      <w:r>
        <w:rPr>
          <w:rFonts w:ascii="Arial" w:cs="Arial" w:eastAsia="Arial" w:hAnsi="Arial"/>
          <w:sz w:val="15"/>
          <w:szCs w:val="15"/>
          <w:color w:val="auto"/>
        </w:rPr>
        <w:t>If you are a TI employee-stockholder, your PIN is the last 4 digits of your Social Security Number (unless you have taken steps to change your PIN). For other stockholders, your PIN is the 4-digit PIN you enrolled with at the time you elected to receive electronic delivery (unless you have taken steps to change your PIN).</w:t>
      </w:r>
    </w:p>
    <w:p>
      <w:pPr>
        <w:spacing w:after="0" w:line="134" w:lineRule="exact"/>
        <w:rPr>
          <w:sz w:val="20"/>
          <w:szCs w:val="20"/>
          <w:color w:val="auto"/>
        </w:rPr>
      </w:pPr>
    </w:p>
    <w:p>
      <w:pPr>
        <w:ind w:right="340"/>
        <w:spacing w:after="0" w:line="316" w:lineRule="auto"/>
        <w:rPr>
          <w:sz w:val="20"/>
          <w:szCs w:val="20"/>
          <w:color w:val="auto"/>
        </w:rPr>
      </w:pPr>
      <w:r>
        <w:rPr>
          <w:rFonts w:ascii="Arial" w:cs="Arial" w:eastAsia="Arial" w:hAnsi="Arial"/>
          <w:sz w:val="15"/>
          <w:szCs w:val="15"/>
          <w:color w:val="auto"/>
        </w:rPr>
        <w:t xml:space="preserve">If you would like to cancel your enrollment, or change your e-mail address or PIN, please go to </w:t>
      </w:r>
      <w:r>
        <w:rPr>
          <w:rFonts w:ascii="Arial" w:cs="Arial" w:eastAsia="Arial" w:hAnsi="Arial"/>
          <w:sz w:val="15"/>
          <w:szCs w:val="15"/>
          <w:u w:val="single" w:color="auto"/>
          <w:color w:val="auto"/>
        </w:rPr>
        <w:t>http://www.InvestorDelivery.com</w:t>
      </w:r>
      <w:r>
        <w:rPr>
          <w:rFonts w:ascii="Arial" w:cs="Arial" w:eastAsia="Arial" w:hAnsi="Arial"/>
          <w:sz w:val="15"/>
          <w:szCs w:val="15"/>
          <w:color w:val="auto"/>
        </w:rPr>
        <w:t xml:space="preserve">. You will need the enrollment number below, and your four-digit PIN. If you have forgotten your PIN, you can have it sent to your enrolled e-mail address by going to </w:t>
      </w:r>
      <w:r>
        <w:rPr>
          <w:rFonts w:ascii="Arial" w:cs="Arial" w:eastAsia="Arial" w:hAnsi="Arial"/>
          <w:sz w:val="15"/>
          <w:szCs w:val="15"/>
          <w:u w:val="single" w:color="auto"/>
          <w:color w:val="auto"/>
        </w:rPr>
        <w:t>http://www.InvestorDelivery.com</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80" w:type="dxa"/>
            <w:vAlign w:val="bottom"/>
          </w:tcPr>
          <w:p>
            <w:pPr>
              <w:spacing w:after="0"/>
              <w:rPr>
                <w:sz w:val="20"/>
                <w:szCs w:val="20"/>
                <w:color w:val="auto"/>
              </w:rPr>
            </w:pPr>
            <w:r>
              <w:rPr>
                <w:rFonts w:ascii="Arial" w:cs="Arial" w:eastAsia="Arial" w:hAnsi="Arial"/>
                <w:sz w:val="16"/>
                <w:szCs w:val="16"/>
                <w:color w:val="auto"/>
              </w:rPr>
              <w:t>Your InvestorDelivery Enrollment Number is:</w:t>
            </w:r>
          </w:p>
        </w:tc>
        <w:tc>
          <w:tcPr>
            <w:tcW w:w="2420" w:type="dxa"/>
            <w:vAlign w:val="bottom"/>
          </w:tcPr>
          <w:p>
            <w:pPr>
              <w:ind w:left="1320"/>
              <w:spacing w:after="0"/>
              <w:rPr>
                <w:sz w:val="20"/>
                <w:szCs w:val="20"/>
                <w:color w:val="auto"/>
              </w:rPr>
            </w:pPr>
            <w:r>
              <w:rPr>
                <w:rFonts w:ascii="Arial" w:cs="Arial" w:eastAsia="Arial" w:hAnsi="Arial"/>
                <w:sz w:val="16"/>
                <w:szCs w:val="16"/>
                <w:color w:val="auto"/>
                <w:w w:val="89"/>
              </w:rPr>
              <w:t>M012345678901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200660</wp:posOffset>
            </wp:positionV>
            <wp:extent cx="7279640" cy="203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This e-mail covers TI shares registered directly in your name and TI shares allocable to employee benefit plan(s). Should you have an account in the TI Contribution and 401(k) Savings Plan or the TI 401(k) Savings Plan, this proxy represents the number of TI shares allocable to the plan account as well as other shares registered in your name. As a "named fiduciary" under the plans for TI shares allocable to the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If the trustee does not receive voting instructions for TI shares under the plans by April 14, 2008, those shares will be voted, in accordance with the terms of the plans, in the same proportion as the shares for which voting instructions have been received. If other matters come before the meeting, the named proxies will vote plan shares on those matters in their discretion.</w:t>
      </w:r>
    </w:p>
    <w:p>
      <w:pPr>
        <w:spacing w:after="0" w:line="173"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If you receive more than one e-mail or a proxy card in addition to this e-mail, it generally means that your holdings include other names or different spellings of your name, and you must vote under all e-mails and any proxy cards to vote all shares.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You may also view the proxy materials at:</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Annual Report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HTTP://ww3.ics.adp.com/streetlink/TXN</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Proxy Statement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HTTP://ww3.ics.adp.com/streetlink/TXN</w:t>
      </w:r>
    </w:p>
    <w:p>
      <w:pPr>
        <w:sectPr>
          <w:pgSz w:w="11900" w:h="16838" w:orient="portrait"/>
          <w:cols w:equalWidth="0" w:num="1">
            <w:col w:w="11520"/>
          </w:cols>
          <w:pgMar w:left="240" w:top="142" w:right="139" w:bottom="145"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To view the proxy materials, you may need Adobe Acrobat Reader, which is available at the following Internet site: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http://www.adobe.com/products/acrobat/readstep2.html</w:t>
      </w:r>
    </w:p>
    <w:p>
      <w:pPr>
        <w:spacing w:after="0" w:line="200"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There are no charges for any of the services referenced herein. There may be costs associated with electronic access, such as usage charges from Internet access providers and telephone companies, that must be borne by the stockholder.</w:t>
      </w:r>
    </w:p>
    <w:p>
      <w:pPr>
        <w:spacing w:after="0" w:line="157"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PAPER COPIES - You may receive paper copies of the Proxy Statement and Annual Report by calling Investor Relations at (972) 995-3773 or by writing to Texas Instruments Incorporated, P.O. Box 660199, MS 8657, Dallas, TX 75266-0199, Attn: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79640" cy="203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339" w:lineRule="exact"/>
        <w:rPr>
          <w:sz w:val="20"/>
          <w:szCs w:val="20"/>
          <w:color w:val="auto"/>
        </w:rPr>
      </w:pPr>
    </w:p>
    <w:p>
      <w:pPr>
        <w:spacing w:after="0"/>
        <w:rPr>
          <w:sz w:val="20"/>
          <w:szCs w:val="20"/>
          <w:color w:val="auto"/>
        </w:rPr>
      </w:pPr>
      <w:r>
        <w:rPr>
          <w:rFonts w:ascii="Arial" w:cs="Arial" w:eastAsia="Arial" w:hAnsi="Arial"/>
          <w:sz w:val="39"/>
          <w:szCs w:val="39"/>
          <w:color w:val="auto"/>
        </w:rPr>
        <w:t>ProxyVote.com</w:t>
      </w:r>
    </w:p>
    <w:p>
      <w:pPr>
        <w:spacing w:after="0" w:line="229" w:lineRule="exact"/>
        <w:rPr>
          <w:sz w:val="20"/>
          <w:szCs w:val="20"/>
          <w:color w:val="auto"/>
        </w:rPr>
      </w:pPr>
    </w:p>
    <w:tbl>
      <w:tblPr>
        <w:tblLayout w:type="fixed"/>
        <w:tblInd w:w="240" w:type="dxa"/>
        <w:tblCellMar>
          <w:top w:w="0" w:type="dxa"/>
          <w:left w:w="0" w:type="dxa"/>
          <w:bottom w:w="0" w:type="dxa"/>
          <w:right w:w="0" w:type="dxa"/>
        </w:tblCellMar>
      </w:tblPr>
      <w:tr>
        <w:trPr>
          <w:trHeight w:val="257"/>
        </w:trPr>
        <w:tc>
          <w:tcPr>
            <w:tcW w:w="7740" w:type="dxa"/>
            <w:vAlign w:val="bottom"/>
          </w:tcPr>
          <w:p>
            <w:pPr>
              <w:spacing w:after="0"/>
              <w:rPr>
                <w:sz w:val="20"/>
                <w:szCs w:val="20"/>
                <w:color w:val="auto"/>
              </w:rPr>
            </w:pPr>
            <w:r>
              <w:rPr>
                <w:rFonts w:ascii="Arial" w:cs="Arial" w:eastAsia="Arial" w:hAnsi="Arial"/>
                <w:sz w:val="22"/>
                <w:szCs w:val="22"/>
                <w:b w:val="1"/>
                <w:bCs w:val="1"/>
                <w:color w:val="auto"/>
              </w:rPr>
              <w:t>TEXAS INSTRUMENTS INCORPORATED Annual Meeting</w:t>
            </w:r>
          </w:p>
        </w:tc>
        <w:tc>
          <w:tcPr>
            <w:tcW w:w="3460" w:type="dxa"/>
            <w:vAlign w:val="bottom"/>
          </w:tcPr>
          <w:p>
            <w:pPr>
              <w:jc w:val="right"/>
              <w:spacing w:after="0"/>
              <w:rPr>
                <w:sz w:val="20"/>
                <w:szCs w:val="20"/>
                <w:color w:val="auto"/>
              </w:rPr>
            </w:pPr>
            <w:r>
              <w:rPr>
                <w:rFonts w:ascii="Arial" w:cs="Arial" w:eastAsia="Arial" w:hAnsi="Arial"/>
                <w:sz w:val="20"/>
                <w:szCs w:val="20"/>
                <w:b w:val="1"/>
                <w:bCs w:val="1"/>
                <w:color w:val="auto"/>
              </w:rPr>
              <w:t>Meeting Materials</w:t>
            </w:r>
          </w:p>
        </w:tc>
      </w:tr>
      <w:tr>
        <w:trPr>
          <w:trHeight w:val="287"/>
        </w:trPr>
        <w:tc>
          <w:tcPr>
            <w:tcW w:w="7740" w:type="dxa"/>
            <w:vAlign w:val="bottom"/>
          </w:tcPr>
          <w:p>
            <w:pPr>
              <w:spacing w:after="0"/>
              <w:rPr>
                <w:sz w:val="20"/>
                <w:szCs w:val="20"/>
                <w:color w:val="auto"/>
              </w:rPr>
            </w:pPr>
            <w:r>
              <w:rPr>
                <w:rFonts w:ascii="Arial" w:cs="Arial" w:eastAsia="Arial" w:hAnsi="Arial"/>
                <w:sz w:val="22"/>
                <w:szCs w:val="22"/>
                <w:b w:val="1"/>
                <w:bCs w:val="1"/>
                <w:color w:val="auto"/>
              </w:rPr>
              <w:t>Vote Your Shares</w:t>
            </w:r>
          </w:p>
        </w:tc>
        <w:tc>
          <w:tcPr>
            <w:tcW w:w="3460" w:type="dxa"/>
            <w:vAlign w:val="bottom"/>
          </w:tcPr>
          <w:p>
            <w:pPr>
              <w:spacing w:after="0"/>
              <w:rPr>
                <w:sz w:val="24"/>
                <w:szCs w:val="24"/>
                <w:color w:val="auto"/>
              </w:rPr>
            </w:pPr>
          </w:p>
        </w:tc>
      </w:tr>
      <w:tr>
        <w:trPr>
          <w:trHeight w:val="445"/>
        </w:trPr>
        <w:tc>
          <w:tcPr>
            <w:tcW w:w="7740" w:type="dxa"/>
            <w:vAlign w:val="bottom"/>
          </w:tcPr>
          <w:p>
            <w:pPr>
              <w:spacing w:after="0"/>
              <w:rPr>
                <w:sz w:val="20"/>
                <w:szCs w:val="20"/>
                <w:color w:val="auto"/>
              </w:rPr>
            </w:pPr>
            <w:r>
              <w:rPr>
                <w:rFonts w:ascii="Arial" w:cs="Arial" w:eastAsia="Arial" w:hAnsi="Arial"/>
                <w:sz w:val="20"/>
                <w:szCs w:val="20"/>
                <w:b w:val="1"/>
                <w:bCs w:val="1"/>
                <w:color w:val="auto"/>
              </w:rPr>
              <w:t>Meeting Date</w:t>
            </w:r>
            <w:r>
              <w:rPr>
                <w:rFonts w:ascii="Arial" w:cs="Arial" w:eastAsia="Arial" w:hAnsi="Arial"/>
                <w:sz w:val="20"/>
                <w:szCs w:val="20"/>
                <w:color w:val="auto"/>
              </w:rPr>
              <w:t>: 04/17/2008 for holders as of 02/19/2008</w:t>
            </w:r>
          </w:p>
        </w:tc>
        <w:tc>
          <w:tcPr>
            <w:tcW w:w="3460" w:type="dxa"/>
            <w:vAlign w:val="bottom"/>
          </w:tcPr>
          <w:p>
            <w:pPr>
              <w:jc w:val="right"/>
              <w:ind w:right="114"/>
              <w:spacing w:after="0"/>
              <w:rPr>
                <w:sz w:val="20"/>
                <w:szCs w:val="20"/>
                <w:color w:val="auto"/>
              </w:rPr>
            </w:pPr>
            <w:r>
              <w:rPr>
                <w:rFonts w:ascii="Arial" w:cs="Arial" w:eastAsia="Arial" w:hAnsi="Arial"/>
                <w:sz w:val="16"/>
                <w:szCs w:val="16"/>
                <w:color w:val="auto"/>
              </w:rPr>
              <w:t>ANNUAL REPORT</w:t>
            </w:r>
          </w:p>
        </w:tc>
      </w:tr>
      <w:tr>
        <w:trPr>
          <w:trHeight w:val="441"/>
        </w:trPr>
        <w:tc>
          <w:tcPr>
            <w:tcW w:w="7740" w:type="dxa"/>
            <w:vAlign w:val="bottom"/>
          </w:tcPr>
          <w:p>
            <w:pPr>
              <w:spacing w:after="0"/>
              <w:rPr>
                <w:sz w:val="20"/>
                <w:szCs w:val="20"/>
                <w:color w:val="auto"/>
              </w:rPr>
            </w:pPr>
            <w:r>
              <w:rPr>
                <w:rFonts w:ascii="Arial" w:cs="Arial" w:eastAsia="Arial" w:hAnsi="Arial"/>
                <w:sz w:val="20"/>
                <w:szCs w:val="20"/>
                <w:b w:val="1"/>
                <w:bCs w:val="1"/>
                <w:color w:val="auto"/>
              </w:rPr>
              <w:t>CUSIP</w:t>
            </w:r>
            <w:r>
              <w:rPr>
                <w:rFonts w:ascii="Arial" w:cs="Arial" w:eastAsia="Arial" w:hAnsi="Arial"/>
                <w:sz w:val="20"/>
                <w:szCs w:val="20"/>
                <w:color w:val="auto"/>
              </w:rPr>
              <w:t>: 882508-104</w:t>
            </w:r>
          </w:p>
        </w:tc>
        <w:tc>
          <w:tcPr>
            <w:tcW w:w="3460" w:type="dxa"/>
            <w:vAlign w:val="bottom"/>
          </w:tcPr>
          <w:p>
            <w:pPr>
              <w:jc w:val="right"/>
              <w:spacing w:after="0"/>
              <w:rPr>
                <w:sz w:val="20"/>
                <w:szCs w:val="20"/>
                <w:color w:val="auto"/>
              </w:rPr>
            </w:pPr>
            <w:r>
              <w:rPr>
                <w:rFonts w:ascii="Arial" w:cs="Arial" w:eastAsia="Arial" w:hAnsi="Arial"/>
                <w:sz w:val="16"/>
                <w:szCs w:val="16"/>
                <w:color w:val="auto"/>
              </w:rPr>
              <w:t>PROXY STATEMENT</w:t>
            </w:r>
          </w:p>
        </w:tc>
      </w:tr>
      <w:tr>
        <w:trPr>
          <w:trHeight w:val="441"/>
        </w:trPr>
        <w:tc>
          <w:tcPr>
            <w:tcW w:w="7740" w:type="dxa"/>
            <w:vAlign w:val="bottom"/>
          </w:tcPr>
          <w:p>
            <w:pPr>
              <w:spacing w:after="0"/>
              <w:rPr>
                <w:sz w:val="20"/>
                <w:szCs w:val="20"/>
                <w:color w:val="auto"/>
              </w:rPr>
            </w:pPr>
            <w:r>
              <w:rPr>
                <w:rFonts w:ascii="Arial" w:cs="Arial" w:eastAsia="Arial" w:hAnsi="Arial"/>
                <w:sz w:val="20"/>
                <w:szCs w:val="20"/>
                <w:b w:val="1"/>
                <w:bCs w:val="1"/>
                <w:color w:val="auto"/>
              </w:rPr>
              <w:t>Your Control Number</w:t>
            </w:r>
            <w:r>
              <w:rPr>
                <w:rFonts w:ascii="Arial" w:cs="Arial" w:eastAsia="Arial" w:hAnsi="Arial"/>
                <w:sz w:val="20"/>
                <w:szCs w:val="20"/>
                <w:color w:val="auto"/>
              </w:rPr>
              <w:t>:</w:t>
            </w:r>
          </w:p>
        </w:tc>
        <w:tc>
          <w:tcPr>
            <w:tcW w:w="3460" w:type="dxa"/>
            <w:vAlign w:val="bottom"/>
          </w:tcPr>
          <w:p>
            <w:pPr>
              <w:spacing w:after="0"/>
              <w:rPr>
                <w:sz w:val="24"/>
                <w:szCs w:val="24"/>
                <w:color w:val="auto"/>
              </w:rPr>
            </w:pPr>
          </w:p>
        </w:tc>
      </w:tr>
    </w:tbl>
    <w:p>
      <w:pPr>
        <w:spacing w:after="0" w:line="186" w:lineRule="exact"/>
        <w:rPr>
          <w:sz w:val="20"/>
          <w:szCs w:val="20"/>
          <w:color w:val="auto"/>
        </w:rPr>
      </w:pPr>
    </w:p>
    <w:p>
      <w:pPr>
        <w:jc w:val="both"/>
        <w:ind w:right="20"/>
        <w:spacing w:after="0" w:line="255" w:lineRule="auto"/>
        <w:rPr>
          <w:sz w:val="20"/>
          <w:szCs w:val="20"/>
          <w:color w:val="auto"/>
        </w:rPr>
      </w:pPr>
      <w:r>
        <w:rPr>
          <w:rFonts w:ascii="Arial" w:cs="Arial" w:eastAsia="Arial" w:hAnsi="Arial"/>
          <w:sz w:val="20"/>
          <w:szCs w:val="20"/>
          <w:b w:val="1"/>
          <w:bCs w:val="1"/>
          <w:color w:val="auto"/>
        </w:rPr>
        <w:t>As your vote is very important, we recommend that all voting instructions be received at least one business day prior to the voting cut-off time stated in the information circular. Scroll down for proxy instructions and voting.</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To vote via telephone call 1-800-690-6903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283210</wp:posOffset>
            </wp:positionV>
            <wp:extent cx="7248525" cy="17945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8525" cy="179451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both"/>
        <w:ind w:left="140" w:right="140"/>
        <w:spacing w:after="0" w:line="305" w:lineRule="auto"/>
        <w:rPr>
          <w:sz w:val="20"/>
          <w:szCs w:val="20"/>
          <w:color w:val="auto"/>
        </w:rPr>
      </w:pPr>
      <w:r>
        <w:rPr>
          <w:rFonts w:ascii="Arial" w:cs="Arial" w:eastAsia="Arial" w:hAnsi="Arial"/>
          <w:sz w:val="14"/>
          <w:szCs w:val="14"/>
          <w:color w:val="auto"/>
        </w:rPr>
        <w:t xml:space="preserve">The undersigned hereby appoints DAVID L. BOREN, DANIEL A. CARP, THOMAS J. ENGIBOUS, PAMELA H. PATSLEY, or any one or more of them, the true and lawful attorneys of the undersigned with power of substitution, to vote as proxies for the undersigned at the annual meeting of stockholders of Texas Instruments Incorporated to be held in Dallas, Texas, on April 17, 2008, at 10:00 a.m. (Dallas time) and at any or all adjournments thereof, according to the number of shares of common stock that the undersigned would be entitled to vote if then personally present, in the election of directors, upon the board proposal, upon the stockholder proposal, and upon other matters properly coming before the meeting. </w:t>
      </w:r>
      <w:r>
        <w:rPr>
          <w:rFonts w:ascii="Arial" w:cs="Arial" w:eastAsia="Arial" w:hAnsi="Arial"/>
          <w:sz w:val="14"/>
          <w:szCs w:val="14"/>
          <w:b w:val="1"/>
          <w:bCs w:val="1"/>
          <w:color w:val="auto"/>
        </w:rPr>
        <w:t>If no contrary indication is made, this proxy will be voted FOR the election of each director nominee and the board proposal and</w:t>
      </w:r>
      <w:r>
        <w:rPr>
          <w:rFonts w:ascii="Arial" w:cs="Arial" w:eastAsia="Arial" w:hAnsi="Arial"/>
          <w:sz w:val="14"/>
          <w:szCs w:val="14"/>
          <w:color w:val="auto"/>
        </w:rPr>
        <w:t xml:space="preserve"> </w:t>
      </w:r>
      <w:r>
        <w:rPr>
          <w:rFonts w:ascii="Arial" w:cs="Arial" w:eastAsia="Arial" w:hAnsi="Arial"/>
          <w:sz w:val="14"/>
          <w:szCs w:val="14"/>
          <w:b w:val="1"/>
          <w:bCs w:val="1"/>
          <w:color w:val="auto"/>
        </w:rPr>
        <w:t xml:space="preserve">AGAINST the stockholder proposal. </w:t>
      </w:r>
      <w:r>
        <w:rPr>
          <w:rFonts w:ascii="Arial" w:cs="Arial" w:eastAsia="Arial" w:hAnsi="Arial"/>
          <w:sz w:val="14"/>
          <w:szCs w:val="14"/>
          <w:color w:val="auto"/>
        </w:rPr>
        <w:t>If other matters come before the meeting, this proxy will be voted in the discretion of the named proxies.</w:t>
      </w:r>
    </w:p>
    <w:p>
      <w:pPr>
        <w:spacing w:after="0" w:line="169" w:lineRule="exact"/>
        <w:rPr>
          <w:sz w:val="20"/>
          <w:szCs w:val="20"/>
          <w:color w:val="auto"/>
        </w:rPr>
      </w:pPr>
    </w:p>
    <w:p>
      <w:pPr>
        <w:jc w:val="both"/>
        <w:ind w:left="140" w:right="140"/>
        <w:spacing w:after="0" w:line="281" w:lineRule="auto"/>
        <w:rPr>
          <w:sz w:val="20"/>
          <w:szCs w:val="20"/>
          <w:color w:val="auto"/>
        </w:rPr>
      </w:pPr>
      <w:r>
        <w:rPr>
          <w:rFonts w:ascii="Arial" w:cs="Arial" w:eastAsia="Arial" w:hAnsi="Arial"/>
          <w:sz w:val="15"/>
          <w:szCs w:val="15"/>
          <w:color w:val="auto"/>
        </w:rPr>
        <w:t>Should you have an account in the TI Contribution and 401(k) Savings Plan or the TI 401(k) Savings Plan, this proxy represents the number of TI shares allocable to that plan account as well as other shares registered in your name. As a "named fiduciary" under the plans for TI shares allocable to that plan account and for shares for which no voting instructions are received, this proxy will serve as voting instructions for The Northern Trust Company, trustee for the plans, or its designee. The plans provide that the trustee will vote each participant's shares in accordance with the participant's instructions. If the trustee does not receive voting instructions for TI shares under the plans by April 14, 2008, those shares will be voted, in accordance with the terms of plans, in the same proportion as the shares for which voting instructions have been received. If other matters come before the meeting, the named proxies will vote plan shares on those matters in their discretion.</w:t>
      </w:r>
    </w:p>
    <w:p>
      <w:pPr>
        <w:spacing w:after="0" w:line="20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Proxy Ballot: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22860</wp:posOffset>
            </wp:positionV>
            <wp:extent cx="7305675" cy="4610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305675" cy="461010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Directors’ Recommendations: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Choose this if you would like to vote your shares following directors' recommendations.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See below or refer to the proxy statement for the detailed recommendations. Please read them carefully.</w:t>
      </w: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Vote</w:t>
      </w:r>
    </w:p>
    <w:p>
      <w:pPr>
        <w:spacing w:after="0" w:line="200" w:lineRule="exact"/>
        <w:rPr>
          <w:sz w:val="20"/>
          <w:szCs w:val="20"/>
          <w:color w:val="auto"/>
        </w:rPr>
      </w:pPr>
    </w:p>
    <w:p>
      <w:pPr>
        <w:spacing w:after="0" w:line="305"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20"/>
          <w:szCs w:val="20"/>
          <w:b w:val="1"/>
          <w:bCs w:val="1"/>
          <w:color w:val="auto"/>
        </w:rPr>
        <w:t>1A.</w:t>
      </w:r>
      <w:r>
        <w:rPr>
          <w:sz w:val="20"/>
          <w:szCs w:val="20"/>
          <w:color w:val="auto"/>
        </w:rPr>
        <w:tab/>
      </w:r>
      <w:r>
        <w:rPr>
          <w:rFonts w:ascii="Arial" w:cs="Arial" w:eastAsia="Arial" w:hAnsi="Arial"/>
          <w:sz w:val="17"/>
          <w:szCs w:val="17"/>
          <w:color w:val="auto"/>
        </w:rPr>
        <w:t>ELECTION OF DIRECTOR: J.R. ADAMS</w:t>
      </w:r>
    </w:p>
    <w:p>
      <w:pPr>
        <w:spacing w:after="0" w:line="211" w:lineRule="exact"/>
        <w:rPr>
          <w:sz w:val="20"/>
          <w:szCs w:val="20"/>
          <w:color w:val="auto"/>
        </w:rPr>
      </w:pPr>
    </w:p>
    <w:p>
      <w:pPr>
        <w:ind w:left="880" w:hanging="410"/>
        <w:spacing w:after="0"/>
        <w:tabs>
          <w:tab w:leader="none" w:pos="880" w:val="left"/>
        </w:tabs>
        <w:numPr>
          <w:ilvl w:val="0"/>
          <w:numId w:val="56"/>
        </w:numPr>
        <w:rPr>
          <w:rFonts w:ascii="Arial" w:cs="Arial" w:eastAsia="Arial" w:hAnsi="Arial"/>
          <w:sz w:val="20"/>
          <w:szCs w:val="20"/>
          <w:color w:val="auto"/>
        </w:rPr>
      </w:pPr>
      <w:r>
        <w:rPr>
          <w:rFonts w:ascii="Arial" w:cs="Arial" w:eastAsia="Arial" w:hAnsi="Arial"/>
          <w:sz w:val="20"/>
          <w:szCs w:val="20"/>
          <w:color w:val="auto"/>
        </w:rPr>
        <w:t xml:space="preserve">Directors Recommend: </w:t>
      </w:r>
      <w:r>
        <w:rPr>
          <w:rFonts w:ascii="Arial" w:cs="Arial" w:eastAsia="Arial" w:hAnsi="Arial"/>
          <w:sz w:val="20"/>
          <w:szCs w:val="20"/>
          <w:b w:val="1"/>
          <w:bCs w:val="1"/>
          <w:color w:val="auto"/>
        </w:rPr>
        <w:t>FOR</w:t>
      </w:r>
    </w:p>
    <w:p>
      <w:pPr>
        <w:spacing w:after="0" w:line="217" w:lineRule="exact"/>
        <w:rPr>
          <w:rFonts w:ascii="Arial" w:cs="Arial" w:eastAsia="Arial" w:hAnsi="Arial"/>
          <w:sz w:val="20"/>
          <w:szCs w:val="20"/>
          <w:color w:val="auto"/>
        </w:rPr>
      </w:pPr>
    </w:p>
    <w:p>
      <w:pPr>
        <w:ind w:left="1320" w:hanging="336"/>
        <w:spacing w:after="0"/>
        <w:tabs>
          <w:tab w:leader="none" w:pos="1320" w:val="left"/>
        </w:tabs>
        <w:numPr>
          <w:ilvl w:val="1"/>
          <w:numId w:val="56"/>
        </w:numPr>
        <w:rPr>
          <w:rFonts w:ascii="Arial" w:cs="Arial" w:eastAsia="Arial" w:hAnsi="Arial"/>
          <w:sz w:val="20"/>
          <w:szCs w:val="20"/>
          <w:color w:val="auto"/>
        </w:rPr>
      </w:pPr>
      <w:r>
        <w:rPr>
          <w:rFonts w:ascii="Arial" w:cs="Arial" w:eastAsia="Arial" w:hAnsi="Arial"/>
          <w:sz w:val="20"/>
          <w:szCs w:val="20"/>
          <w:color w:val="auto"/>
        </w:rPr>
        <w:t>For   ™  Against   ™  Abstain</w:t>
      </w:r>
    </w:p>
    <w:p>
      <w:pPr>
        <w:spacing w:after="0" w:line="205"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20"/>
          <w:szCs w:val="20"/>
          <w:b w:val="1"/>
          <w:bCs w:val="1"/>
          <w:color w:val="auto"/>
        </w:rPr>
        <w:t>1B.</w:t>
      </w:r>
      <w:r>
        <w:rPr>
          <w:sz w:val="20"/>
          <w:szCs w:val="20"/>
          <w:color w:val="auto"/>
        </w:rPr>
        <w:tab/>
      </w:r>
      <w:r>
        <w:rPr>
          <w:rFonts w:ascii="Arial" w:cs="Arial" w:eastAsia="Arial" w:hAnsi="Arial"/>
          <w:sz w:val="17"/>
          <w:szCs w:val="17"/>
          <w:color w:val="auto"/>
        </w:rPr>
        <w:t>ELECTION OF DIRECTOR: D.L. BOREN</w:t>
      </w:r>
    </w:p>
    <w:p>
      <w:pPr>
        <w:spacing w:after="0" w:line="211" w:lineRule="exact"/>
        <w:rPr>
          <w:sz w:val="20"/>
          <w:szCs w:val="20"/>
          <w:color w:val="auto"/>
        </w:rPr>
      </w:pPr>
    </w:p>
    <w:p>
      <w:pPr>
        <w:ind w:left="860" w:hanging="390"/>
        <w:spacing w:after="0"/>
        <w:tabs>
          <w:tab w:leader="none" w:pos="8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 xml:space="preserve">Directors Recommend: </w:t>
      </w:r>
      <w:r>
        <w:rPr>
          <w:rFonts w:ascii="Arial" w:cs="Arial" w:eastAsia="Arial" w:hAnsi="Arial"/>
          <w:sz w:val="20"/>
          <w:szCs w:val="20"/>
          <w:b w:val="1"/>
          <w:bCs w:val="1"/>
          <w:color w:val="auto"/>
        </w:rPr>
        <w:t>FOR</w:t>
      </w:r>
    </w:p>
    <w:p>
      <w:pPr>
        <w:spacing w:after="0" w:line="217" w:lineRule="exact"/>
        <w:rPr>
          <w:sz w:val="20"/>
          <w:szCs w:val="20"/>
          <w:color w:val="auto"/>
        </w:rPr>
      </w:pPr>
    </w:p>
    <w:p>
      <w:pPr>
        <w:ind w:left="980"/>
        <w:spacing w:after="0"/>
        <w:tabs>
          <w:tab w:leader="none" w:pos="1800" w:val="left"/>
          <w:tab w:leader="none" w:pos="3000" w:val="left"/>
        </w:tabs>
        <w:rPr>
          <w:sz w:val="20"/>
          <w:szCs w:val="20"/>
          <w:color w:val="auto"/>
        </w:rPr>
      </w:pPr>
      <w:r>
        <w:rPr>
          <w:rFonts w:ascii="Arial" w:cs="Arial" w:eastAsia="Arial" w:hAnsi="Arial"/>
          <w:sz w:val="20"/>
          <w:szCs w:val="20"/>
          <w:color w:val="auto"/>
        </w:rPr>
        <w:t>™  For</w:t>
        <w:tab/>
        <w:t>™  Against</w:t>
      </w:r>
      <w:r>
        <w:rPr>
          <w:sz w:val="20"/>
          <w:szCs w:val="20"/>
          <w:color w:val="auto"/>
        </w:rPr>
        <w:tab/>
      </w:r>
      <w:r>
        <w:rPr>
          <w:rFonts w:ascii="Arial" w:cs="Arial" w:eastAsia="Arial" w:hAnsi="Arial"/>
          <w:sz w:val="17"/>
          <w:szCs w:val="17"/>
          <w:color w:val="auto"/>
        </w:rPr>
        <w:t>™  Abstain</w:t>
      </w:r>
    </w:p>
    <w:p>
      <w:pPr>
        <w:spacing w:after="0" w:line="205"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20"/>
          <w:szCs w:val="20"/>
          <w:b w:val="1"/>
          <w:bCs w:val="1"/>
          <w:color w:val="auto"/>
        </w:rPr>
        <w:t>1C.</w:t>
      </w:r>
      <w:r>
        <w:rPr>
          <w:sz w:val="20"/>
          <w:szCs w:val="20"/>
          <w:color w:val="auto"/>
        </w:rPr>
        <w:tab/>
      </w:r>
      <w:r>
        <w:rPr>
          <w:rFonts w:ascii="Arial" w:cs="Arial" w:eastAsia="Arial" w:hAnsi="Arial"/>
          <w:sz w:val="17"/>
          <w:szCs w:val="17"/>
          <w:color w:val="auto"/>
        </w:rPr>
        <w:t>ELECTION OF DIRECTOR: D.A. CARP</w:t>
      </w:r>
    </w:p>
    <w:p>
      <w:pPr>
        <w:spacing w:after="0" w:line="211" w:lineRule="exact"/>
        <w:rPr>
          <w:sz w:val="20"/>
          <w:szCs w:val="20"/>
          <w:color w:val="auto"/>
        </w:rPr>
      </w:pPr>
    </w:p>
    <w:p>
      <w:pPr>
        <w:ind w:left="880" w:hanging="410"/>
        <w:spacing w:after="0"/>
        <w:tabs>
          <w:tab w:leader="none" w:pos="880"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Directors Recommend: </w:t>
      </w:r>
      <w:r>
        <w:rPr>
          <w:rFonts w:ascii="Arial" w:cs="Arial" w:eastAsia="Arial" w:hAnsi="Arial"/>
          <w:sz w:val="20"/>
          <w:szCs w:val="20"/>
          <w:b w:val="1"/>
          <w:bCs w:val="1"/>
          <w:color w:val="auto"/>
        </w:rPr>
        <w:t>FOR</w:t>
      </w:r>
    </w:p>
    <w:p>
      <w:pPr>
        <w:spacing w:after="0" w:line="217" w:lineRule="exact"/>
        <w:rPr>
          <w:sz w:val="20"/>
          <w:szCs w:val="20"/>
          <w:color w:val="auto"/>
        </w:rPr>
      </w:pPr>
    </w:p>
    <w:p>
      <w:pPr>
        <w:ind w:left="980"/>
        <w:spacing w:after="0"/>
        <w:tabs>
          <w:tab w:leader="none" w:pos="1820" w:val="left"/>
          <w:tab w:leader="none" w:pos="3000" w:val="left"/>
        </w:tabs>
        <w:rPr>
          <w:sz w:val="20"/>
          <w:szCs w:val="20"/>
          <w:color w:val="auto"/>
        </w:rPr>
      </w:pPr>
      <w:r>
        <w:rPr>
          <w:rFonts w:ascii="Arial" w:cs="Arial" w:eastAsia="Arial" w:hAnsi="Arial"/>
          <w:sz w:val="20"/>
          <w:szCs w:val="20"/>
          <w:color w:val="auto"/>
        </w:rPr>
        <w:t>™  For</w:t>
        <w:tab/>
        <w:t>™  Against</w:t>
      </w:r>
      <w:r>
        <w:rPr>
          <w:sz w:val="20"/>
          <w:szCs w:val="20"/>
          <w:color w:val="auto"/>
        </w:rPr>
        <w:tab/>
      </w:r>
      <w:r>
        <w:rPr>
          <w:rFonts w:ascii="Arial" w:cs="Arial" w:eastAsia="Arial" w:hAnsi="Arial"/>
          <w:sz w:val="19"/>
          <w:szCs w:val="19"/>
          <w:color w:val="auto"/>
        </w:rPr>
        <w:t>™  Abstain</w:t>
      </w:r>
    </w:p>
    <w:p>
      <w:pPr>
        <w:spacing w:after="0" w:line="205"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20"/>
          <w:szCs w:val="20"/>
          <w:b w:val="1"/>
          <w:bCs w:val="1"/>
          <w:color w:val="auto"/>
        </w:rPr>
        <w:t>1D.</w:t>
      </w:r>
      <w:r>
        <w:rPr>
          <w:sz w:val="20"/>
          <w:szCs w:val="20"/>
          <w:color w:val="auto"/>
        </w:rPr>
        <w:tab/>
      </w:r>
      <w:r>
        <w:rPr>
          <w:rFonts w:ascii="Arial" w:cs="Arial" w:eastAsia="Arial" w:hAnsi="Arial"/>
          <w:sz w:val="17"/>
          <w:szCs w:val="17"/>
          <w:color w:val="auto"/>
        </w:rPr>
        <w:t>ELECTION OF DIRECTOR: C.S. COX</w:t>
      </w:r>
    </w:p>
    <w:p>
      <w:pPr>
        <w:spacing w:after="0" w:line="211" w:lineRule="exact"/>
        <w:rPr>
          <w:sz w:val="20"/>
          <w:szCs w:val="20"/>
          <w:color w:val="auto"/>
        </w:rPr>
      </w:pPr>
    </w:p>
    <w:p>
      <w:pPr>
        <w:ind w:left="880" w:hanging="410"/>
        <w:spacing w:after="0"/>
        <w:tabs>
          <w:tab w:leader="none" w:pos="8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 xml:space="preserve">Directors Recommend: </w:t>
      </w:r>
      <w:r>
        <w:rPr>
          <w:rFonts w:ascii="Arial" w:cs="Arial" w:eastAsia="Arial" w:hAnsi="Arial"/>
          <w:sz w:val="20"/>
          <w:szCs w:val="20"/>
          <w:b w:val="1"/>
          <w:bCs w:val="1"/>
          <w:color w:val="auto"/>
        </w:rPr>
        <w:t>FOR</w:t>
      </w:r>
    </w:p>
    <w:p>
      <w:pPr>
        <w:sectPr>
          <w:pgSz w:w="11900" w:h="16838" w:orient="portrait"/>
          <w:cols w:equalWidth="0" w:num="1">
            <w:col w:w="11440"/>
          </w:cols>
          <w:pgMar w:left="240" w:top="131" w:right="219" w:bottom="0" w:gutter="0" w:footer="0" w:header="0"/>
        </w:sectPr>
      </w:pPr>
    </w:p>
    <w:bookmarkStart w:id="40" w:name="page41"/>
    <w:bookmarkEnd w:id="40"/>
    <w:p>
      <w:pPr>
        <w:ind w:left="980"/>
        <w:spacing w:after="0"/>
        <w:tabs>
          <w:tab w:leader="none" w:pos="1820" w:val="left"/>
          <w:tab w:leader="none" w:pos="3000" w:val="left"/>
        </w:tabs>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7433945</wp:posOffset>
            </wp:positionH>
            <wp:positionV relativeFrom="page">
              <wp:posOffset>88900</wp:posOffset>
            </wp:positionV>
            <wp:extent cx="23495" cy="546227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3495" cy="5462270"/>
                    </a:xfrm>
                    <a:prstGeom prst="rect">
                      <a:avLst/>
                    </a:prstGeom>
                    <a:noFill/>
                  </pic:spPr>
                </pic:pic>
              </a:graphicData>
            </a:graphic>
          </wp:anchor>
        </w:drawing>
        <w:drawing>
          <wp:anchor simplePos="0" relativeHeight="251657728" behindDoc="1" locked="0" layoutInCell="0" allowOverlap="1">
            <wp:simplePos x="0" y="0"/>
            <wp:positionH relativeFrom="page">
              <wp:posOffset>151130</wp:posOffset>
            </wp:positionH>
            <wp:positionV relativeFrom="page">
              <wp:posOffset>88900</wp:posOffset>
            </wp:positionV>
            <wp:extent cx="23495" cy="54622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3495" cy="5462270"/>
                    </a:xfrm>
                    <a:prstGeom prst="rect">
                      <a:avLst/>
                    </a:prstGeom>
                    <a:noFill/>
                  </pic:spPr>
                </pic:pic>
              </a:graphicData>
            </a:graphic>
          </wp:anchor>
        </w:drawing>
        <w:t>™  For</w:t>
        <w:tab/>
        <w:t>™  Against</w:t>
      </w:r>
      <w:r>
        <w:rPr>
          <w:sz w:val="20"/>
          <w:szCs w:val="20"/>
          <w:color w:val="auto"/>
        </w:rPr>
        <w:tab/>
      </w:r>
      <w:r>
        <w:rPr>
          <w:rFonts w:ascii="Arial" w:cs="Arial" w:eastAsia="Arial" w:hAnsi="Arial"/>
          <w:sz w:val="19"/>
          <w:szCs w:val="19"/>
          <w:color w:val="auto"/>
        </w:rPr>
        <w:t>™  Abstain</w:t>
      </w:r>
    </w:p>
    <w:p>
      <w:pPr>
        <w:spacing w:after="0" w:line="205"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20"/>
          <w:szCs w:val="20"/>
          <w:b w:val="1"/>
          <w:bCs w:val="1"/>
          <w:color w:val="auto"/>
        </w:rPr>
        <w:t>1E.</w:t>
      </w:r>
      <w:r>
        <w:rPr>
          <w:sz w:val="20"/>
          <w:szCs w:val="20"/>
          <w:color w:val="auto"/>
        </w:rPr>
        <w:tab/>
      </w:r>
      <w:r>
        <w:rPr>
          <w:rFonts w:ascii="Arial" w:cs="Arial" w:eastAsia="Arial" w:hAnsi="Arial"/>
          <w:sz w:val="17"/>
          <w:szCs w:val="17"/>
          <w:color w:val="auto"/>
        </w:rPr>
        <w:t>ELECTION OF DIRECTOR: D.R. GOODE</w:t>
      </w:r>
    </w:p>
    <w:p>
      <w:pPr>
        <w:spacing w:after="0" w:line="211" w:lineRule="exact"/>
        <w:rPr>
          <w:sz w:val="20"/>
          <w:szCs w:val="20"/>
          <w:color w:val="auto"/>
        </w:rPr>
      </w:pPr>
    </w:p>
    <w:p>
      <w:pPr>
        <w:ind w:left="860" w:hanging="390"/>
        <w:spacing w:after="0"/>
        <w:tabs>
          <w:tab w:leader="none" w:pos="860" w:val="left"/>
        </w:tabs>
        <w:numPr>
          <w:ilvl w:val="0"/>
          <w:numId w:val="60"/>
        </w:numPr>
        <w:rPr>
          <w:rFonts w:ascii="Arial" w:cs="Arial" w:eastAsia="Arial" w:hAnsi="Arial"/>
          <w:sz w:val="20"/>
          <w:szCs w:val="20"/>
          <w:color w:val="auto"/>
        </w:rPr>
      </w:pPr>
      <w:r>
        <w:rPr>
          <w:rFonts w:ascii="Arial" w:cs="Arial" w:eastAsia="Arial" w:hAnsi="Arial"/>
          <w:sz w:val="20"/>
          <w:szCs w:val="20"/>
          <w:color w:val="auto"/>
        </w:rPr>
        <w:t xml:space="preserve">Directors Recommend: </w:t>
      </w:r>
      <w:r>
        <w:rPr>
          <w:rFonts w:ascii="Arial" w:cs="Arial" w:eastAsia="Arial" w:hAnsi="Arial"/>
          <w:sz w:val="20"/>
          <w:szCs w:val="20"/>
          <w:b w:val="1"/>
          <w:bCs w:val="1"/>
          <w:color w:val="auto"/>
        </w:rPr>
        <w:t>FOR</w:t>
      </w:r>
    </w:p>
    <w:p>
      <w:pPr>
        <w:spacing w:after="0" w:line="217" w:lineRule="exact"/>
        <w:rPr>
          <w:rFonts w:ascii="Arial" w:cs="Arial" w:eastAsia="Arial" w:hAnsi="Arial"/>
          <w:sz w:val="20"/>
          <w:szCs w:val="20"/>
          <w:color w:val="auto"/>
        </w:rPr>
      </w:pPr>
    </w:p>
    <w:p>
      <w:pPr>
        <w:ind w:left="1320" w:hanging="348"/>
        <w:spacing w:after="0"/>
        <w:tabs>
          <w:tab w:leader="none" w:pos="1320" w:val="left"/>
        </w:tabs>
        <w:numPr>
          <w:ilvl w:val="1"/>
          <w:numId w:val="60"/>
        </w:numPr>
        <w:rPr>
          <w:rFonts w:ascii="Arial" w:cs="Arial" w:eastAsia="Arial" w:hAnsi="Arial"/>
          <w:sz w:val="20"/>
          <w:szCs w:val="20"/>
          <w:color w:val="auto"/>
        </w:rPr>
      </w:pPr>
      <w:r>
        <w:rPr>
          <w:rFonts w:ascii="Arial" w:cs="Arial" w:eastAsia="Arial" w:hAnsi="Arial"/>
          <w:sz w:val="20"/>
          <w:szCs w:val="20"/>
          <w:color w:val="auto"/>
        </w:rPr>
        <w:t>For   ™  Against   ™  Abstain</w:t>
      </w:r>
    </w:p>
    <w:p>
      <w:pPr>
        <w:spacing w:after="0" w:line="205"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20"/>
          <w:szCs w:val="20"/>
          <w:b w:val="1"/>
          <w:bCs w:val="1"/>
          <w:color w:val="auto"/>
        </w:rPr>
        <w:t>1F.</w:t>
      </w:r>
      <w:r>
        <w:rPr>
          <w:sz w:val="20"/>
          <w:szCs w:val="20"/>
          <w:color w:val="auto"/>
        </w:rPr>
        <w:tab/>
      </w:r>
      <w:r>
        <w:rPr>
          <w:rFonts w:ascii="Arial" w:cs="Arial" w:eastAsia="Arial" w:hAnsi="Arial"/>
          <w:sz w:val="17"/>
          <w:szCs w:val="17"/>
          <w:color w:val="auto"/>
        </w:rPr>
        <w:t>ELECTION OF DIRECTOR: P.H. PATSLEY</w:t>
      </w:r>
    </w:p>
    <w:p>
      <w:pPr>
        <w:spacing w:after="0" w:line="211" w:lineRule="exact"/>
        <w:rPr>
          <w:sz w:val="20"/>
          <w:szCs w:val="20"/>
          <w:color w:val="auto"/>
        </w:rPr>
      </w:pPr>
    </w:p>
    <w:p>
      <w:pPr>
        <w:ind w:left="860" w:hanging="390"/>
        <w:spacing w:after="0"/>
        <w:tabs>
          <w:tab w:leader="none" w:pos="860"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Directors Recommend: </w:t>
      </w:r>
      <w:r>
        <w:rPr>
          <w:rFonts w:ascii="Arial" w:cs="Arial" w:eastAsia="Arial" w:hAnsi="Arial"/>
          <w:sz w:val="20"/>
          <w:szCs w:val="20"/>
          <w:b w:val="1"/>
          <w:bCs w:val="1"/>
          <w:color w:val="auto"/>
        </w:rPr>
        <w:t>FOR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20"/>
          <w:szCs w:val="20"/>
          <w:b w:val="1"/>
          <w:bCs w:val="1"/>
          <w:color w:val="auto"/>
        </w:rPr>
        <w:t>1G.</w:t>
      </w:r>
      <w:r>
        <w:rPr>
          <w:sz w:val="20"/>
          <w:szCs w:val="20"/>
          <w:color w:val="auto"/>
        </w:rPr>
        <w:tab/>
      </w:r>
      <w:r>
        <w:rPr>
          <w:rFonts w:ascii="Arial" w:cs="Arial" w:eastAsia="Arial" w:hAnsi="Arial"/>
          <w:sz w:val="17"/>
          <w:szCs w:val="17"/>
          <w:color w:val="auto"/>
        </w:rPr>
        <w:t>ELECTION OF DIRECTOR: W.R. SANDERS</w:t>
      </w:r>
    </w:p>
    <w:p>
      <w:pPr>
        <w:spacing w:after="0" w:line="211" w:lineRule="exact"/>
        <w:rPr>
          <w:sz w:val="20"/>
          <w:szCs w:val="20"/>
          <w:color w:val="auto"/>
        </w:rPr>
      </w:pPr>
    </w:p>
    <w:p>
      <w:pPr>
        <w:ind w:left="880" w:hanging="410"/>
        <w:spacing w:after="0"/>
        <w:tabs>
          <w:tab w:leader="none" w:pos="8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 xml:space="preserve">Directors Recommend: </w:t>
      </w:r>
      <w:r>
        <w:rPr>
          <w:rFonts w:ascii="Arial" w:cs="Arial" w:eastAsia="Arial" w:hAnsi="Arial"/>
          <w:sz w:val="20"/>
          <w:szCs w:val="20"/>
          <w:b w:val="1"/>
          <w:bCs w:val="1"/>
          <w:color w:val="auto"/>
        </w:rPr>
        <w:t>FOR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20"/>
          <w:szCs w:val="20"/>
          <w:b w:val="1"/>
          <w:bCs w:val="1"/>
          <w:color w:val="auto"/>
        </w:rPr>
        <w:t>1H.</w:t>
      </w:r>
      <w:r>
        <w:rPr>
          <w:sz w:val="20"/>
          <w:szCs w:val="20"/>
          <w:color w:val="auto"/>
        </w:rPr>
        <w:tab/>
      </w:r>
      <w:r>
        <w:rPr>
          <w:rFonts w:ascii="Arial" w:cs="Arial" w:eastAsia="Arial" w:hAnsi="Arial"/>
          <w:sz w:val="17"/>
          <w:szCs w:val="17"/>
          <w:color w:val="auto"/>
        </w:rPr>
        <w:t>ELECTION OF DIRECTOR: R.J. SIMMONS</w:t>
      </w:r>
    </w:p>
    <w:p>
      <w:pPr>
        <w:spacing w:after="0" w:line="211" w:lineRule="exact"/>
        <w:rPr>
          <w:sz w:val="20"/>
          <w:szCs w:val="20"/>
          <w:color w:val="auto"/>
        </w:rPr>
      </w:pPr>
    </w:p>
    <w:p>
      <w:pPr>
        <w:ind w:left="880" w:hanging="410"/>
        <w:spacing w:after="0"/>
        <w:tabs>
          <w:tab w:leader="none" w:pos="880" w:val="left"/>
        </w:tabs>
        <w:numPr>
          <w:ilvl w:val="0"/>
          <w:numId w:val="63"/>
        </w:numPr>
        <w:rPr>
          <w:rFonts w:ascii="Arial" w:cs="Arial" w:eastAsia="Arial" w:hAnsi="Arial"/>
          <w:sz w:val="20"/>
          <w:szCs w:val="20"/>
          <w:color w:val="auto"/>
        </w:rPr>
      </w:pPr>
      <w:r>
        <w:rPr>
          <w:rFonts w:ascii="Arial" w:cs="Arial" w:eastAsia="Arial" w:hAnsi="Arial"/>
          <w:sz w:val="20"/>
          <w:szCs w:val="20"/>
          <w:color w:val="auto"/>
        </w:rPr>
        <w:t xml:space="preserve">Directors Recommend: </w:t>
      </w:r>
      <w:r>
        <w:rPr>
          <w:rFonts w:ascii="Arial" w:cs="Arial" w:eastAsia="Arial" w:hAnsi="Arial"/>
          <w:sz w:val="20"/>
          <w:szCs w:val="20"/>
          <w:b w:val="1"/>
          <w:bCs w:val="1"/>
          <w:color w:val="auto"/>
        </w:rPr>
        <w:t>FOR</w:t>
      </w:r>
    </w:p>
    <w:p>
      <w:pPr>
        <w:spacing w:after="0" w:line="217" w:lineRule="exact"/>
        <w:rPr>
          <w:rFonts w:ascii="Arial" w:cs="Arial" w:eastAsia="Arial" w:hAnsi="Arial"/>
          <w:sz w:val="20"/>
          <w:szCs w:val="20"/>
          <w:color w:val="auto"/>
        </w:rPr>
      </w:pPr>
    </w:p>
    <w:p>
      <w:pPr>
        <w:ind w:left="1320" w:hanging="336"/>
        <w:spacing w:after="0"/>
        <w:tabs>
          <w:tab w:leader="none" w:pos="1320" w:val="left"/>
        </w:tabs>
        <w:numPr>
          <w:ilvl w:val="1"/>
          <w:numId w:val="63"/>
        </w:numPr>
        <w:rPr>
          <w:rFonts w:ascii="Arial" w:cs="Arial" w:eastAsia="Arial" w:hAnsi="Arial"/>
          <w:sz w:val="20"/>
          <w:szCs w:val="20"/>
          <w:color w:val="auto"/>
        </w:rPr>
      </w:pPr>
      <w:r>
        <w:rPr>
          <w:rFonts w:ascii="Arial" w:cs="Arial" w:eastAsia="Arial" w:hAnsi="Arial"/>
          <w:sz w:val="20"/>
          <w:szCs w:val="20"/>
          <w:color w:val="auto"/>
        </w:rPr>
        <w:t>For   ™  Against   ™  Abstain</w:t>
      </w:r>
    </w:p>
    <w:p>
      <w:pPr>
        <w:spacing w:after="0" w:line="205"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20"/>
          <w:szCs w:val="20"/>
          <w:b w:val="1"/>
          <w:bCs w:val="1"/>
          <w:color w:val="auto"/>
        </w:rPr>
        <w:t>1I.</w:t>
      </w:r>
      <w:r>
        <w:rPr>
          <w:sz w:val="20"/>
          <w:szCs w:val="20"/>
          <w:color w:val="auto"/>
        </w:rPr>
        <w:tab/>
      </w:r>
      <w:r>
        <w:rPr>
          <w:rFonts w:ascii="Arial" w:cs="Arial" w:eastAsia="Arial" w:hAnsi="Arial"/>
          <w:sz w:val="17"/>
          <w:szCs w:val="17"/>
          <w:color w:val="auto"/>
        </w:rPr>
        <w:t>ELECTION OF DIRECTOR: R.K. TEMPLETON</w:t>
      </w:r>
    </w:p>
    <w:p>
      <w:pPr>
        <w:spacing w:after="0" w:line="211" w:lineRule="exact"/>
        <w:rPr>
          <w:sz w:val="20"/>
          <w:szCs w:val="20"/>
          <w:color w:val="auto"/>
        </w:rPr>
      </w:pPr>
    </w:p>
    <w:p>
      <w:pPr>
        <w:ind w:left="860" w:hanging="390"/>
        <w:spacing w:after="0"/>
        <w:tabs>
          <w:tab w:leader="none" w:pos="860" w:val="left"/>
        </w:tabs>
        <w:numPr>
          <w:ilvl w:val="0"/>
          <w:numId w:val="64"/>
        </w:numPr>
        <w:rPr>
          <w:rFonts w:ascii="Arial" w:cs="Arial" w:eastAsia="Arial" w:hAnsi="Arial"/>
          <w:sz w:val="20"/>
          <w:szCs w:val="20"/>
          <w:color w:val="auto"/>
        </w:rPr>
      </w:pPr>
      <w:r>
        <w:rPr>
          <w:rFonts w:ascii="Arial" w:cs="Arial" w:eastAsia="Arial" w:hAnsi="Arial"/>
          <w:sz w:val="20"/>
          <w:szCs w:val="20"/>
          <w:color w:val="auto"/>
        </w:rPr>
        <w:t xml:space="preserve">Directors Recommend: </w:t>
      </w:r>
      <w:r>
        <w:rPr>
          <w:rFonts w:ascii="Arial" w:cs="Arial" w:eastAsia="Arial" w:hAnsi="Arial"/>
          <w:sz w:val="20"/>
          <w:szCs w:val="20"/>
          <w:b w:val="1"/>
          <w:bCs w:val="1"/>
          <w:color w:val="auto"/>
        </w:rPr>
        <w:t>FOR</w:t>
      </w:r>
    </w:p>
    <w:p>
      <w:pPr>
        <w:spacing w:after="0" w:line="217" w:lineRule="exact"/>
        <w:rPr>
          <w:rFonts w:ascii="Arial" w:cs="Arial" w:eastAsia="Arial" w:hAnsi="Arial"/>
          <w:sz w:val="20"/>
          <w:szCs w:val="20"/>
          <w:color w:val="auto"/>
        </w:rPr>
      </w:pPr>
    </w:p>
    <w:p>
      <w:pPr>
        <w:ind w:left="1320" w:hanging="348"/>
        <w:spacing w:after="0"/>
        <w:tabs>
          <w:tab w:leader="none" w:pos="1320" w:val="left"/>
        </w:tabs>
        <w:numPr>
          <w:ilvl w:val="1"/>
          <w:numId w:val="64"/>
        </w:numPr>
        <w:rPr>
          <w:rFonts w:ascii="Arial" w:cs="Arial" w:eastAsia="Arial" w:hAnsi="Arial"/>
          <w:sz w:val="20"/>
          <w:szCs w:val="20"/>
          <w:color w:val="auto"/>
        </w:rPr>
      </w:pPr>
      <w:r>
        <w:rPr>
          <w:rFonts w:ascii="Arial" w:cs="Arial" w:eastAsia="Arial" w:hAnsi="Arial"/>
          <w:sz w:val="20"/>
          <w:szCs w:val="20"/>
          <w:color w:val="auto"/>
        </w:rPr>
        <w:t>For   ™  Against   ™  Abstain</w:t>
      </w:r>
    </w:p>
    <w:p>
      <w:pPr>
        <w:spacing w:after="0" w:line="205" w:lineRule="exact"/>
        <w:rPr>
          <w:sz w:val="20"/>
          <w:szCs w:val="20"/>
          <w:color w:val="auto"/>
        </w:rPr>
      </w:pPr>
    </w:p>
    <w:p>
      <w:pPr>
        <w:ind w:left="460"/>
        <w:spacing w:after="0"/>
        <w:tabs>
          <w:tab w:leader="none" w:pos="900" w:val="left"/>
        </w:tabs>
        <w:rPr>
          <w:sz w:val="20"/>
          <w:szCs w:val="20"/>
          <w:color w:val="auto"/>
        </w:rPr>
      </w:pPr>
      <w:r>
        <w:rPr>
          <w:rFonts w:ascii="Arial" w:cs="Arial" w:eastAsia="Arial" w:hAnsi="Arial"/>
          <w:sz w:val="20"/>
          <w:szCs w:val="20"/>
          <w:b w:val="1"/>
          <w:bCs w:val="1"/>
          <w:color w:val="auto"/>
        </w:rPr>
        <w:t>1J.</w:t>
      </w:r>
      <w:r>
        <w:rPr>
          <w:sz w:val="20"/>
          <w:szCs w:val="20"/>
          <w:color w:val="auto"/>
        </w:rPr>
        <w:tab/>
      </w:r>
      <w:r>
        <w:rPr>
          <w:rFonts w:ascii="Arial" w:cs="Arial" w:eastAsia="Arial" w:hAnsi="Arial"/>
          <w:sz w:val="20"/>
          <w:szCs w:val="20"/>
          <w:color w:val="auto"/>
        </w:rPr>
        <w:t>ELECTION OF DIRECTOR: C.T. WHITMAN</w:t>
      </w:r>
    </w:p>
    <w:p>
      <w:pPr>
        <w:spacing w:after="0" w:line="211" w:lineRule="exact"/>
        <w:rPr>
          <w:sz w:val="20"/>
          <w:szCs w:val="20"/>
          <w:color w:val="auto"/>
        </w:rPr>
      </w:pPr>
    </w:p>
    <w:p>
      <w:pPr>
        <w:ind w:left="860" w:hanging="390"/>
        <w:spacing w:after="0"/>
        <w:tabs>
          <w:tab w:leader="none" w:pos="8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 xml:space="preserve">Directors Recommend: </w:t>
      </w:r>
      <w:r>
        <w:rPr>
          <w:rFonts w:ascii="Arial" w:cs="Arial" w:eastAsia="Arial" w:hAnsi="Arial"/>
          <w:sz w:val="20"/>
          <w:szCs w:val="20"/>
          <w:b w:val="1"/>
          <w:bCs w:val="1"/>
          <w:color w:val="auto"/>
        </w:rPr>
        <w:t>FOR</w:t>
      </w:r>
    </w:p>
    <w:p>
      <w:pPr>
        <w:spacing w:after="0" w:line="217" w:lineRule="exact"/>
        <w:rPr>
          <w:rFonts w:ascii="Arial" w:cs="Arial" w:eastAsia="Arial" w:hAnsi="Arial"/>
          <w:sz w:val="20"/>
          <w:szCs w:val="20"/>
          <w:color w:val="auto"/>
        </w:rPr>
      </w:pPr>
    </w:p>
    <w:p>
      <w:pPr>
        <w:ind w:left="1320" w:hanging="348"/>
        <w:spacing w:after="0"/>
        <w:tabs>
          <w:tab w:leader="none" w:pos="1320" w:val="left"/>
        </w:tabs>
        <w:numPr>
          <w:ilvl w:val="1"/>
          <w:numId w:val="65"/>
        </w:numPr>
        <w:rPr>
          <w:rFonts w:ascii="Arial" w:cs="Arial" w:eastAsia="Arial" w:hAnsi="Arial"/>
          <w:sz w:val="20"/>
          <w:szCs w:val="20"/>
          <w:color w:val="auto"/>
        </w:rPr>
      </w:pPr>
      <w:r>
        <w:rPr>
          <w:rFonts w:ascii="Arial" w:cs="Arial" w:eastAsia="Arial" w:hAnsi="Arial"/>
          <w:sz w:val="20"/>
          <w:szCs w:val="20"/>
          <w:color w:val="auto"/>
        </w:rPr>
        <w:t>For   ™  Against   ™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346075</wp:posOffset>
            </wp:positionV>
            <wp:extent cx="7279640" cy="203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0420" w:val="left"/>
        </w:tabs>
        <w:rPr>
          <w:sz w:val="20"/>
          <w:szCs w:val="20"/>
          <w:color w:val="auto"/>
        </w:rPr>
      </w:pPr>
      <w:r>
        <w:rPr>
          <w:rFonts w:ascii="Arial" w:cs="Arial" w:eastAsia="Arial" w:hAnsi="Arial"/>
          <w:sz w:val="22"/>
          <w:szCs w:val="22"/>
          <w:color w:val="auto"/>
        </w:rPr>
        <w:t>Proxy Vote.com</w:t>
      </w:r>
      <w:r>
        <w:rPr>
          <w:sz w:val="20"/>
          <w:szCs w:val="20"/>
          <w:color w:val="auto"/>
        </w:rPr>
        <w:tab/>
      </w:r>
      <w:r>
        <w:rPr>
          <w:rFonts w:ascii="Arial" w:cs="Arial" w:eastAsia="Arial" w:hAnsi="Arial"/>
          <w:sz w:val="19"/>
          <w:szCs w:val="19"/>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305675" cy="2326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305675" cy="2326640"/>
                    </a:xfrm>
                    <a:prstGeom prst="rect">
                      <a:avLst/>
                    </a:prstGeom>
                    <a:noFill/>
                  </pic:spPr>
                </pic:pic>
              </a:graphicData>
            </a:graphic>
          </wp:anchor>
        </w:drawing>
      </w:r>
    </w:p>
    <w:p>
      <w:pPr>
        <w:spacing w:after="0" w:line="400" w:lineRule="exact"/>
        <w:rPr>
          <w:sz w:val="20"/>
          <w:szCs w:val="20"/>
          <w:color w:val="auto"/>
        </w:rPr>
      </w:pPr>
    </w:p>
    <w:p>
      <w:pPr>
        <w:ind w:left="920" w:right="2840" w:hanging="450"/>
        <w:spacing w:after="0" w:line="336" w:lineRule="auto"/>
        <w:tabs>
          <w:tab w:leader="none" w:pos="920" w:val="left"/>
        </w:tabs>
        <w:numPr>
          <w:ilvl w:val="0"/>
          <w:numId w:val="66"/>
        </w:numPr>
        <w:rPr>
          <w:rFonts w:ascii="Arial" w:cs="Arial" w:eastAsia="Arial" w:hAnsi="Arial"/>
          <w:sz w:val="17"/>
          <w:szCs w:val="17"/>
          <w:b w:val="1"/>
          <w:bCs w:val="1"/>
          <w:color w:val="auto"/>
        </w:rPr>
      </w:pPr>
      <w:r>
        <w:rPr>
          <w:rFonts w:ascii="Arial" w:cs="Arial" w:eastAsia="Arial" w:hAnsi="Arial"/>
          <w:sz w:val="17"/>
          <w:szCs w:val="17"/>
          <w:color w:val="auto"/>
        </w:rPr>
        <w:t>BOARD PROPOSAL TO RATIFY THE APPOINTMENT OF ERNST &amp; YOUNG LLP AS THE COMPANY'S INDEPENDENT REGISTERED PUBLIC ACCOUNTING FIRM FOR 2008.</w:t>
      </w:r>
    </w:p>
    <w:p>
      <w:pPr>
        <w:spacing w:after="0" w:line="108" w:lineRule="exact"/>
        <w:rPr>
          <w:sz w:val="20"/>
          <w:szCs w:val="20"/>
          <w:color w:val="auto"/>
        </w:rPr>
      </w:pPr>
    </w:p>
    <w:p>
      <w:pPr>
        <w:ind w:left="860" w:hanging="390"/>
        <w:spacing w:after="0"/>
        <w:tabs>
          <w:tab w:leader="none" w:pos="860" w:val="left"/>
        </w:tabs>
        <w:numPr>
          <w:ilvl w:val="0"/>
          <w:numId w:val="67"/>
        </w:numPr>
        <w:rPr>
          <w:rFonts w:ascii="Arial" w:cs="Arial" w:eastAsia="Arial" w:hAnsi="Arial"/>
          <w:sz w:val="20"/>
          <w:szCs w:val="20"/>
          <w:color w:val="auto"/>
        </w:rPr>
      </w:pPr>
      <w:r>
        <w:rPr>
          <w:rFonts w:ascii="Arial" w:cs="Arial" w:eastAsia="Arial" w:hAnsi="Arial"/>
          <w:sz w:val="20"/>
          <w:szCs w:val="20"/>
          <w:color w:val="auto"/>
        </w:rPr>
        <w:t xml:space="preserve">Directors Recommend: </w:t>
      </w:r>
      <w:r>
        <w:rPr>
          <w:rFonts w:ascii="Arial" w:cs="Arial" w:eastAsia="Arial" w:hAnsi="Arial"/>
          <w:sz w:val="20"/>
          <w:szCs w:val="20"/>
          <w:b w:val="1"/>
          <w:bCs w:val="1"/>
          <w:color w:val="auto"/>
        </w:rPr>
        <w:t>FOR</w:t>
      </w:r>
    </w:p>
    <w:p>
      <w:pPr>
        <w:spacing w:after="0" w:line="217" w:lineRule="exact"/>
        <w:rPr>
          <w:rFonts w:ascii="Arial" w:cs="Arial" w:eastAsia="Arial" w:hAnsi="Arial"/>
          <w:sz w:val="20"/>
          <w:szCs w:val="20"/>
          <w:color w:val="auto"/>
        </w:rPr>
      </w:pPr>
    </w:p>
    <w:p>
      <w:pPr>
        <w:ind w:left="1320" w:hanging="348"/>
        <w:spacing w:after="0"/>
        <w:tabs>
          <w:tab w:leader="none" w:pos="1320" w:val="left"/>
        </w:tabs>
        <w:numPr>
          <w:ilvl w:val="1"/>
          <w:numId w:val="67"/>
        </w:numPr>
        <w:rPr>
          <w:rFonts w:ascii="Arial" w:cs="Arial" w:eastAsia="Arial" w:hAnsi="Arial"/>
          <w:sz w:val="20"/>
          <w:szCs w:val="20"/>
          <w:color w:val="auto"/>
        </w:rPr>
      </w:pPr>
      <w:r>
        <w:rPr>
          <w:rFonts w:ascii="Arial" w:cs="Arial" w:eastAsia="Arial" w:hAnsi="Arial"/>
          <w:sz w:val="20"/>
          <w:szCs w:val="20"/>
          <w:color w:val="auto"/>
        </w:rPr>
        <w:t>For   ™  Against   ™  Abstain</w:t>
      </w:r>
    </w:p>
    <w:p>
      <w:pPr>
        <w:spacing w:after="0" w:line="211" w:lineRule="exact"/>
        <w:rPr>
          <w:sz w:val="20"/>
          <w:szCs w:val="20"/>
          <w:color w:val="auto"/>
        </w:rPr>
      </w:pPr>
    </w:p>
    <w:p>
      <w:pPr>
        <w:ind w:left="920" w:hanging="450"/>
        <w:spacing w:after="0"/>
        <w:tabs>
          <w:tab w:leader="none" w:pos="920" w:val="left"/>
        </w:tabs>
        <w:numPr>
          <w:ilvl w:val="0"/>
          <w:numId w:val="68"/>
        </w:numPr>
        <w:rPr>
          <w:rFonts w:ascii="Arial" w:cs="Arial" w:eastAsia="Arial" w:hAnsi="Arial"/>
          <w:sz w:val="20"/>
          <w:szCs w:val="20"/>
          <w:b w:val="1"/>
          <w:bCs w:val="1"/>
          <w:color w:val="auto"/>
        </w:rPr>
      </w:pPr>
      <w:r>
        <w:rPr>
          <w:rFonts w:ascii="Arial" w:cs="Arial" w:eastAsia="Arial" w:hAnsi="Arial"/>
          <w:sz w:val="20"/>
          <w:szCs w:val="20"/>
          <w:color w:val="auto"/>
        </w:rPr>
        <w:t>STOCKHOLDER PROPOSAL REGARDING QUALIFICATIONS FOR DIRECTOR NOMINEES.</w:t>
      </w:r>
    </w:p>
    <w:p>
      <w:pPr>
        <w:spacing w:after="0" w:line="205" w:lineRule="exact"/>
        <w:rPr>
          <w:rFonts w:ascii="Arial" w:cs="Arial" w:eastAsia="Arial" w:hAnsi="Arial"/>
          <w:sz w:val="20"/>
          <w:szCs w:val="20"/>
          <w:b w:val="1"/>
          <w:bCs w:val="1"/>
          <w:color w:val="auto"/>
        </w:rPr>
      </w:pPr>
    </w:p>
    <w:p>
      <w:pPr>
        <w:ind w:left="460"/>
        <w:spacing w:after="0"/>
        <w:rPr>
          <w:rFonts w:ascii="Arial" w:cs="Arial" w:eastAsia="Arial" w:hAnsi="Arial"/>
          <w:sz w:val="20"/>
          <w:szCs w:val="20"/>
          <w:b w:val="1"/>
          <w:bCs w:val="1"/>
          <w:color w:val="auto"/>
        </w:rPr>
      </w:pPr>
      <w:r>
        <w:rPr>
          <w:rFonts w:ascii="Arial" w:cs="Arial" w:eastAsia="Arial" w:hAnsi="Arial"/>
          <w:sz w:val="20"/>
          <w:szCs w:val="20"/>
          <w:color w:val="auto"/>
        </w:rPr>
        <w:t xml:space="preserve">4   Directors Recommend: </w:t>
      </w:r>
      <w:r>
        <w:rPr>
          <w:rFonts w:ascii="Arial" w:cs="Arial" w:eastAsia="Arial" w:hAnsi="Arial"/>
          <w:sz w:val="20"/>
          <w:szCs w:val="20"/>
          <w:b w:val="1"/>
          <w:bCs w:val="1"/>
          <w:color w:val="auto"/>
        </w:rPr>
        <w:t>AGAINST</w:t>
      </w:r>
    </w:p>
    <w:p>
      <w:pPr>
        <w:spacing w:after="0" w:line="217" w:lineRule="exact"/>
        <w:rPr>
          <w:sz w:val="20"/>
          <w:szCs w:val="20"/>
          <w:color w:val="auto"/>
        </w:rPr>
      </w:pPr>
    </w:p>
    <w:p>
      <w:pPr>
        <w:ind w:left="980"/>
        <w:spacing w:after="0"/>
        <w:tabs>
          <w:tab w:leader="none" w:pos="1800" w:val="left"/>
          <w:tab w:leader="none" w:pos="3000" w:val="left"/>
        </w:tabs>
        <w:rPr>
          <w:sz w:val="20"/>
          <w:szCs w:val="20"/>
          <w:color w:val="auto"/>
        </w:rPr>
      </w:pPr>
      <w:r>
        <w:rPr>
          <w:rFonts w:ascii="Arial" w:cs="Arial" w:eastAsia="Arial" w:hAnsi="Arial"/>
          <w:sz w:val="20"/>
          <w:szCs w:val="20"/>
          <w:color w:val="auto"/>
        </w:rPr>
        <w:t>™  For</w:t>
        <w:tab/>
        <w:t>™  Against</w:t>
      </w:r>
      <w:r>
        <w:rPr>
          <w:sz w:val="20"/>
          <w:szCs w:val="20"/>
          <w:color w:val="auto"/>
        </w:rPr>
        <w:tab/>
      </w:r>
      <w:r>
        <w:rPr>
          <w:rFonts w:ascii="Arial" w:cs="Arial" w:eastAsia="Arial" w:hAnsi="Arial"/>
          <w:sz w:val="17"/>
          <w:szCs w:val="17"/>
          <w:color w:val="auto"/>
        </w:rPr>
        <w:t>™  Abstain</w:t>
      </w: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Vote my shares as per the above selections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Click to see: “Letter to our clients regarding voting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283845</wp:posOffset>
            </wp:positionV>
            <wp:extent cx="7279640" cy="203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9640" cy="20320"/>
                    </a:xfrm>
                    <a:prstGeom prst="rect">
                      <a:avLst/>
                    </a:prstGeom>
                    <a:noFill/>
                  </pic:spPr>
                </pic:pic>
              </a:graphicData>
            </a:graphic>
          </wp:anchor>
        </w:drawing>
      </w:r>
    </w:p>
    <w:sectPr>
      <w:pgSz w:w="11900" w:h="16838" w:orient="portrait"/>
      <w:cols w:equalWidth="0" w:num="1">
        <w:col w:w="11440"/>
      </w:cols>
      <w:pgMar w:left="240" w:top="341"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9AC241"/>
    <w:multiLevelType w:val="hybridMultilevel"/>
    <w:lvl w:ilvl="0">
      <w:lvlJc w:val="left"/>
      <w:lvlText w:val="%1)"/>
      <w:numFmt w:val="decimal"/>
      <w:start w:val="2"/>
    </w:lvl>
  </w:abstractNum>
  <w:abstractNum w:abstractNumId="1">
    <w:nsid w:val="5577F8E1"/>
    <w:multiLevelType w:val="hybridMultilevel"/>
    <w:lvl w:ilvl="0">
      <w:lvlJc w:val="left"/>
      <w:lvlText w:val="%1"/>
      <w:numFmt w:val="upperLetter"/>
      <w:start w:val="1"/>
    </w:lvl>
    <w:lvl w:ilvl="1">
      <w:lvlJc w:val="left"/>
      <w:lvlText w:val="%2."/>
      <w:numFmt w:val="decimal"/>
      <w:start w:val="1"/>
    </w:lvl>
  </w:abstractNum>
  <w:abstractNum w:abstractNumId="2">
    <w:nsid w:val="440BADFC"/>
    <w:multiLevelType w:val="hybridMultilevel"/>
    <w:lvl w:ilvl="0">
      <w:lvlJc w:val="left"/>
      <w:lvlText w:val="%1"/>
      <w:numFmt w:val="upperLetter"/>
      <w:start w:val="1"/>
    </w:lvl>
    <w:lvl w:ilvl="1">
      <w:lvlJc w:val="left"/>
      <w:lvlText w:val="%2."/>
      <w:numFmt w:val="decimal"/>
      <w:start w:val="1"/>
    </w:lvl>
  </w:abstractNum>
  <w:abstractNum w:abstractNumId="3">
    <w:nsid w:val="5072367"/>
    <w:multiLevelType w:val="hybridMultilevel"/>
    <w:lvl w:ilvl="0">
      <w:lvlJc w:val="left"/>
      <w:lvlText w:val="%1."/>
      <w:numFmt w:val="decimal"/>
      <w:start w:val="9"/>
    </w:lvl>
  </w:abstractNum>
  <w:abstractNum w:abstractNumId="4">
    <w:nsid w:val="3804823E"/>
    <w:multiLevelType w:val="hybridMultilevel"/>
    <w:lvl w:ilvl="0">
      <w:lvlJc w:val="left"/>
      <w:lvlText w:val="%1."/>
      <w:numFmt w:val="decimal"/>
      <w:start w:val="1"/>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1)"/>
      <w:numFmt w:val="decimal"/>
      <w:start w:val="4"/>
    </w:lvl>
  </w:abstractNum>
  <w:abstractNum w:abstractNumId="8">
    <w:nsid w:val="2463B9EA"/>
    <w:multiLevelType w:val="hybridMultilevel"/>
    <w:lvl w:ilvl="0">
      <w:lvlJc w:val="left"/>
      <w:lvlText w:val="(%1)"/>
      <w:numFmt w:val="decimal"/>
      <w:start w:val="5"/>
    </w:lvl>
  </w:abstractNum>
  <w:abstractNum w:abstractNumId="9">
    <w:nsid w:val="5E884ADC"/>
    <w:multiLevelType w:val="hybridMultilevel"/>
    <w:lvl w:ilvl="0">
      <w:lvlJc w:val="left"/>
      <w:lvlText w:val="1"/>
      <w:numFmt w:val="bullet"/>
      <w:start w:val="1"/>
    </w:lvl>
  </w:abstractNum>
  <w:abstractNum w:abstractNumId="10">
    <w:nsid w:val="51EAD36B"/>
    <w:multiLevelType w:val="hybridMultilevel"/>
    <w:lvl w:ilvl="0">
      <w:lvlJc w:val="left"/>
      <w:lvlText w:val="%1."/>
      <w:numFmt w:val="decimal"/>
      <w:start w:val="1"/>
    </w:lvl>
  </w:abstractNum>
  <w:abstractNum w:abstractNumId="11">
    <w:nsid w:val="2D517796"/>
    <w:multiLevelType w:val="hybridMultilevel"/>
    <w:lvl w:ilvl="0">
      <w:lvlJc w:val="left"/>
      <w:lvlText w:val="2"/>
      <w:numFmt w:val="bullet"/>
      <w:start w:val="1"/>
    </w:lvl>
  </w:abstractNum>
  <w:abstractNum w:abstractNumId="12">
    <w:nsid w:val="580BD78F"/>
    <w:multiLevelType w:val="hybridMultilevel"/>
    <w:lvl w:ilvl="0">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
      <w:numFmt w:val="bullet"/>
      <w:start w:val="1"/>
    </w:lvl>
  </w:abstractNum>
  <w:abstractNum w:abstractNumId="15">
    <w:nsid w:val="70A64E2A"/>
    <w:multiLevelType w:val="hybridMultilevel"/>
    <w:lvl w:ilvl="0">
      <w:lvlJc w:val="left"/>
      <w:lvlText w:val="**"/>
      <w:numFmt w:val="bullet"/>
      <w:start w:val="1"/>
    </w:lvl>
  </w:abstractNum>
  <w:abstractNum w:abstractNumId="16">
    <w:nsid w:val="6A2342EC"/>
    <w:multiLevelType w:val="hybridMultilevel"/>
    <w:lvl w:ilvl="0">
      <w:lvlJc w:val="left"/>
      <w:lvlText w:val="3"/>
      <w:numFmt w:val="bullet"/>
      <w:start w:val="1"/>
    </w:lvl>
  </w:abstractNum>
  <w:abstractNum w:abstractNumId="17">
    <w:nsid w:val="2A487CB0"/>
    <w:multiLevelType w:val="hybridMultilevel"/>
    <w:lvl w:ilvl="0">
      <w:lvlJc w:val="left"/>
      <w:lvlText w:val="4"/>
      <w:numFmt w:val="bullet"/>
      <w:start w:val="1"/>
    </w:lvl>
  </w:abstractNum>
  <w:abstractNum w:abstractNumId="18">
    <w:nsid w:val="1D4ED43B"/>
    <w:multiLevelType w:val="hybridMultilevel"/>
    <w:lvl w:ilvl="0">
      <w:lvlJc w:val="left"/>
      <w:lvlText w:val="*"/>
      <w:numFmt w:val="bullet"/>
      <w:start w:val="1"/>
    </w:lvl>
  </w:abstractNum>
  <w:abstractNum w:abstractNumId="19">
    <w:nsid w:val="725A06FB"/>
    <w:multiLevelType w:val="hybridMultilevel"/>
    <w:lvl w:ilvl="0">
      <w:lvlJc w:val="left"/>
      <w:lvlText w:val="5"/>
      <w:numFmt w:val="bullet"/>
      <w:start w:val="1"/>
    </w:lvl>
  </w:abstractNum>
  <w:abstractNum w:abstractNumId="20">
    <w:nsid w:val="2CD89A32"/>
    <w:multiLevelType w:val="hybridMultilevel"/>
    <w:lvl w:ilvl="0">
      <w:lvlJc w:val="left"/>
      <w:lvlText w:val="6"/>
      <w:numFmt w:val="bullet"/>
      <w:start w:val="1"/>
    </w:lvl>
  </w:abstractNum>
  <w:abstractNum w:abstractNumId="21">
    <w:nsid w:val="57E4CCAF"/>
    <w:multiLevelType w:val="hybridMultilevel"/>
    <w:lvl w:ilvl="0">
      <w:lvlJc w:val="left"/>
      <w:lvlText w:val="*"/>
      <w:numFmt w:val="bullet"/>
      <w:start w:val="1"/>
    </w:lvl>
  </w:abstractNum>
  <w:abstractNum w:abstractNumId="22">
    <w:nsid w:val="7A6D8D3C"/>
    <w:multiLevelType w:val="hybridMultilevel"/>
    <w:lvl w:ilvl="0">
      <w:lvlJc w:val="left"/>
      <w:lvlText w:val="7"/>
      <w:numFmt w:val="bullet"/>
      <w:start w:val="1"/>
    </w:lvl>
  </w:abstractNum>
  <w:abstractNum w:abstractNumId="23">
    <w:nsid w:val="4B588F54"/>
    <w:multiLevelType w:val="hybridMultilevel"/>
    <w:lvl w:ilvl="0">
      <w:lvlJc w:val="left"/>
      <w:lvlText w:val="(%1)"/>
      <w:numFmt w:val="decimal"/>
      <w:start w:val="1"/>
    </w:lvl>
  </w:abstractNum>
  <w:abstractNum w:abstractNumId="24">
    <w:nsid w:val="542289EC"/>
    <w:multiLevelType w:val="hybridMultilevel"/>
    <w:lvl w:ilvl="0">
      <w:lvlJc w:val="left"/>
      <w:lvlText w:val="(%1)"/>
      <w:numFmt w:val="decimal"/>
      <w:start w:val="3"/>
    </w:lvl>
  </w:abstractNum>
  <w:abstractNum w:abstractNumId="25">
    <w:nsid w:val="6DE91B18"/>
    <w:multiLevelType w:val="hybridMultilevel"/>
    <w:lvl w:ilvl="0">
      <w:lvlJc w:val="left"/>
      <w:lvlText w:val="(%1)"/>
      <w:numFmt w:val="lowerLetter"/>
      <w:start w:val="1"/>
    </w:lvl>
  </w:abstractNum>
  <w:abstractNum w:abstractNumId="26">
    <w:nsid w:val="38437FDB"/>
    <w:multiLevelType w:val="hybridMultilevel"/>
    <w:lvl w:ilvl="0">
      <w:lvlJc w:val="left"/>
      <w:lvlText w:val="(%1)"/>
      <w:numFmt w:val="lowerLetter"/>
      <w:start w:val="5"/>
    </w:lvl>
  </w:abstractNum>
  <w:abstractNum w:abstractNumId="27">
    <w:nsid w:val="7644A45C"/>
    <w:multiLevelType w:val="hybridMultilevel"/>
    <w:lvl w:ilvl="0">
      <w:lvlJc w:val="left"/>
      <w:lvlText w:val="*"/>
      <w:numFmt w:val="bullet"/>
      <w:start w:val="1"/>
    </w:lvl>
  </w:abstractNum>
  <w:abstractNum w:abstractNumId="28">
    <w:nsid w:val="32FFF902"/>
    <w:multiLevelType w:val="hybridMultilevel"/>
    <w:lvl w:ilvl="0">
      <w:lvlJc w:val="left"/>
      <w:lvlText w:val="(%1)"/>
      <w:numFmt w:val="decimal"/>
      <w:start w:val="1"/>
    </w:lvl>
  </w:abstractNum>
  <w:abstractNum w:abstractNumId="29">
    <w:nsid w:val="684A481A"/>
    <w:multiLevelType w:val="hybridMultilevel"/>
    <w:lvl w:ilvl="0">
      <w:lvlJc w:val="left"/>
      <w:lvlText w:val="(%1)"/>
      <w:numFmt w:val="decimal"/>
      <w:start w:val="1"/>
    </w:lvl>
  </w:abstractNum>
  <w:abstractNum w:abstractNumId="30">
    <w:nsid w:val="579478FE"/>
    <w:multiLevelType w:val="hybridMultilevel"/>
    <w:lvl w:ilvl="0">
      <w:lvlJc w:val="left"/>
      <w:lvlText w:val="*"/>
      <w:numFmt w:val="bullet"/>
      <w:start w:val="1"/>
    </w:lvl>
  </w:abstractNum>
  <w:abstractNum w:abstractNumId="31">
    <w:nsid w:val="749ABB43"/>
    <w:multiLevelType w:val="hybridMultilevel"/>
    <w:lvl w:ilvl="0">
      <w:lvlJc w:val="left"/>
      <w:lvlText w:val="**"/>
      <w:numFmt w:val="bullet"/>
      <w:start w:val="1"/>
    </w:lvl>
  </w:abstractNum>
  <w:abstractNum w:abstractNumId="32">
    <w:nsid w:val="3DC240FB"/>
    <w:multiLevelType w:val="hybridMultilevel"/>
    <w:lvl w:ilvl="0">
      <w:lvlJc w:val="left"/>
      <w:lvlText w:val="(%1)"/>
      <w:numFmt w:val="decimal"/>
      <w:start w:val="1"/>
    </w:lvl>
  </w:abstractNum>
  <w:abstractNum w:abstractNumId="33">
    <w:nsid w:val="1BA026FA"/>
    <w:multiLevelType w:val="hybridMultilevel"/>
    <w:lvl w:ilvl="0">
      <w:lvlJc w:val="left"/>
      <w:lvlText w:val="(%1)"/>
      <w:numFmt w:val="decimal"/>
      <w:start w:val="3"/>
    </w:lvl>
  </w:abstractNum>
  <w:abstractNum w:abstractNumId="34">
    <w:nsid w:val="79A1DEAA"/>
    <w:multiLevelType w:val="hybridMultilevel"/>
    <w:lvl w:ilvl="0">
      <w:lvlJc w:val="left"/>
      <w:lvlText w:val="(%1)"/>
      <w:numFmt w:val="decimal"/>
      <w:start w:val="1"/>
    </w:lvl>
  </w:abstractNum>
  <w:abstractNum w:abstractNumId="35">
    <w:nsid w:val="75C6C33A"/>
    <w:multiLevelType w:val="hybridMultilevel"/>
    <w:lvl w:ilvl="0">
      <w:lvlJc w:val="left"/>
      <w:lvlText w:val="(%1)"/>
      <w:numFmt w:val="decimal"/>
      <w:start w:val="3"/>
    </w:lvl>
  </w:abstractNum>
  <w:abstractNum w:abstractNumId="36">
    <w:nsid w:val="12E685FB"/>
    <w:multiLevelType w:val="hybridMultilevel"/>
    <w:lvl w:ilvl="0">
      <w:lvlJc w:val="left"/>
      <w:lvlText w:val="(%1)"/>
      <w:numFmt w:val="lowerRoman"/>
      <w:start w:val="2"/>
    </w:lvl>
  </w:abstractNum>
  <w:abstractNum w:abstractNumId="37">
    <w:nsid w:val="70C6A529"/>
    <w:multiLevelType w:val="hybridMultilevel"/>
    <w:lvl w:ilvl="0">
      <w:lvlJc w:val="left"/>
      <w:lvlText w:val="8"/>
      <w:numFmt w:val="bullet"/>
      <w:start w:val="1"/>
    </w:lvl>
  </w:abstractNum>
  <w:abstractNum w:abstractNumId="38">
    <w:nsid w:val="520EEDD1"/>
    <w:multiLevelType w:val="hybridMultilevel"/>
    <w:lvl w:ilvl="0">
      <w:lvlJc w:val="left"/>
      <w:lvlText w:val="(%1)"/>
      <w:numFmt w:val="decimal"/>
      <w:start w:val="1"/>
    </w:lvl>
  </w:abstractNum>
  <w:abstractNum w:abstractNumId="39">
    <w:nsid w:val="374A3FE6"/>
    <w:multiLevelType w:val="hybridMultilevel"/>
    <w:lvl w:ilvl="0">
      <w:lvlJc w:val="left"/>
      <w:lvlText w:val="(%1)"/>
      <w:numFmt w:val="decimal"/>
      <w:start w:val="1"/>
    </w:lvl>
  </w:abstractNum>
  <w:abstractNum w:abstractNumId="40">
    <w:nsid w:val="4F4EF005"/>
    <w:multiLevelType w:val="hybridMultilevel"/>
    <w:lvl w:ilvl="0">
      <w:lvlJc w:val="left"/>
      <w:lvlText w:val="(%1)"/>
      <w:numFmt w:val="decimal"/>
      <w:start w:val="3"/>
    </w:lvl>
  </w:abstractNum>
  <w:abstractNum w:abstractNumId="41">
    <w:nsid w:val="23F9C13C"/>
    <w:multiLevelType w:val="hybridMultilevel"/>
    <w:lvl w:ilvl="0">
      <w:lvlJc w:val="left"/>
      <w:lvlText w:val="(%1)"/>
      <w:numFmt w:val="decimal"/>
      <w:start w:val="6"/>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1)"/>
      <w:numFmt w:val="decimal"/>
      <w:start w:val="1"/>
    </w:lvl>
  </w:abstractNum>
  <w:abstractNum w:abstractNumId="44">
    <w:nsid w:val="39386575"/>
    <w:multiLevelType w:val="hybridMultilevel"/>
    <w:lvl w:ilvl="0">
      <w:lvlJc w:val="left"/>
      <w:lvlText w:val="(%1)"/>
      <w:numFmt w:val="decimal"/>
      <w:start w:val="7"/>
    </w:lvl>
  </w:abstractNum>
  <w:abstractNum w:abstractNumId="45">
    <w:nsid w:val="1CF10FD8"/>
    <w:multiLevelType w:val="hybridMultilevel"/>
    <w:lvl w:ilvl="0">
      <w:lvlJc w:val="left"/>
      <w:lvlText w:val="(%1)"/>
      <w:numFmt w:val="decimal"/>
      <w:start w:val="1"/>
    </w:lvl>
  </w:abstractNum>
  <w:abstractNum w:abstractNumId="46">
    <w:nsid w:val="180115BE"/>
    <w:multiLevelType w:val="hybridMultilevel"/>
    <w:lvl w:ilvl="0">
      <w:lvlJc w:val="left"/>
      <w:lvlText w:val="(%1)"/>
      <w:numFmt w:val="decimal"/>
      <w:start w:val="5"/>
    </w:lvl>
  </w:abstractNum>
  <w:abstractNum w:abstractNumId="47">
    <w:nsid w:val="235BA861"/>
    <w:multiLevelType w:val="hybridMultilevel"/>
    <w:lvl w:ilvl="0">
      <w:lvlJc w:val="left"/>
      <w:lvlText w:val="(%1)"/>
      <w:numFmt w:val="decimal"/>
      <w:start w:val="9"/>
    </w:lvl>
  </w:abstractNum>
  <w:abstractNum w:abstractNumId="48">
    <w:nsid w:val="47398C89"/>
    <w:multiLevelType w:val="hybridMultilevel"/>
    <w:lvl w:ilvl="0">
      <w:lvlJc w:val="left"/>
      <w:lvlText w:val="%1."/>
      <w:numFmt w:val="decimal"/>
      <w:start w:val="1"/>
    </w:lvl>
  </w:abstractNum>
  <w:abstractNum w:abstractNumId="49">
    <w:nsid w:val="354FE9F9"/>
    <w:multiLevelType w:val="hybridMultilevel"/>
    <w:lvl w:ilvl="0">
      <w:lvlJc w:val="left"/>
      <w:lvlText w:val="(%1)"/>
      <w:numFmt w:val="decimal"/>
      <w:start w:val="1"/>
    </w:lvl>
  </w:abstractNum>
  <w:abstractNum w:abstractNumId="50">
    <w:nsid w:val="15B5AF5C"/>
    <w:multiLevelType w:val="hybridMultilevel"/>
    <w:lvl w:ilvl="0">
      <w:lvlJc w:val="left"/>
      <w:lvlText w:val="*"/>
      <w:numFmt w:val="bullet"/>
      <w:start w:val="1"/>
    </w:lvl>
  </w:abstractNum>
  <w:abstractNum w:abstractNumId="51">
    <w:nsid w:val="741226BB"/>
    <w:multiLevelType w:val="hybridMultilevel"/>
    <w:lvl w:ilvl="0">
      <w:lvlJc w:val="left"/>
      <w:lvlText w:val="(%1)"/>
      <w:numFmt w:val="decimal"/>
      <w:start w:val="1"/>
    </w:lvl>
  </w:abstractNum>
  <w:abstractNum w:abstractNumId="52">
    <w:nsid w:val="D34B6A8"/>
    <w:multiLevelType w:val="hybridMultilevel"/>
    <w:lvl w:ilvl="0">
      <w:lvlJc w:val="left"/>
      <w:lvlText w:val="%1)"/>
      <w:numFmt w:val="decimal"/>
      <w:start w:val="2"/>
    </w:lvl>
    <w:lvl w:ilvl="1">
      <w:lvlJc w:val="left"/>
      <w:lvlText w:val="(%2)"/>
      <w:numFmt w:val="lowerLetter"/>
      <w:start w:val="1"/>
    </w:lvl>
  </w:abstractNum>
  <w:abstractNum w:abstractNumId="53">
    <w:nsid w:val="10233C99"/>
    <w:multiLevelType w:val="hybridMultilevel"/>
    <w:lvl w:ilvl="0">
      <w:lvlJc w:val="left"/>
      <w:lvlText w:val="%1."/>
      <w:numFmt w:val="decimal"/>
      <w:start w:val="1"/>
    </w:lvl>
    <w:lvl w:ilvl="1">
      <w:lvlJc w:val="left"/>
      <w:lvlText w:val="(%2)"/>
      <w:numFmt w:val="lowerLetter"/>
      <w:start w:val="1"/>
    </w:lvl>
  </w:abstractNum>
  <w:abstractNum w:abstractNumId="54">
    <w:nsid w:val="3F6AB60F"/>
    <w:multiLevelType w:val="hybridMultilevel"/>
    <w:lvl w:ilvl="0">
      <w:lvlJc w:val="left"/>
      <w:lvlText w:val="%1."/>
      <w:numFmt w:val="decimal"/>
      <w:start w:val="2"/>
    </w:lvl>
  </w:abstractNum>
  <w:abstractNum w:abstractNumId="55">
    <w:nsid w:val="61574095"/>
    <w:multiLevelType w:val="hybridMultilevel"/>
    <w:lvl w:ilvl="0">
      <w:lvlJc w:val="left"/>
      <w:lvlText w:val="4"/>
      <w:numFmt w:val="bullet"/>
      <w:start w:val="1"/>
    </w:lvl>
    <w:lvl w:ilvl="1">
      <w:lvlJc w:val="left"/>
      <w:lvlText w:val="™"/>
      <w:numFmt w:val="bullet"/>
      <w:start w:val="1"/>
    </w:lvl>
  </w:abstractNum>
  <w:abstractNum w:abstractNumId="56">
    <w:nsid w:val="7E0C57B1"/>
    <w:multiLevelType w:val="hybridMultilevel"/>
    <w:lvl w:ilvl="0">
      <w:lvlJc w:val="left"/>
      <w:lvlText w:val="4"/>
      <w:numFmt w:val="bullet"/>
      <w:start w:val="1"/>
    </w:lvl>
  </w:abstractNum>
  <w:abstractNum w:abstractNumId="57">
    <w:nsid w:val="77AE35EB"/>
    <w:multiLevelType w:val="hybridMultilevel"/>
    <w:lvl w:ilvl="0">
      <w:lvlJc w:val="left"/>
      <w:lvlText w:val="4"/>
      <w:numFmt w:val="bullet"/>
      <w:start w:val="1"/>
    </w:lvl>
  </w:abstractNum>
  <w:abstractNum w:abstractNumId="58">
    <w:nsid w:val="579BE4F1"/>
    <w:multiLevelType w:val="hybridMultilevel"/>
    <w:lvl w:ilvl="0">
      <w:lvlJc w:val="left"/>
      <w:lvlText w:val="4"/>
      <w:numFmt w:val="bullet"/>
      <w:start w:val="1"/>
    </w:lvl>
  </w:abstractNum>
  <w:abstractNum w:abstractNumId="59">
    <w:nsid w:val="310C50B3"/>
    <w:multiLevelType w:val="hybridMultilevel"/>
    <w:lvl w:ilvl="0">
      <w:lvlJc w:val="left"/>
      <w:lvlText w:val="4"/>
      <w:numFmt w:val="bullet"/>
      <w:start w:val="1"/>
    </w:lvl>
    <w:lvl w:ilvl="1">
      <w:lvlJc w:val="left"/>
      <w:lvlText w:val="™"/>
      <w:numFmt w:val="bullet"/>
      <w:start w:val="1"/>
    </w:lvl>
  </w:abstractNum>
  <w:abstractNum w:abstractNumId="60">
    <w:nsid w:val="5FF87E05"/>
    <w:multiLevelType w:val="hybridMultilevel"/>
    <w:lvl w:ilvl="0">
      <w:lvlJc w:val="left"/>
      <w:lvlText w:val="4"/>
      <w:numFmt w:val="bullet"/>
      <w:start w:val="1"/>
    </w:lvl>
  </w:abstractNum>
  <w:abstractNum w:abstractNumId="61">
    <w:nsid w:val="2F305DEF"/>
    <w:multiLevelType w:val="hybridMultilevel"/>
    <w:lvl w:ilvl="0">
      <w:lvlJc w:val="left"/>
      <w:lvlText w:val="4"/>
      <w:numFmt w:val="bullet"/>
      <w:start w:val="1"/>
    </w:lvl>
  </w:abstractNum>
  <w:abstractNum w:abstractNumId="62">
    <w:nsid w:val="25A70BF7"/>
    <w:multiLevelType w:val="hybridMultilevel"/>
    <w:lvl w:ilvl="0">
      <w:lvlJc w:val="left"/>
      <w:lvlText w:val="4"/>
      <w:numFmt w:val="bullet"/>
      <w:start w:val="1"/>
    </w:lvl>
    <w:lvl w:ilvl="1">
      <w:lvlJc w:val="left"/>
      <w:lvlText w:val="™"/>
      <w:numFmt w:val="bullet"/>
      <w:start w:val="1"/>
    </w:lvl>
  </w:abstractNum>
  <w:abstractNum w:abstractNumId="63">
    <w:nsid w:val="1DBABF00"/>
    <w:multiLevelType w:val="hybridMultilevel"/>
    <w:lvl w:ilvl="0">
      <w:lvlJc w:val="left"/>
      <w:lvlText w:val="4"/>
      <w:numFmt w:val="bullet"/>
      <w:start w:val="1"/>
    </w:lvl>
    <w:lvl w:ilvl="1">
      <w:lvlJc w:val="left"/>
      <w:lvlText w:val="™"/>
      <w:numFmt w:val="bullet"/>
      <w:start w:val="1"/>
    </w:lvl>
  </w:abstractNum>
  <w:abstractNum w:abstractNumId="64">
    <w:nsid w:val="4AD084E9"/>
    <w:multiLevelType w:val="hybridMultilevel"/>
    <w:lvl w:ilvl="0">
      <w:lvlJc w:val="left"/>
      <w:lvlText w:val="4"/>
      <w:numFmt w:val="bullet"/>
      <w:start w:val="1"/>
    </w:lvl>
    <w:lvl w:ilvl="1">
      <w:lvlJc w:val="left"/>
      <w:lvlText w:val="™"/>
      <w:numFmt w:val="bullet"/>
      <w:start w:val="1"/>
    </w:lvl>
  </w:abstractNum>
  <w:abstractNum w:abstractNumId="65">
    <w:nsid w:val="1F48EAA1"/>
    <w:multiLevelType w:val="hybridMultilevel"/>
    <w:lvl w:ilvl="0">
      <w:lvlJc w:val="left"/>
      <w:lvlText w:val="%1."/>
      <w:numFmt w:val="decimal"/>
      <w:start w:val="2"/>
    </w:lvl>
  </w:abstractNum>
  <w:abstractNum w:abstractNumId="66">
    <w:nsid w:val="1381823A"/>
    <w:multiLevelType w:val="hybridMultilevel"/>
    <w:lvl w:ilvl="0">
      <w:lvlJc w:val="left"/>
      <w:lvlText w:val="4"/>
      <w:numFmt w:val="bullet"/>
      <w:start w:val="1"/>
    </w:lvl>
    <w:lvl w:ilvl="1">
      <w:lvlJc w:val="left"/>
      <w:lvlText w:val="™"/>
      <w:numFmt w:val="bullet"/>
      <w:start w:val="1"/>
    </w:lvl>
  </w:abstractNum>
  <w:abstractNum w:abstractNumId="67">
    <w:nsid w:val="5DB70AE5"/>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2019-12-11T13:01:50Z</dcterms:created>
  <dcterms:modified xsi:type="dcterms:W3CDTF">2019-12-11T13:01:50Z</dcterms:modified>
</cp:coreProperties>
</file>