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62230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68" w:lineRule="exact"/>
        <w:rPr>
          <w:sz w:val="24"/>
          <w:szCs w:val="24"/>
          <w:color w:val="auto"/>
        </w:rPr>
      </w:pPr>
    </w:p>
    <w:p>
      <w:pPr>
        <w:ind w:left="760" w:right="340" w:hanging="734"/>
        <w:spacing w:after="0" w:line="256" w:lineRule="auto"/>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08" w:lineRule="exact"/>
        <w:rPr>
          <w:sz w:val="24"/>
          <w:szCs w:val="24"/>
          <w:color w:val="auto"/>
        </w:rPr>
      </w:pPr>
    </w:p>
    <w:p>
      <w:pPr>
        <w:ind w:left="760" w:right="320" w:hanging="734"/>
        <w:spacing w:after="0" w:line="256"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34290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47"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4180" w:type="dxa"/>
            <w:vAlign w:val="bottom"/>
          </w:tcPr>
          <w:p>
            <w:pPr>
              <w:jc w:val="center"/>
              <w:ind w:right="1499"/>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217"/>
        </w:trPr>
        <w:tc>
          <w:tcPr>
            <w:tcW w:w="4180" w:type="dxa"/>
            <w:vAlign w:val="bottom"/>
          </w:tcPr>
          <w:p>
            <w:pPr>
              <w:jc w:val="center"/>
              <w:ind w:right="1479"/>
              <w:spacing w:after="0"/>
              <w:rPr>
                <w:sz w:val="20"/>
                <w:szCs w:val="20"/>
                <w:color w:val="auto"/>
              </w:rPr>
            </w:pPr>
            <w:r>
              <w:rPr>
                <w:rFonts w:ascii="Arial" w:cs="Arial" w:eastAsia="Arial" w:hAnsi="Arial"/>
                <w:sz w:val="14"/>
                <w:szCs w:val="14"/>
                <w:b w:val="1"/>
                <w:bCs w:val="1"/>
                <w:color w:val="auto"/>
                <w:w w:val="94"/>
              </w:rPr>
              <w:t>(State of Incorporation)</w:t>
            </w:r>
          </w:p>
        </w:tc>
        <w:tc>
          <w:tcPr>
            <w:tcW w:w="3760" w:type="dxa"/>
            <w:vAlign w:val="bottom"/>
          </w:tcPr>
          <w:p>
            <w:pPr>
              <w:jc w:val="center"/>
              <w:ind w:left="147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63"/>
        </w:trPr>
        <w:tc>
          <w:tcPr>
            <w:tcW w:w="4180" w:type="dxa"/>
            <w:vAlign w:val="bottom"/>
          </w:tcPr>
          <w:p>
            <w:pPr>
              <w:jc w:val="center"/>
              <w:ind w:right="1479"/>
              <w:spacing w:after="0"/>
              <w:rPr>
                <w:sz w:val="20"/>
                <w:szCs w:val="20"/>
                <w:color w:val="auto"/>
              </w:rPr>
            </w:pPr>
            <w:r>
              <w:rPr>
                <w:rFonts w:ascii="Arial" w:cs="Arial" w:eastAsia="Arial" w:hAnsi="Arial"/>
                <w:sz w:val="18"/>
                <w:szCs w:val="18"/>
                <w:b w:val="1"/>
                <w:bCs w:val="1"/>
                <w:color w:val="auto"/>
                <w:w w:val="90"/>
              </w:rPr>
              <w:t>12500 TI Boulevard, Dallas, Texas</w:t>
            </w:r>
          </w:p>
        </w:tc>
        <w:tc>
          <w:tcPr>
            <w:tcW w:w="3760" w:type="dxa"/>
            <w:vAlign w:val="bottom"/>
          </w:tcPr>
          <w:p>
            <w:pPr>
              <w:jc w:val="right"/>
              <w:ind w:right="779"/>
              <w:spacing w:after="0"/>
              <w:rPr>
                <w:sz w:val="20"/>
                <w:szCs w:val="20"/>
                <w:color w:val="auto"/>
              </w:rPr>
            </w:pPr>
            <w:r>
              <w:rPr>
                <w:rFonts w:ascii="Arial" w:cs="Arial" w:eastAsia="Arial" w:hAnsi="Arial"/>
                <w:sz w:val="18"/>
                <w:szCs w:val="18"/>
                <w:b w:val="1"/>
                <w:bCs w:val="1"/>
                <w:color w:val="auto"/>
              </w:rPr>
              <w:t>75243</w:t>
            </w:r>
          </w:p>
        </w:tc>
      </w:tr>
      <w:tr>
        <w:trPr>
          <w:trHeight w:val="218"/>
        </w:trPr>
        <w:tc>
          <w:tcPr>
            <w:tcW w:w="4180" w:type="dxa"/>
            <w:vAlign w:val="bottom"/>
          </w:tcPr>
          <w:p>
            <w:pPr>
              <w:jc w:val="center"/>
              <w:ind w:right="1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60" w:type="dxa"/>
            <w:vAlign w:val="bottom"/>
          </w:tcPr>
          <w:p>
            <w:pPr>
              <w:jc w:val="center"/>
              <w:ind w:left="1499"/>
              <w:spacing w:after="0"/>
              <w:rPr>
                <w:sz w:val="20"/>
                <w:szCs w:val="20"/>
                <w:color w:val="auto"/>
              </w:rPr>
            </w:pPr>
            <w:r>
              <w:rPr>
                <w:rFonts w:ascii="Arial" w:cs="Arial" w:eastAsia="Arial" w:hAnsi="Arial"/>
                <w:sz w:val="14"/>
                <w:szCs w:val="14"/>
                <w:b w:val="1"/>
                <w:bCs w:val="1"/>
                <w:color w:val="auto"/>
                <w:w w:val="95"/>
              </w:rPr>
              <w:t>(Zip Code)</w:t>
            </w:r>
          </w:p>
        </w:tc>
      </w:tr>
    </w:tbl>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194945</wp:posOffset>
            </wp:positionV>
            <wp:extent cx="4166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30" w:type="dxa"/>
        <w:tblCellMar>
          <w:top w:w="0" w:type="dxa"/>
          <w:left w:w="0" w:type="dxa"/>
          <w:bottom w:w="0" w:type="dxa"/>
          <w:right w:w="0" w:type="dxa"/>
        </w:tblCellMar>
      </w:tblPr>
      <w:tr>
        <w:trPr>
          <w:trHeight w:val="257"/>
        </w:trPr>
        <w:tc>
          <w:tcPr>
            <w:tcW w:w="3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5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$1.00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7" w:lineRule="exact"/>
        <w:rPr>
          <w:sz w:val="24"/>
          <w:szCs w:val="24"/>
          <w:color w:val="auto"/>
        </w:rPr>
      </w:pPr>
    </w:p>
    <w:p>
      <w:pPr>
        <w:ind w:right="60"/>
        <w:spacing w:after="0" w:line="28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76" w:right="339" w:bottom="1440" w:gutter="0" w:footer="0" w:header="0"/>
        </w:sectPr>
      </w:pP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40"/>
              <w:spacing w:after="0"/>
              <w:rPr>
                <w:sz w:val="20"/>
                <w:szCs w:val="20"/>
                <w:color w:val="auto"/>
              </w:rPr>
            </w:pPr>
            <w:r>
              <w:rPr>
                <w:rFonts w:ascii="Arial" w:cs="Arial" w:eastAsia="Arial" w:hAnsi="Arial"/>
                <w:sz w:val="18"/>
                <w:szCs w:val="18"/>
                <w:color w:val="auto"/>
              </w:rPr>
              <w:t>Accelerated filer</w:t>
            </w:r>
          </w:p>
        </w:tc>
      </w:tr>
      <w:tr>
        <w:trPr>
          <w:trHeight w:val="270"/>
        </w:trPr>
        <w:tc>
          <w:tcPr>
            <w:tcW w:w="2860" w:type="dxa"/>
            <w:vAlign w:val="bottom"/>
          </w:tcPr>
          <w:p>
            <w:pPr>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40"/>
              <w:spacing w:after="0"/>
              <w:rPr>
                <w:sz w:val="20"/>
                <w:szCs w:val="20"/>
                <w:color w:val="auto"/>
              </w:rPr>
            </w:pPr>
            <w:r>
              <w:rPr>
                <w:rFonts w:ascii="Arial" w:cs="Arial" w:eastAsia="Arial" w:hAnsi="Arial"/>
                <w:sz w:val="18"/>
                <w:szCs w:val="18"/>
                <w:color w:val="auto"/>
                <w:w w:val="90"/>
              </w:rPr>
              <w:t>Smaller reporting company</w:t>
            </w:r>
          </w:p>
        </w:tc>
      </w:tr>
      <w:tr>
        <w:trPr>
          <w:trHeight w:val="270"/>
        </w:trPr>
        <w:tc>
          <w:tcPr>
            <w:tcW w:w="28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8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spacing w:after="0"/>
              <w:rPr>
                <w:sz w:val="23"/>
                <w:szCs w:val="23"/>
                <w:color w:val="auto"/>
              </w:rPr>
            </w:pPr>
          </w:p>
        </w:tc>
      </w:tr>
    </w:tbl>
    <w:p>
      <w:pPr>
        <w:spacing w:after="0" w:line="82" w:lineRule="exact"/>
        <w:rPr>
          <w:sz w:val="24"/>
          <w:szCs w:val="24"/>
          <w:color w:val="auto"/>
        </w:rPr>
      </w:pPr>
    </w:p>
    <w:p>
      <w:pPr>
        <w:ind w:lef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w:t>
      </w:r>
      <w:r>
        <w:rPr>
          <w:rFonts w:ascii="Arial" w:cs="Arial" w:eastAsia="Arial" w:hAnsi="Arial"/>
          <w:sz w:val="16"/>
          <w:szCs w:val="16"/>
          <w:color w:val="auto"/>
        </w:rPr>
        <w:t>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29"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917,772,641</w:t>
      </w:r>
    </w:p>
    <w:p>
      <w:pPr>
        <w:spacing w:after="0" w:line="117"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23" w:lineRule="exact"/>
        <w:rPr>
          <w:sz w:val="24"/>
          <w:szCs w:val="24"/>
          <w:color w:val="auto"/>
        </w:rPr>
      </w:pPr>
    </w:p>
    <w:p>
      <w:pPr>
        <w:jc w:val="center"/>
        <w:ind w:left="740"/>
        <w:spacing w:after="0"/>
        <w:rPr>
          <w:sz w:val="20"/>
          <w:szCs w:val="20"/>
          <w:color w:val="auto"/>
        </w:rPr>
      </w:pPr>
      <w:r>
        <w:rPr>
          <w:rFonts w:ascii="Arial" w:cs="Arial" w:eastAsia="Arial" w:hAnsi="Arial"/>
          <w:sz w:val="18"/>
          <w:szCs w:val="18"/>
          <w:color w:val="auto"/>
        </w:rPr>
        <w:t>April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6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500" w:space="400"/>
            <w:col w:w="340"/>
          </w:cols>
          <w:pgMar w:left="320" w:top="97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9"/>
              </w:rPr>
              <w:t>For Three Months Ended</w:t>
            </w:r>
          </w:p>
        </w:tc>
      </w:tr>
      <w:tr>
        <w:trPr>
          <w:trHeight w:val="257"/>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24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22"/>
                <w:szCs w:val="22"/>
                <w:color w:val="auto"/>
              </w:rPr>
            </w:pPr>
          </w:p>
        </w:tc>
      </w:tr>
      <w:tr>
        <w:trPr>
          <w:trHeight w:val="33"/>
        </w:trPr>
        <w:tc>
          <w:tcPr>
            <w:tcW w:w="8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3,594</w:t>
            </w:r>
          </w:p>
        </w:tc>
      </w:tr>
      <w:tr>
        <w:trPr>
          <w:trHeight w:val="224"/>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Cost of revenue (COR)</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1,333</w:t>
            </w:r>
          </w:p>
        </w:tc>
      </w:tr>
      <w:tr>
        <w:trPr>
          <w:trHeight w:val="33"/>
        </w:trPr>
        <w:tc>
          <w:tcPr>
            <w:tcW w:w="8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2,261</w:t>
            </w:r>
          </w:p>
        </w:tc>
      </w:tr>
      <w:tr>
        <w:trPr>
          <w:trHeight w:val="22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(R&amp;D)</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389</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(SG&amp;A)</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w:t>
            </w:r>
          </w:p>
        </w:tc>
      </w:tr>
      <w:tr>
        <w:trPr>
          <w:trHeight w:val="224"/>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Acquisition charges</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79</w:t>
            </w:r>
          </w:p>
        </w:tc>
      </w:tr>
      <w:tr>
        <w:trPr>
          <w:trHeight w:val="33"/>
        </w:trPr>
        <w:tc>
          <w:tcPr>
            <w:tcW w:w="8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1,379</w:t>
            </w:r>
          </w:p>
        </w:tc>
      </w:tr>
      <w:tr>
        <w:trPr>
          <w:trHeight w:val="224"/>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 (OI&amp;E)</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36</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and debt expense</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r>
      <w:tr>
        <w:trPr>
          <w:trHeight w:val="217"/>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1,224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1,377</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r>
      <w:tr>
        <w:trPr>
          <w:trHeight w:val="247"/>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1,174</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1,217</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7"/>
        </w:trPr>
        <w:tc>
          <w:tcPr>
            <w:tcW w:w="8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Earnings per common share (EPS):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9"/>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1.26</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7"/>
        </w:trPr>
        <w:tc>
          <w:tcPr>
            <w:tcW w:w="8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Average shares outstanding (millions):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9"/>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939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943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956</w:t>
            </w:r>
          </w:p>
        </w:tc>
      </w:tr>
      <w:tr>
        <w:trPr>
          <w:trHeight w:val="2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1,174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1,217</w:t>
            </w:r>
          </w:p>
        </w:tc>
      </w:tr>
      <w:tr>
        <w:trPr>
          <w:trHeight w:val="223"/>
        </w:trPr>
        <w:tc>
          <w:tcPr>
            <w:tcW w:w="8720" w:type="dxa"/>
            <w:vAlign w:val="bottom"/>
          </w:tcPr>
          <w:p>
            <w:pPr>
              <w:ind w:left="20"/>
              <w:spacing w:after="0"/>
              <w:rPr>
                <w:sz w:val="20"/>
                <w:szCs w:val="20"/>
                <w:color w:val="auto"/>
              </w:rPr>
            </w:pPr>
            <w:r>
              <w:rPr>
                <w:rFonts w:ascii="Arial" w:cs="Arial" w:eastAsia="Arial" w:hAnsi="Arial"/>
                <w:sz w:val="16"/>
                <w:szCs w:val="16"/>
                <w:color w:val="auto"/>
              </w:rPr>
              <w:t>Income allocated to RSUs</w:t>
            </w:r>
          </w:p>
        </w:tc>
        <w:tc>
          <w:tcPr>
            <w:tcW w:w="4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8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2"/>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common stock for diluted EPS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1,209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4775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actuarial losses of defined benefit plans: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Adjustments, net of tax effect of ($3) and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Recognized within net income, net of tax effect of ($2) and ($3)</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Available-for-sale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Unrealized gains, net of tax effect of $0 and $0</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comprehensive income (loss),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comprehensive income</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Three Months Ended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wp:posOffset>
            </wp:positionV>
            <wp:extent cx="15944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1,174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1,217</w:t>
            </w:r>
          </w:p>
        </w:tc>
      </w:tr>
    </w:tbl>
    <w:p>
      <w:pPr>
        <w:spacing w:after="0" w:line="200" w:lineRule="exact"/>
        <w:rPr>
          <w:sz w:val="20"/>
          <w:szCs w:val="20"/>
          <w:color w:val="auto"/>
        </w:rPr>
      </w:pPr>
    </w:p>
    <w:p>
      <w:pPr>
        <w:spacing w:after="0" w:line="363" w:lineRule="exact"/>
        <w:rPr>
          <w:sz w:val="20"/>
          <w:szCs w:val="20"/>
          <w:color w:val="auto"/>
        </w:rPr>
      </w:pPr>
    </w:p>
    <w:p>
      <w:pPr>
        <w:ind w:left="2220" w:hanging="1239"/>
        <w:spacing w:after="0"/>
        <w:tabs>
          <w:tab w:leader="none" w:pos="22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(2)</w:t>
      </w:r>
    </w:p>
    <w:p>
      <w:pPr>
        <w:spacing w:after="0" w:line="73" w:lineRule="exact"/>
        <w:rPr>
          <w:sz w:val="20"/>
          <w:szCs w:val="20"/>
          <w:color w:val="auto"/>
        </w:rPr>
      </w:pPr>
    </w:p>
    <w:p>
      <w:pPr>
        <w:ind w:left="2200" w:hanging="1219"/>
        <w:spacing w:after="0"/>
        <w:tabs>
          <w:tab w:leader="none" w:pos="22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10</w:t>
      </w:r>
    </w:p>
    <w:p>
      <w:pPr>
        <w:spacing w:after="0" w:line="329" w:lineRule="exact"/>
        <w:rPr>
          <w:sz w:val="20"/>
          <w:szCs w:val="20"/>
          <w:color w:val="auto"/>
        </w:rPr>
      </w:pPr>
    </w:p>
    <w:p>
      <w:pPr>
        <w:ind w:left="2200" w:hanging="1219"/>
        <w:spacing w:after="0"/>
        <w:tabs>
          <w:tab w:leader="none" w:pos="22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594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66" w:lineRule="exact"/>
        <w:rPr>
          <w:sz w:val="20"/>
          <w:szCs w:val="20"/>
          <w:color w:val="auto"/>
        </w:rPr>
      </w:pPr>
    </w:p>
    <w:p>
      <w:pPr>
        <w:ind w:left="2300" w:hanging="1400"/>
        <w:spacing w:after="0"/>
        <w:tabs>
          <w:tab w:leader="none" w:pos="230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8</w:t>
      </w:r>
    </w:p>
    <w:p>
      <w:pPr>
        <w:spacing w:after="0" w:line="82" w:lineRule="exact"/>
        <w:rPr>
          <w:sz w:val="20"/>
          <w:szCs w:val="20"/>
          <w:color w:val="auto"/>
        </w:rPr>
      </w:pPr>
    </w:p>
    <w:p>
      <w:pPr>
        <w:ind w:left="20"/>
        <w:spacing w:after="0"/>
        <w:tabs>
          <w:tab w:leader="none" w:pos="680" w:val="left"/>
          <w:tab w:leader="none" w:pos="1320" w:val="left"/>
          <w:tab w:leader="none" w:pos="19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1,193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63500</wp:posOffset>
            </wp:positionV>
            <wp:extent cx="15944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ectPr>
          <w:pgSz w:w="11900" w:h="16838" w:orient="portrait"/>
          <w:cols w:equalWidth="0" w:num="2">
            <w:col w:w="8000" w:space="720"/>
            <w:col w:w="252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December 31,</w:t>
            </w:r>
          </w:p>
        </w:tc>
      </w:tr>
      <w:tr>
        <w:trPr>
          <w:trHeight w:val="256"/>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Balance Sheets</w:t>
            </w:r>
          </w:p>
        </w:tc>
        <w:tc>
          <w:tcPr>
            <w:tcW w:w="200" w:type="dxa"/>
            <w:vAlign w:val="bottom"/>
          </w:tcPr>
          <w:p>
            <w:pPr>
              <w:spacing w:after="0"/>
              <w:rPr>
                <w:sz w:val="22"/>
                <w:szCs w:val="22"/>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8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 except share amounts)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4"/>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2,437</w:t>
            </w:r>
          </w:p>
        </w:tc>
      </w:tr>
      <w:tr>
        <w:trPr>
          <w:trHeight w:val="224"/>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2,224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2,950</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net of allowances of ($8) and ($8)</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1,074</w:t>
            </w:r>
          </w:p>
        </w:tc>
      </w:tr>
      <w:tr>
        <w:trPr>
          <w:trHeight w:val="223"/>
        </w:trPr>
        <w:tc>
          <w:tcPr>
            <w:tcW w:w="8480" w:type="dxa"/>
            <w:vAlign w:val="bottom"/>
            <w:gridSpan w:val="2"/>
          </w:tcPr>
          <w:p>
            <w:pPr>
              <w:ind w:left="220"/>
              <w:spacing w:after="0"/>
              <w:rPr>
                <w:sz w:val="20"/>
                <w:szCs w:val="20"/>
                <w:color w:val="auto"/>
              </w:rPr>
            </w:pPr>
            <w:r>
              <w:rPr>
                <w:rFonts w:ascii="Arial" w:cs="Arial" w:eastAsia="Arial" w:hAnsi="Arial"/>
                <w:sz w:val="16"/>
                <w:szCs w:val="16"/>
                <w:color w:val="auto"/>
              </w:rPr>
              <w:t>Raw materials</w:t>
            </w: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175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176</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Work in process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916</w:t>
            </w:r>
          </w:p>
        </w:tc>
      </w:tr>
      <w:tr>
        <w:trPr>
          <w:trHeight w:val="224"/>
        </w:trPr>
        <w:tc>
          <w:tcPr>
            <w:tcW w:w="8480" w:type="dxa"/>
            <w:vAlign w:val="bottom"/>
            <w:gridSpan w:val="2"/>
          </w:tcPr>
          <w:p>
            <w:pPr>
              <w:ind w:left="220"/>
              <w:spacing w:after="0"/>
              <w:rPr>
                <w:sz w:val="20"/>
                <w:szCs w:val="20"/>
                <w:color w:val="auto"/>
              </w:rPr>
            </w:pPr>
            <w:r>
              <w:rPr>
                <w:rFonts w:ascii="Arial" w:cs="Arial" w:eastAsia="Arial" w:hAnsi="Arial"/>
                <w:sz w:val="16"/>
                <w:szCs w:val="16"/>
                <w:color w:val="auto"/>
              </w:rPr>
              <w:t>Finished goods</w:t>
            </w: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913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909</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2,001</w:t>
            </w:r>
          </w:p>
        </w:tc>
      </w:tr>
      <w:tr>
        <w:trPr>
          <w:trHeight w:val="217"/>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249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299</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8,761</w:t>
            </w:r>
          </w:p>
        </w:tc>
      </w:tr>
      <w:tr>
        <w:trPr>
          <w:trHeight w:val="217"/>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at cost</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5,740</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(2,437)</w:t>
            </w:r>
          </w:p>
        </w:tc>
      </w:tr>
      <w:tr>
        <w:trPr>
          <w:trHeight w:val="217"/>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Property, plant and equipment</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3,233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3,303</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w:t>
            </w:r>
          </w:p>
        </w:tc>
      </w:tr>
      <w:tr>
        <w:trPr>
          <w:trHeight w:val="224"/>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4,362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4,362</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intangibles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340</w:t>
            </w:r>
          </w:p>
        </w:tc>
      </w:tr>
      <w:tr>
        <w:trPr>
          <w:trHeight w:val="224"/>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208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197</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Capitalized software licenses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Overfunded retirement plans</w:t>
            </w: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215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218</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468</w:t>
            </w:r>
          </w:p>
        </w:tc>
      </w:tr>
      <w:tr>
        <w:trPr>
          <w:trHeight w:val="247"/>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17,283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18,018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7"/>
        </w:trPr>
        <w:tc>
          <w:tcPr>
            <w:tcW w:w="8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3"/>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1,051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500</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388</w:t>
            </w:r>
          </w:p>
        </w:tc>
      </w:tr>
      <w:tr>
        <w:trPr>
          <w:trHeight w:val="223"/>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353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714</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r>
      <w:tr>
        <w:trPr>
          <w:trHeight w:val="223"/>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552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475</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2,123</w:t>
            </w:r>
          </w:p>
        </w:tc>
      </w:tr>
      <w:tr>
        <w:trPr>
          <w:trHeight w:val="217"/>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5,499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5,303</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Underfunded retirement plans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Deferred tax liabilities</w:t>
            </w: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78</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1,514</w:t>
            </w:r>
          </w:p>
        </w:tc>
      </w:tr>
      <w:tr>
        <w:trPr>
          <w:trHeight w:val="217"/>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9,549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9,111</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53"/>
        </w:trPr>
        <w:tc>
          <w:tcPr>
            <w:tcW w:w="8480" w:type="dxa"/>
            <w:vAlign w:val="bottom"/>
            <w:gridSpan w:val="2"/>
          </w:tcPr>
          <w:p>
            <w:pPr>
              <w:ind w:left="140"/>
              <w:spacing w:after="0"/>
              <w:rPr>
                <w:sz w:val="20"/>
                <w:szCs w:val="20"/>
                <w:color w:val="auto"/>
              </w:rPr>
            </w:pPr>
            <w:r>
              <w:rPr>
                <w:rFonts w:ascii="Arial" w:cs="Arial" w:eastAsia="Arial" w:hAnsi="Arial"/>
                <w:sz w:val="16"/>
                <w:szCs w:val="16"/>
                <w:color w:val="auto"/>
              </w:rPr>
              <w:t>Preferred stock, $25 par value. Authorized – 10,000,000 shares</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60"/>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Participating cumulative preferred – None issued</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r>
      <w:tr>
        <w:trPr>
          <w:trHeight w:val="240"/>
        </w:trPr>
        <w:tc>
          <w:tcPr>
            <w:tcW w:w="8480" w:type="dxa"/>
            <w:vAlign w:val="bottom"/>
            <w:gridSpan w:val="2"/>
          </w:tcPr>
          <w:p>
            <w:pPr>
              <w:ind w:left="140"/>
              <w:spacing w:after="0"/>
              <w:rPr>
                <w:sz w:val="20"/>
                <w:szCs w:val="20"/>
                <w:color w:val="auto"/>
              </w:rPr>
            </w:pPr>
            <w:r>
              <w:rPr>
                <w:rFonts w:ascii="Arial" w:cs="Arial" w:eastAsia="Arial" w:hAnsi="Arial"/>
                <w:sz w:val="16"/>
                <w:szCs w:val="16"/>
                <w:color w:val="auto"/>
              </w:rPr>
              <w:t>Common stock, $1 par value. Authorized – 2,400,000,000 shares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9"/>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issued – 1,740,815,939</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r>
      <w:tr>
        <w:trPr>
          <w:trHeight w:val="224"/>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2,096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2,110</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40,227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39,898</w:t>
            </w:r>
          </w:p>
        </w:tc>
      </w:tr>
      <w:tr>
        <w:trPr>
          <w:trHeight w:val="223"/>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March 31, 2020 – 819,335,097; December 31, 2019 – 808,784,381</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(36,002)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(34,495)</w:t>
            </w:r>
          </w:p>
        </w:tc>
      </w:tr>
      <w:tr>
        <w:trPr>
          <w:trHeight w:val="223"/>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(347)</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7,734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8,907</w:t>
            </w:r>
          </w:p>
        </w:tc>
      </w:tr>
      <w:tr>
        <w:trPr>
          <w:trHeight w:val="247"/>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17,283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18,018</w:t>
            </w:r>
          </w:p>
        </w:tc>
      </w:tr>
      <w:tr>
        <w:trPr>
          <w:trHeight w:val="24"/>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240"/>
          </w:cols>
          <w:pgMar w:left="320" w:top="121" w:right="3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3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3"/>
              </w:rPr>
              <w:t>For Three Months Ended</w:t>
            </w:r>
          </w:p>
        </w:tc>
      </w:tr>
      <w:tr>
        <w:trPr>
          <w:trHeight w:val="257"/>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40" w:type="dxa"/>
            <w:vAlign w:val="bottom"/>
          </w:tcPr>
          <w:p>
            <w:pPr>
              <w:spacing w:after="0"/>
              <w:rPr>
                <w:sz w:val="22"/>
                <w:szCs w:val="22"/>
                <w:color w:val="auto"/>
              </w:rPr>
            </w:pPr>
          </w:p>
        </w:tc>
        <w:tc>
          <w:tcPr>
            <w:tcW w:w="144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4"/>
              </w:rPr>
              <w:t>March 31,</w:t>
            </w:r>
          </w:p>
        </w:tc>
        <w:tc>
          <w:tcPr>
            <w:tcW w:w="840" w:type="dxa"/>
            <w:vAlign w:val="bottom"/>
          </w:tcPr>
          <w:p>
            <w:pPr>
              <w:spacing w:after="0"/>
              <w:rPr>
                <w:sz w:val="22"/>
                <w:szCs w:val="22"/>
                <w:color w:val="auto"/>
              </w:rPr>
            </w:pPr>
          </w:p>
        </w:tc>
      </w:tr>
      <w:tr>
        <w:trPr>
          <w:trHeight w:val="33"/>
        </w:trPr>
        <w:tc>
          <w:tcPr>
            <w:tcW w:w="8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1,174</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1,217</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166</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acquisition-related intangibles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w:t>
            </w:r>
          </w:p>
        </w:tc>
      </w:tr>
      <w:tr>
        <w:trPr>
          <w:trHeight w:val="22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Amortization of capitalized software</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w:t>
            </w:r>
          </w:p>
        </w:tc>
      </w:tr>
      <w:tr>
        <w:trPr>
          <w:trHeight w:val="224"/>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Gains on sales of assets</w:t>
            </w: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Increase (decrease) from changes in: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r>
      <w:tr>
        <w:trPr>
          <w:trHeight w:val="224"/>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86</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w:t>
            </w:r>
          </w:p>
        </w:tc>
      </w:tr>
      <w:tr>
        <w:trPr>
          <w:trHeight w:val="224"/>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r>
      <w:tr>
        <w:trPr>
          <w:trHeight w:val="22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(94)</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r>
      <w:tr>
        <w:trPr>
          <w:trHeight w:val="224"/>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20</w:t>
            </w:r>
          </w:p>
        </w:tc>
      </w:tr>
      <w:tr>
        <w:trPr>
          <w:trHeight w:val="33"/>
        </w:trPr>
        <w:tc>
          <w:tcPr>
            <w:tcW w:w="8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1,107</w:t>
            </w:r>
          </w:p>
        </w:tc>
      </w:tr>
      <w:tr>
        <w:trPr>
          <w:trHeight w:val="236"/>
        </w:trPr>
        <w:tc>
          <w:tcPr>
            <w:tcW w:w="8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3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(251)</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Purchases of short-term investments</w:t>
            </w: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(149)</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1,584</w:t>
            </w: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8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1,173</w:t>
            </w:r>
          </w:p>
        </w:tc>
      </w:tr>
      <w:tr>
        <w:trPr>
          <w:trHeight w:val="237"/>
        </w:trPr>
        <w:tc>
          <w:tcPr>
            <w:tcW w:w="8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3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743</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w:t>
            </w: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Stock repurchases</w:t>
            </w: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(1,641)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(1,152)</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w:t>
            </w: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w:t>
            </w:r>
          </w:p>
        </w:tc>
      </w:tr>
      <w:tr>
        <w:trPr>
          <w:trHeight w:val="20"/>
        </w:trPr>
        <w:tc>
          <w:tcPr>
            <w:tcW w:w="8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change in cash and cash equivalents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980" w:hanging="1100"/>
        <w:spacing w:after="0"/>
        <w:tabs>
          <w:tab w:leader="none" w:pos="19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1,282</w:t>
      </w:r>
    </w:p>
    <w:p>
      <w:pPr>
        <w:spacing w:after="0" w:line="80" w:lineRule="exact"/>
        <w:rPr>
          <w:rFonts w:ascii="Arial" w:cs="Arial" w:eastAsia="Arial" w:hAnsi="Arial"/>
          <w:sz w:val="15"/>
          <w:szCs w:val="15"/>
          <w:b w:val="1"/>
          <w:bCs w:val="1"/>
          <w:color w:val="auto"/>
        </w:rPr>
      </w:pPr>
    </w:p>
    <w:p>
      <w:pPr>
        <w:ind w:left="680"/>
        <w:spacing w:after="0"/>
        <w:rPr>
          <w:rFonts w:ascii="Arial" w:cs="Arial" w:eastAsia="Arial" w:hAnsi="Arial"/>
          <w:sz w:val="15"/>
          <w:szCs w:val="15"/>
          <w:b w:val="1"/>
          <w:bCs w:val="1"/>
          <w:color w:val="auto"/>
        </w:rPr>
      </w:pPr>
      <w:r>
        <w:rPr>
          <w:rFonts w:ascii="Arial" w:cs="Arial" w:eastAsia="Arial" w:hAnsi="Arial"/>
          <w:sz w:val="16"/>
          <w:szCs w:val="16"/>
          <w:b w:val="1"/>
          <w:bCs w:val="1"/>
          <w:color w:val="auto"/>
        </w:rPr>
        <w:t>2,437</w:t>
      </w:r>
      <w:r>
        <w:rPr>
          <w:rFonts w:ascii="Arial" w:cs="Arial" w:eastAsia="Arial" w:hAnsi="Arial"/>
          <w:sz w:val="15"/>
          <w:szCs w:val="15"/>
          <w:color w:val="auto"/>
        </w:rPr>
        <w:t>2,438</w:t>
      </w:r>
    </w:p>
    <w:p>
      <w:pPr>
        <w:spacing w:after="0" w:line="86" w:lineRule="exact"/>
        <w:rPr>
          <w:sz w:val="20"/>
          <w:szCs w:val="20"/>
          <w:color w:val="auto"/>
        </w:rPr>
      </w:pPr>
    </w:p>
    <w:p>
      <w:pPr>
        <w:spacing w:after="0"/>
        <w:tabs>
          <w:tab w:leader="none" w:pos="660" w:val="left"/>
          <w:tab w:leader="none" w:pos="1300" w:val="left"/>
          <w:tab w:leader="none" w:pos="19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2,518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3,720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63500</wp:posOffset>
            </wp:positionV>
            <wp:extent cx="15944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8020" w:space="720"/>
            <w:col w:w="2500"/>
          </w:cols>
          <w:pgMar w:left="320" w:top="121" w:right="339" w:bottom="1440" w:gutter="0" w:footer="0" w:header="0"/>
          <w:type w:val="continuous"/>
        </w:sectPr>
      </w:pPr>
    </w:p>
    <w:p>
      <w:pPr>
        <w:spacing w:after="0" w:line="1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70"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calculators and custom ASIC products.</w:t>
      </w:r>
    </w:p>
    <w:p>
      <w:pPr>
        <w:spacing w:after="0" w:line="200"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9"/>
              </w:rPr>
              <w:t>For Three Months Ended</w:t>
            </w:r>
          </w:p>
        </w:tc>
      </w:tr>
      <w:tr>
        <w:trPr>
          <w:trHeight w:val="257"/>
        </w:trPr>
        <w:tc>
          <w:tcPr>
            <w:tcW w:w="8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22"/>
                <w:szCs w:val="22"/>
                <w:color w:val="auto"/>
              </w:rPr>
            </w:pPr>
          </w:p>
        </w:tc>
      </w:tr>
      <w:tr>
        <w:trPr>
          <w:trHeight w:val="33"/>
        </w:trPr>
        <w:tc>
          <w:tcPr>
            <w:tcW w:w="8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8720" w:type="dxa"/>
            <w:vAlign w:val="bottom"/>
          </w:tcPr>
          <w:p>
            <w:pPr>
              <w:ind w:left="120"/>
              <w:spacing w:after="0"/>
              <w:rPr>
                <w:sz w:val="20"/>
                <w:szCs w:val="20"/>
                <w:color w:val="auto"/>
              </w:rPr>
            </w:pPr>
            <w:r>
              <w:rPr>
                <w:rFonts w:ascii="Arial" w:cs="Arial" w:eastAsia="Arial" w:hAnsi="Arial"/>
                <w:sz w:val="16"/>
                <w:szCs w:val="16"/>
                <w:color w:val="auto"/>
              </w:rPr>
              <w:t>Analog</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2,460</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2,518</w:t>
            </w:r>
          </w:p>
        </w:tc>
      </w:tr>
      <w:tr>
        <w:trPr>
          <w:trHeight w:val="33"/>
        </w:trPr>
        <w:tc>
          <w:tcPr>
            <w:tcW w:w="8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796</w:t>
            </w:r>
          </w:p>
        </w:tc>
      </w:tr>
      <w:tr>
        <w:trPr>
          <w:trHeight w:val="223"/>
        </w:trPr>
        <w:tc>
          <w:tcPr>
            <w:tcW w:w="8720" w:type="dxa"/>
            <w:vAlign w:val="bottom"/>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280</w:t>
            </w:r>
          </w:p>
        </w:tc>
      </w:tr>
      <w:tr>
        <w:trPr>
          <w:trHeight w:val="33"/>
        </w:trPr>
        <w:tc>
          <w:tcPr>
            <w:tcW w:w="8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2"/>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3,594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8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8720" w:type="dxa"/>
            <w:vAlign w:val="bottom"/>
          </w:tcPr>
          <w:p>
            <w:pPr>
              <w:ind w:left="120"/>
              <w:spacing w:after="0"/>
              <w:rPr>
                <w:sz w:val="20"/>
                <w:szCs w:val="20"/>
                <w:color w:val="auto"/>
              </w:rPr>
            </w:pPr>
            <w:r>
              <w:rPr>
                <w:rFonts w:ascii="Arial" w:cs="Arial" w:eastAsia="Arial" w:hAnsi="Arial"/>
                <w:sz w:val="16"/>
                <w:szCs w:val="16"/>
                <w:color w:val="auto"/>
              </w:rPr>
              <w:t>Analog</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1,025</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1,088</w:t>
            </w:r>
          </w:p>
        </w:tc>
      </w:tr>
      <w:tr>
        <w:trPr>
          <w:trHeight w:val="33"/>
        </w:trPr>
        <w:tc>
          <w:tcPr>
            <w:tcW w:w="8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8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249</w:t>
            </w:r>
          </w:p>
        </w:tc>
      </w:tr>
      <w:tr>
        <w:trPr>
          <w:trHeight w:val="223"/>
        </w:trPr>
        <w:tc>
          <w:tcPr>
            <w:tcW w:w="8720" w:type="dxa"/>
            <w:vAlign w:val="bottom"/>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42</w:t>
            </w:r>
          </w:p>
        </w:tc>
      </w:tr>
      <w:tr>
        <w:trPr>
          <w:trHeight w:val="33"/>
        </w:trPr>
        <w:tc>
          <w:tcPr>
            <w:tcW w:w="8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2"/>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profit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1,379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following geographic area information includes revenue, based on product shipment destination. The geographic revenue information does not necessarily reflect end demand by geography because our products tend to be shipped to the locations where our customers manufacture their products.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9"/>
              </w:rPr>
              <w:t>For Three Months Ended</w:t>
            </w:r>
          </w:p>
        </w:tc>
      </w:tr>
      <w:tr>
        <w:trPr>
          <w:trHeight w:val="257"/>
        </w:trPr>
        <w:tc>
          <w:tcPr>
            <w:tcW w:w="8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22"/>
                <w:szCs w:val="22"/>
                <w:color w:val="auto"/>
              </w:rPr>
            </w:pPr>
          </w:p>
        </w:tc>
      </w:tr>
      <w:tr>
        <w:trPr>
          <w:trHeight w:val="33"/>
        </w:trPr>
        <w:tc>
          <w:tcPr>
            <w:tcW w:w="8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23"/>
        </w:trPr>
        <w:tc>
          <w:tcPr>
            <w:tcW w:w="872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390</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477</w:t>
            </w:r>
          </w:p>
        </w:tc>
      </w:tr>
      <w:tr>
        <w:trPr>
          <w:trHeight w:val="33"/>
        </w:trPr>
        <w:tc>
          <w:tcPr>
            <w:tcW w:w="8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Asia (a)</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2,092</w:t>
            </w:r>
          </w:p>
        </w:tc>
      </w:tr>
      <w:tr>
        <w:trPr>
          <w:trHeight w:val="224"/>
        </w:trPr>
        <w:tc>
          <w:tcPr>
            <w:tcW w:w="8720" w:type="dxa"/>
            <w:vAlign w:val="bottom"/>
          </w:tcPr>
          <w:p>
            <w:pPr>
              <w:ind w:left="120"/>
              <w:spacing w:after="0"/>
              <w:rPr>
                <w:sz w:val="20"/>
                <w:szCs w:val="20"/>
                <w:color w:val="auto"/>
              </w:rPr>
            </w:pPr>
            <w:r>
              <w:rPr>
                <w:rFonts w:ascii="Arial" w:cs="Arial" w:eastAsia="Arial" w:hAnsi="Arial"/>
                <w:sz w:val="16"/>
                <w:szCs w:val="16"/>
                <w:color w:val="auto"/>
              </w:rPr>
              <w:t>Europe, Middle East and Africa</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743</w:t>
            </w:r>
          </w:p>
        </w:tc>
      </w:tr>
      <w:tr>
        <w:trPr>
          <w:trHeight w:val="33"/>
        </w:trPr>
        <w:tc>
          <w:tcPr>
            <w:tcW w:w="8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191</w:t>
            </w:r>
          </w:p>
        </w:tc>
      </w:tr>
      <w:tr>
        <w:trPr>
          <w:trHeight w:val="223"/>
        </w:trPr>
        <w:tc>
          <w:tcPr>
            <w:tcW w:w="8720" w:type="dxa"/>
            <w:vAlign w:val="bottom"/>
          </w:tcPr>
          <w:p>
            <w:pPr>
              <w:ind w:left="120"/>
              <w:spacing w:after="0"/>
              <w:rPr>
                <w:sz w:val="20"/>
                <w:szCs w:val="20"/>
                <w:color w:val="auto"/>
              </w:rPr>
            </w:pPr>
            <w:r>
              <w:rPr>
                <w:rFonts w:ascii="Arial" w:cs="Arial" w:eastAsia="Arial" w:hAnsi="Arial"/>
                <w:sz w:val="16"/>
                <w:szCs w:val="16"/>
                <w:color w:val="auto"/>
              </w:rPr>
              <w:t>Rest of world</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91</w:t>
            </w:r>
          </w:p>
        </w:tc>
      </w:tr>
      <w:tr>
        <w:trPr>
          <w:trHeight w:val="33"/>
        </w:trPr>
        <w:tc>
          <w:tcPr>
            <w:tcW w:w="8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2"/>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3,594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120" w:hanging="332"/>
        <w:spacing w:after="0" w:line="263" w:lineRule="auto"/>
        <w:tabs>
          <w:tab w:leader="none" w:pos="3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from products shipped into China was $1.7 billion in the first quarters of both 2020 and 2019, which includes shipments to customers that manufacture in China and then export end products to their customers around the world, as well as distributors that transship inventory through China to service other countries.</w:t>
      </w:r>
    </w:p>
    <w:p>
      <w:pPr>
        <w:spacing w:after="0" w:line="21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2019. The Consolidated Statements of Income, Comprehensive Income and Cash Flows for the periods ended March 31, 2020 and 2019, and the Consolidated Balance Sheet as of March 31, 2020,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2019. The results for the three-month periods are not necessarily indicative of a full year’s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40" w:type="dxa"/>
            <w:vAlign w:val="bottom"/>
            <w:gridSpan w:val="9"/>
          </w:tcPr>
          <w:p>
            <w:pPr>
              <w:ind w:left="60"/>
              <w:spacing w:after="0"/>
              <w:rPr>
                <w:sz w:val="20"/>
                <w:szCs w:val="20"/>
                <w:color w:val="auto"/>
              </w:rPr>
            </w:pPr>
            <w:r>
              <w:rPr>
                <w:rFonts w:ascii="Arial" w:cs="Arial" w:eastAsia="Arial" w:hAnsi="Arial"/>
                <w:sz w:val="16"/>
                <w:szCs w:val="16"/>
                <w:b w:val="1"/>
                <w:bCs w:val="1"/>
                <w:color w:val="auto"/>
                <w:w w:val="99"/>
              </w:rPr>
              <w:t>For Three Months Ended March 31,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7"/>
        </w:trPr>
        <w:tc>
          <w:tcPr>
            <w:tcW w:w="4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17"/>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Net Income</w:t>
            </w:r>
          </w:p>
        </w:tc>
        <w:tc>
          <w:tcPr>
            <w:tcW w:w="102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12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w w:val="92"/>
              </w:rPr>
              <w:t>Net Income</w:t>
            </w: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r>
      <w:tr>
        <w:trPr>
          <w:trHeight w:val="33"/>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41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1,174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7"/>
        </w:trPr>
        <w:tc>
          <w:tcPr>
            <w:tcW w:w="4160" w:type="dxa"/>
            <w:vAlign w:val="bottom"/>
          </w:tcPr>
          <w:p>
            <w:pPr>
              <w:ind w:left="12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1,168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931</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1.25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939</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1.29</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206"/>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Dilutive effect of stock compensation plans</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57"/>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41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1,174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6"/>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7"/>
        </w:trPr>
        <w:tc>
          <w:tcPr>
            <w:tcW w:w="4160" w:type="dxa"/>
            <w:vAlign w:val="bottom"/>
          </w:tcPr>
          <w:p>
            <w:pPr>
              <w:ind w:left="12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1,168</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943</w:t>
            </w:r>
          </w:p>
        </w:tc>
        <w:tc>
          <w:tcPr>
            <w:tcW w:w="60" w:type="dxa"/>
            <w:vAlign w:val="bottom"/>
            <w:tcBorders>
              <w:top w:val="single" w:sz="8" w:color="auto"/>
              <w:bottom w:val="single" w:sz="8" w:color="auto"/>
            </w:tcBorders>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1.24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956</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1.26</w:t>
            </w:r>
          </w:p>
        </w:tc>
      </w:tr>
      <w:tr>
        <w:trPr>
          <w:trHeight w:val="23"/>
        </w:trPr>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bl>
    <w:p>
      <w:pPr>
        <w:spacing w:after="0" w:line="17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Potentially dilutive securities representing 9 million shares of common stock that were outstanding during the first quarters of both 2020 and 2019, were excluded from the computation of diluted earnings per common share during these periods because their effect would have been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3"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fair values of our derivative financial instruments were not material as of March 31, 2020.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March 31, 2020, the carrying value of long-term debt, including the current portion, was $6.55 billion, and the estimated fair value was $7.06 billion. The estimated fair value is measured using broker-dealer quotes, which are Level 2 inputs. See Note 4 for a description of fair value and the definition of Level 2 inputs.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adopted the following Accounting Standards Updates (ASU) during the current period, none of which had a material impact on our financial position or 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20" w:type="dxa"/>
            <w:vAlign w:val="bottom"/>
            <w:gridSpan w:val="2"/>
          </w:tcPr>
          <w:p>
            <w:pPr>
              <w:ind w:left="800"/>
              <w:spacing w:after="0"/>
              <w:rPr>
                <w:sz w:val="20"/>
                <w:szCs w:val="20"/>
                <w:color w:val="auto"/>
              </w:rPr>
            </w:pPr>
            <w:r>
              <w:rPr>
                <w:rFonts w:ascii="Arial" w:cs="Arial" w:eastAsia="Arial" w:hAnsi="Arial"/>
                <w:sz w:val="16"/>
                <w:szCs w:val="16"/>
                <w:b w:val="1"/>
                <w:bCs w:val="1"/>
                <w:color w:val="auto"/>
              </w:rPr>
              <w:t>ASU</w:t>
            </w:r>
          </w:p>
        </w:tc>
        <w:tc>
          <w:tcPr>
            <w:tcW w:w="7260" w:type="dxa"/>
            <w:vAlign w:val="bottom"/>
            <w:gridSpan w:val="2"/>
          </w:tcPr>
          <w:p>
            <w:pPr>
              <w:ind w:left="3180"/>
              <w:spacing w:after="0"/>
              <w:rPr>
                <w:sz w:val="20"/>
                <w:szCs w:val="20"/>
                <w:color w:val="auto"/>
              </w:rPr>
            </w:pPr>
            <w:r>
              <w:rPr>
                <w:rFonts w:ascii="Arial" w:cs="Arial" w:eastAsia="Arial" w:hAnsi="Arial"/>
                <w:sz w:val="16"/>
                <w:szCs w:val="16"/>
                <w:b w:val="1"/>
                <w:bCs w:val="1"/>
                <w:color w:val="auto"/>
              </w:rPr>
              <w:t>Description</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Adopted Date</w:t>
            </w:r>
          </w:p>
        </w:tc>
      </w:tr>
      <w:tr>
        <w:trPr>
          <w:trHeight w:val="33"/>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ASU No. 2016-13</w:t>
            </w:r>
          </w:p>
        </w:tc>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w w:val="95"/>
              </w:rPr>
              <w:t>Financial Instruments – Credit Losses (Topic 326): Measurement of Credit Losses on Financial Instruments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January 1, 2020</w:t>
            </w:r>
          </w:p>
        </w:tc>
      </w:tr>
      <w:tr>
        <w:trPr>
          <w:trHeight w:val="220"/>
        </w:trPr>
        <w:tc>
          <w:tcPr>
            <w:tcW w:w="2020" w:type="dxa"/>
            <w:vAlign w:val="bottom"/>
            <w:gridSpan w:val="2"/>
          </w:tcPr>
          <w:p>
            <w:pPr>
              <w:ind w:left="20"/>
              <w:spacing w:after="0"/>
              <w:rPr>
                <w:sz w:val="20"/>
                <w:szCs w:val="20"/>
                <w:color w:val="auto"/>
              </w:rPr>
            </w:pPr>
            <w:r>
              <w:rPr>
                <w:rFonts w:ascii="Arial" w:cs="Arial" w:eastAsia="Arial" w:hAnsi="Arial"/>
                <w:sz w:val="16"/>
                <w:szCs w:val="16"/>
                <w:color w:val="auto"/>
              </w:rPr>
              <w:t>ASU No. 2018-13</w:t>
            </w:r>
          </w:p>
        </w:tc>
        <w:tc>
          <w:tcPr>
            <w:tcW w:w="7260" w:type="dxa"/>
            <w:vAlign w:val="bottom"/>
            <w:gridSpan w:val="2"/>
          </w:tcPr>
          <w:p>
            <w:pPr>
              <w:ind w:left="20"/>
              <w:spacing w:after="0"/>
              <w:rPr>
                <w:sz w:val="20"/>
                <w:szCs w:val="20"/>
                <w:color w:val="auto"/>
              </w:rPr>
            </w:pPr>
            <w:r>
              <w:rPr>
                <w:rFonts w:ascii="Arial" w:cs="Arial" w:eastAsia="Arial" w:hAnsi="Arial"/>
                <w:sz w:val="16"/>
                <w:szCs w:val="16"/>
                <w:i w:val="1"/>
                <w:iCs w:val="1"/>
                <w:color w:val="auto"/>
                <w:w w:val="94"/>
              </w:rPr>
              <w:t>Fair Value Measurement (Topic 820): Disclosure Framework – Changes to the Disclosure Requirements for</w:t>
            </w:r>
          </w:p>
        </w:tc>
        <w:tc>
          <w:tcPr>
            <w:tcW w:w="1900" w:type="dxa"/>
            <w:vAlign w:val="bottom"/>
          </w:tcPr>
          <w:p>
            <w:pPr>
              <w:jc w:val="center"/>
              <w:spacing w:after="0"/>
              <w:rPr>
                <w:sz w:val="20"/>
                <w:szCs w:val="20"/>
                <w:color w:val="auto"/>
              </w:rPr>
            </w:pPr>
            <w:r>
              <w:rPr>
                <w:rFonts w:ascii="Arial" w:cs="Arial" w:eastAsia="Arial" w:hAnsi="Arial"/>
                <w:sz w:val="16"/>
                <w:szCs w:val="16"/>
                <w:color w:val="auto"/>
                <w:w w:val="88"/>
              </w:rPr>
              <w:t>January 1, 2020</w:t>
            </w:r>
          </w:p>
        </w:tc>
      </w:tr>
      <w:tr>
        <w:trPr>
          <w:trHeight w:val="206"/>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gridSpan w:val="2"/>
          </w:tcPr>
          <w:p>
            <w:pPr>
              <w:ind w:left="20"/>
              <w:spacing w:after="0"/>
              <w:rPr>
                <w:sz w:val="20"/>
                <w:szCs w:val="20"/>
                <w:color w:val="auto"/>
              </w:rPr>
            </w:pPr>
            <w:r>
              <w:rPr>
                <w:rFonts w:ascii="Arial" w:cs="Arial" w:eastAsia="Arial" w:hAnsi="Arial"/>
                <w:sz w:val="16"/>
                <w:szCs w:val="16"/>
                <w:i w:val="1"/>
                <w:iCs w:val="1"/>
                <w:color w:val="auto"/>
              </w:rPr>
              <w:t>Fair Value Measurement</w:t>
            </w:r>
          </w:p>
        </w:tc>
        <w:tc>
          <w:tcPr>
            <w:tcW w:w="1900" w:type="dxa"/>
            <w:vAlign w:val="bottom"/>
          </w:tcPr>
          <w:p>
            <w:pPr>
              <w:spacing w:after="0"/>
              <w:rPr>
                <w:sz w:val="17"/>
                <w:szCs w:val="17"/>
                <w:color w:val="auto"/>
              </w:rPr>
            </w:pPr>
          </w:p>
        </w:tc>
      </w:tr>
      <w:tr>
        <w:trPr>
          <w:trHeight w:val="33"/>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0"/>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ASU No. 2018-15</w:t>
            </w:r>
          </w:p>
        </w:tc>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w w:val="98"/>
              </w:rPr>
              <w:t>Intangibles – Goodwill and Other – Internal-Use Software (Subtopic 350-40): Customer’s Accounting for</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1, 2020</w:t>
            </w:r>
          </w:p>
        </w:tc>
      </w:tr>
      <w:tr>
        <w:trPr>
          <w:trHeight w:val="206"/>
        </w:trPr>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Implementation Costs Incurred in a Cloud Computing Arrangement That Is a Service Contract</w:t>
            </w:r>
          </w:p>
        </w:tc>
        <w:tc>
          <w:tcPr>
            <w:tcW w:w="1900" w:type="dxa"/>
            <w:vAlign w:val="bottom"/>
            <w:shd w:val="clear" w:color="auto" w:fill="CCEEFF"/>
          </w:tcPr>
          <w:p>
            <w:pPr>
              <w:spacing w:after="0"/>
              <w:rPr>
                <w:sz w:val="17"/>
                <w:szCs w:val="17"/>
                <w:color w:val="auto"/>
              </w:rPr>
            </w:pPr>
          </w:p>
        </w:tc>
      </w:tr>
      <w:tr>
        <w:trPr>
          <w:trHeight w:val="33"/>
        </w:trPr>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estimated annual effective tax rate is about 14%, which does not include discrete tax items. This differs from the 21% statutory corporate tax rate due to the effect of U.S.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For Three Months Ended</w:t>
            </w:r>
          </w:p>
        </w:tc>
        <w:tc>
          <w:tcPr>
            <w:tcW w:w="160" w:type="dxa"/>
            <w:vAlign w:val="bottom"/>
          </w:tcPr>
          <w:p>
            <w:pPr>
              <w:spacing w:after="0"/>
              <w:rPr>
                <w:sz w:val="18"/>
                <w:szCs w:val="18"/>
                <w:color w:val="auto"/>
              </w:rPr>
            </w:pPr>
          </w:p>
        </w:tc>
      </w:tr>
      <w:tr>
        <w:trPr>
          <w:trHeight w:val="257"/>
        </w:trPr>
        <w:tc>
          <w:tcPr>
            <w:tcW w:w="8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3"/>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 calculated using the estimated annual effective tax rate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8580" w:type="dxa"/>
            <w:vAlign w:val="bottom"/>
          </w:tcPr>
          <w:p>
            <w:pPr>
              <w:ind w:left="20"/>
              <w:spacing w:after="0"/>
              <w:rPr>
                <w:sz w:val="20"/>
                <w:szCs w:val="20"/>
                <w:color w:val="auto"/>
              </w:rPr>
            </w:pPr>
            <w:r>
              <w:rPr>
                <w:rFonts w:ascii="Arial" w:cs="Arial" w:eastAsia="Arial" w:hAnsi="Arial"/>
                <w:sz w:val="16"/>
                <w:szCs w:val="16"/>
                <w:color w:val="auto"/>
              </w:rPr>
              <w:t>Discrete tax items</w:t>
            </w:r>
          </w:p>
        </w:tc>
        <w:tc>
          <w:tcPr>
            <w:tcW w:w="280" w:type="dxa"/>
            <w:vAlign w:val="bottom"/>
          </w:tcPr>
          <w:p>
            <w:pPr>
              <w:spacing w:after="0"/>
              <w:rPr>
                <w:sz w:val="19"/>
                <w:szCs w:val="19"/>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(116)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19"/>
                <w:szCs w:val="19"/>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72"/>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60" w:type="dxa"/>
            <w:vAlign w:val="bottom"/>
            <w:tcBorders>
              <w:bottom w:val="single" w:sz="8" w:color="auto"/>
            </w:tcBorders>
            <w:shd w:val="clear" w:color="auto" w:fill="CCEEFF"/>
          </w:tcPr>
          <w:p>
            <w:pPr>
              <w:spacing w:after="0"/>
              <w:rPr>
                <w:sz w:val="23"/>
                <w:szCs w:val="23"/>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23"/>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effective tax rate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8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Available-for-sale debt investments and trading securities are stated at fair value, which is generally based on market prices or broker quotes. See </w:t>
      </w:r>
      <w:r>
        <w:rPr>
          <w:rFonts w:ascii="Arial" w:cs="Arial" w:eastAsia="Arial" w:hAnsi="Arial"/>
          <w:sz w:val="18"/>
          <w:szCs w:val="18"/>
          <w:i w:val="1"/>
          <w:iCs w:val="1"/>
          <w:color w:val="auto"/>
        </w:rPr>
        <w:t xml:space="preserve">Fair-value considerations </w:t>
      </w:r>
      <w:r>
        <w:rPr>
          <w:rFonts w:ascii="Arial" w:cs="Arial" w:eastAsia="Arial" w:hAnsi="Arial"/>
          <w:sz w:val="18"/>
          <w:szCs w:val="18"/>
          <w:color w:val="auto"/>
        </w:rPr>
        <w:t>below. Unrealized gains and losses from available-for-sale debt securities are recorded as an increase or decrease, net of taxes, in</w:t>
      </w:r>
      <w:r>
        <w:rPr>
          <w:rFonts w:ascii="Arial" w:cs="Arial" w:eastAsia="Arial" w:hAnsi="Arial"/>
          <w:sz w:val="18"/>
          <w:szCs w:val="18"/>
          <w:i w:val="1"/>
          <w:iCs w:val="1"/>
          <w:color w:val="auto"/>
        </w:rPr>
        <w:t xml:space="preserve"> </w:t>
      </w:r>
      <w:r>
        <w:rPr>
          <w:rFonts w:ascii="Arial" w:cs="Arial" w:eastAsia="Arial" w:hAnsi="Arial"/>
          <w:sz w:val="18"/>
          <w:szCs w:val="18"/>
          <w:color w:val="auto"/>
        </w:rPr>
        <w:t>AOCI on our Consolidated Balance Sheets and any credit losses on available-for-sale debt securities are recorded as an allowance for credit losses with an offset recognized in OI&amp;E in our Consolidated Statements of Income.</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March 31, 2020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5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Cash and Cash</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Short-Term</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Short-Term</w:t>
            </w:r>
          </w:p>
        </w:tc>
        <w:tc>
          <w:tcPr>
            <w:tcW w:w="1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Long-Term</w:t>
            </w:r>
          </w:p>
        </w:tc>
      </w:t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Equivalents</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r>
      <w:tr>
        <w:trPr>
          <w:trHeight w:val="33"/>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Measured at fair value:</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6"/>
                <w:szCs w:val="16"/>
                <w:color w:val="auto"/>
              </w:rPr>
              <w:t>Available-for-sale debt securities: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350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899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6"/>
              </w:rPr>
              <w:t>U.S. government agency and Treasury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3500" w:type="dxa"/>
            <w:vAlign w:val="bottom"/>
          </w:tcPr>
          <w:p>
            <w:pPr>
              <w:ind w:left="2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r>
      <w:tr>
        <w:trPr>
          <w:trHeight w:val="217"/>
        </w:trPr>
        <w:tc>
          <w:tcPr>
            <w:tcW w:w="350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2,164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2,224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272</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3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4"/>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Other measurement basis: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r>
      <w:tr>
        <w:trPr>
          <w:trHeight w:val="223"/>
        </w:trPr>
        <w:tc>
          <w:tcPr>
            <w:tcW w:w="3500" w:type="dxa"/>
            <w:vAlign w:val="bottom"/>
          </w:tcPr>
          <w:p>
            <w:pPr>
              <w:ind w:left="120"/>
              <w:spacing w:after="0"/>
              <w:rPr>
                <w:sz w:val="20"/>
                <w:szCs w:val="20"/>
                <w:color w:val="auto"/>
              </w:rPr>
            </w:pPr>
            <w:r>
              <w:rPr>
                <w:rFonts w:ascii="Arial" w:cs="Arial" w:eastAsia="Arial" w:hAnsi="Arial"/>
                <w:sz w:val="16"/>
                <w:szCs w:val="16"/>
                <w:color w:val="auto"/>
              </w:rPr>
              <w:t>Non-marketable equity investments</w:t>
            </w: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7"/>
        </w:trPr>
        <w:tc>
          <w:tcPr>
            <w:tcW w:w="350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2,518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2,224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300</w:t>
            </w:r>
          </w:p>
        </w:tc>
      </w:tr>
      <w:tr>
        <w:trPr>
          <w:trHeight w:val="24"/>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2020 and December 31, 2019, unrealized gains and losses associated with our available-for-sale investments were not material. We did not recognize any credit losses related to available-for-sale investments for the first three months of 2020 and 2019.</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Proceeds from sales, redemptions and maturities of short-term available-for-sale investments were $1.39 billion and $1.58 billion for the first quarters of 2020 and 2019, respectively. Gross realized gains and losses from these sales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March 31,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10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One year or less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4,368</w:t>
            </w:r>
          </w:p>
        </w:tc>
      </w:tr>
      <w:tr>
        <w:trPr>
          <w:trHeight w:val="223"/>
        </w:trPr>
        <w:tc>
          <w:tcPr>
            <w:tcW w:w="10040" w:type="dxa"/>
            <w:vAlign w:val="bottom"/>
          </w:tcPr>
          <w:p>
            <w:pPr>
              <w:ind w:left="20"/>
              <w:spacing w:after="0"/>
              <w:rPr>
                <w:sz w:val="20"/>
                <w:szCs w:val="20"/>
                <w:color w:val="auto"/>
              </w:rPr>
            </w:pPr>
            <w:r>
              <w:rPr>
                <w:rFonts w:ascii="Arial" w:cs="Arial" w:eastAsia="Arial" w:hAnsi="Arial"/>
                <w:sz w:val="16"/>
                <w:szCs w:val="16"/>
                <w:color w:val="auto"/>
              </w:rPr>
              <w:t>One to two years</w:t>
            </w:r>
          </w:p>
        </w:tc>
        <w:tc>
          <w:tcPr>
            <w:tcW w:w="1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20</w:t>
            </w:r>
          </w:p>
        </w:tc>
      </w:tr>
    </w:tbl>
    <w:p>
      <w:pPr>
        <w:spacing w:after="0" w:line="23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first quarter of 2020, we entered into total return swaps to economically hedge the variability of certain deferred compensation obligations to employees. As a result, we received proceeds of $253 million from the sale of investments in mutual funds that were previously being utilized to offset this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20" w:hanging="32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7" w:lineRule="exact"/>
        <w:rPr>
          <w:sz w:val="20"/>
          <w:szCs w:val="20"/>
          <w:color w:val="auto"/>
        </w:rPr>
      </w:pPr>
    </w:p>
    <w:p>
      <w:pPr>
        <w:ind w:left="620" w:right="180" w:hanging="329"/>
        <w:spacing w:after="0" w:line="273" w:lineRule="auto"/>
        <w:tabs>
          <w:tab w:leader="none" w:pos="61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69" w:lineRule="exact"/>
        <w:rPr>
          <w:rFonts w:ascii="Arial" w:cs="Arial" w:eastAsia="Arial" w:hAnsi="Arial"/>
          <w:sz w:val="17"/>
          <w:szCs w:val="17"/>
          <w:color w:val="auto"/>
        </w:rPr>
      </w:pPr>
    </w:p>
    <w:p>
      <w:pPr>
        <w:ind w:left="620" w:right="60" w:hanging="329"/>
        <w:spacing w:after="0" w:line="263" w:lineRule="auto"/>
        <w:tabs>
          <w:tab w:leader="none" w:pos="61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These values are generally determined using pricing models that utilize management estimates of market participant assumptions. As of March 31, 2020 and December 31, 2019, we had no Level 3 assets or liabilities.</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March 31, 2020</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2019</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35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1,912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1,912</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1,213</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1,213</w:t>
            </w: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1,390</w:t>
            </w:r>
          </w:p>
        </w:tc>
      </w:tr>
      <w:tr>
        <w:trPr>
          <w:trHeight w:val="224"/>
        </w:trPr>
        <w:tc>
          <w:tcPr>
            <w:tcW w:w="3540" w:type="dxa"/>
            <w:vAlign w:val="bottom"/>
          </w:tcPr>
          <w:p>
            <w:pPr>
              <w:ind w:left="120"/>
              <w:spacing w:after="0"/>
              <w:rPr>
                <w:sz w:val="20"/>
                <w:szCs w:val="20"/>
                <w:color w:val="auto"/>
              </w:rPr>
            </w:pPr>
            <w:r>
              <w:rPr>
                <w:rFonts w:ascii="Arial" w:cs="Arial" w:eastAsia="Arial" w:hAnsi="Arial"/>
                <w:sz w:val="16"/>
                <w:szCs w:val="16"/>
                <w:color w:val="auto"/>
                <w:w w:val="98"/>
              </w:rPr>
              <w:t>U.S. government agency and Treasury securities</w:t>
            </w:r>
          </w:p>
        </w:tc>
        <w:tc>
          <w:tcPr>
            <w:tcW w:w="2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1,475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2,338</w:t>
            </w: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r>
      <w:tr>
        <w:trPr>
          <w:trHeight w:val="247"/>
        </w:trPr>
        <w:tc>
          <w:tcPr>
            <w:tcW w:w="35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3,401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1,001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4,402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5,213</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3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298</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298</w:t>
            </w:r>
          </w:p>
        </w:tc>
      </w:tr>
      <w:tr>
        <w:trPr>
          <w:trHeight w:val="247"/>
        </w:trPr>
        <w:tc>
          <w:tcPr>
            <w:tcW w:w="35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298</w:t>
            </w:r>
          </w:p>
        </w:tc>
      </w:tr>
      <w:tr>
        <w:trPr>
          <w:trHeight w:val="23"/>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Goodwill was $4.36 billion as of March 31, 2020 and December 31, 2019. There was no impairment of goodwill during the first three months of 2020 or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4"/>
              </w:rPr>
              <w:t>March 31, 2020</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gridSpan w:val="4"/>
          </w:tcPr>
          <w:p>
            <w:pPr>
              <w:spacing w:after="0"/>
              <w:rPr>
                <w:sz w:val="20"/>
                <w:szCs w:val="20"/>
                <w:color w:val="auto"/>
              </w:rPr>
            </w:pPr>
            <w:r>
              <w:rPr>
                <w:rFonts w:ascii="Arial" w:cs="Arial" w:eastAsia="Arial" w:hAnsi="Arial"/>
                <w:sz w:val="16"/>
                <w:szCs w:val="16"/>
                <w:b w:val="1"/>
                <w:bCs w:val="1"/>
                <w:color w:val="auto"/>
                <w:w w:val="99"/>
              </w:rPr>
              <w:t>December 31, 2019</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24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13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Accumulated</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Period (Years)</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6"/>
              </w:rPr>
              <w:t>Amortization</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Net</w:t>
            </w:r>
          </w:p>
        </w:tc>
      </w:tr>
      <w:tr>
        <w:trPr>
          <w:trHeight w:val="33"/>
        </w:trPr>
        <w:tc>
          <w:tcPr>
            <w:tcW w:w="22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8</w:t>
            </w:r>
            <w:r>
              <w:rPr>
                <w:rFonts w:ascii="Arial" w:cs="Arial" w:eastAsia="Arial" w:hAnsi="Arial"/>
                <w:sz w:val="17"/>
                <w:szCs w:val="17"/>
                <w:color w:val="auto"/>
              </w:rPr>
              <w:t>–</w:t>
            </w:r>
            <w:r>
              <w:rPr>
                <w:rFonts w:ascii="Arial" w:cs="Arial" w:eastAsia="Arial" w:hAnsi="Arial"/>
                <w:sz w:val="16"/>
                <w:szCs w:val="16"/>
                <w:color w:val="auto"/>
              </w:rPr>
              <w:t>10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1,710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290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of acquisition-related intangibles was $50 million and $79 million for the first quarters of 2020 and 2019, respectively. Fully amortized assets are written off against accumulated amortization.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96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U.S. Defined Benefit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6"/>
          </w:tcPr>
          <w:p>
            <w:pPr>
              <w:ind w:left="300"/>
              <w:spacing w:after="0"/>
              <w:rPr>
                <w:sz w:val="20"/>
                <w:szCs w:val="20"/>
                <w:color w:val="auto"/>
              </w:rPr>
            </w:pPr>
            <w:r>
              <w:rPr>
                <w:rFonts w:ascii="Arial" w:cs="Arial" w:eastAsia="Arial" w:hAnsi="Arial"/>
                <w:sz w:val="16"/>
                <w:szCs w:val="16"/>
                <w:b w:val="1"/>
                <w:bCs w:val="1"/>
                <w:color w:val="auto"/>
              </w:rPr>
              <w:t>U.S. Retiree Health Care</w:t>
            </w:r>
          </w:p>
        </w:tc>
        <w:tc>
          <w:tcPr>
            <w:tcW w:w="200" w:type="dxa"/>
            <w:vAlign w:val="bottom"/>
          </w:tcPr>
          <w:p>
            <w:pPr>
              <w:spacing w:after="0"/>
              <w:rPr>
                <w:sz w:val="18"/>
                <w:szCs w:val="18"/>
                <w:color w:val="auto"/>
              </w:rPr>
            </w:pPr>
          </w:p>
        </w:tc>
        <w:tc>
          <w:tcPr>
            <w:tcW w:w="21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5"/>
              </w:rPr>
              <w:t>Non-U.S. Defined Benefit</w:t>
            </w:r>
          </w:p>
        </w:tc>
      </w:tr>
      <w:tr>
        <w:trPr>
          <w:trHeight w:val="33"/>
        </w:trPr>
        <w:tc>
          <w:tcPr>
            <w:tcW w:w="4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For Three Months Ended March 31,</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33"/>
        </w:trPr>
        <w:tc>
          <w:tcPr>
            <w:tcW w:w="4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r>
      <w:tr>
        <w:trPr>
          <w:trHeight w:val="223"/>
        </w:trPr>
        <w:tc>
          <w:tcPr>
            <w:tcW w:w="41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740" w:type="dxa"/>
            <w:vAlign w:val="bottom"/>
          </w:tcPr>
          <w:p>
            <w:pPr>
              <w:spacing w:after="0"/>
              <w:rPr>
                <w:sz w:val="19"/>
                <w:szCs w:val="19"/>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w:t>
            </w:r>
          </w:p>
        </w:tc>
      </w:tr>
      <w:tr>
        <w:trPr>
          <w:trHeight w:val="33"/>
        </w:trPr>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(9)</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24"/>
        </w:trPr>
        <w:tc>
          <w:tcPr>
            <w:tcW w:w="41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740" w:type="dxa"/>
            <w:vAlign w:val="bottom"/>
          </w:tcPr>
          <w:p>
            <w:pPr>
              <w:spacing w:after="0"/>
              <w:rPr>
                <w:sz w:val="19"/>
                <w:szCs w:val="19"/>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w:t>
            </w:r>
          </w:p>
        </w:tc>
      </w:tr>
      <w:tr>
        <w:trPr>
          <w:trHeight w:val="33"/>
        </w:trPr>
        <w:tc>
          <w:tcPr>
            <w:tcW w:w="4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costs</w:t>
            </w: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r>
      <w:tr>
        <w:trPr>
          <w:trHeight w:val="224"/>
        </w:trPr>
        <w:tc>
          <w:tcPr>
            <w:tcW w:w="4140" w:type="dxa"/>
            <w:vAlign w:val="bottom"/>
          </w:tcPr>
          <w:p>
            <w:pPr>
              <w:ind w:left="20"/>
              <w:spacing w:after="0"/>
              <w:rPr>
                <w:sz w:val="20"/>
                <w:szCs w:val="20"/>
                <w:color w:val="auto"/>
              </w:rPr>
            </w:pPr>
            <w:r>
              <w:rPr>
                <w:rFonts w:ascii="Arial" w:cs="Arial" w:eastAsia="Arial" w:hAnsi="Arial"/>
                <w:sz w:val="16"/>
                <w:szCs w:val="16"/>
                <w:color w:val="auto"/>
              </w:rPr>
              <w:t>Settlement losses</w:t>
            </w:r>
          </w:p>
        </w:tc>
        <w:tc>
          <w:tcPr>
            <w:tcW w:w="740" w:type="dxa"/>
            <w:vAlign w:val="bottom"/>
          </w:tcPr>
          <w:p>
            <w:pPr>
              <w:spacing w:after="0"/>
              <w:rPr>
                <w:sz w:val="19"/>
                <w:szCs w:val="19"/>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4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March 31, 2020, we had a variable-rate revolving credit facility from a consortium of investment-grade banks that allows us to borrow up to $2 billion until March 2024. The interest rate on borrowings under this credit facility, if drawn, is indexed to the applicable London Interbank Offered Rate (LIBOR). As of March 31, 2020,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March 2020, we issued a principal amount of $750 million of fixed-rate, long-term debt due in 2025. We incurred $4 million of issuance and other related costs. The proceeds of the offering were $749 million, net of the original issuance discount, and were used for general corporate purposes, including to repay $500 million of 1.75% notes in April 2020.</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Long-term debt outstanding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due 2020 at 1.75%</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due 2021 at 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due 2022 at 1.85%</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due 2023 at 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due 2024 at 2.625%</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due 2025 at 1.375%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due 2027 at 2.90%</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due 2029 at 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due 2039 at 3.875%</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Notes due 2048 at 4.15%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w:t>
            </w:r>
          </w:p>
        </w:tc>
      </w:tr>
      <w:tr>
        <w:trPr>
          <w:trHeight w:val="256"/>
        </w:trPr>
        <w:tc>
          <w:tcPr>
            <w:tcW w:w="220" w:type="dxa"/>
            <w:vAlign w:val="bottom"/>
          </w:tcPr>
          <w:p>
            <w:pPr>
              <w:spacing w:after="0"/>
              <w:rPr>
                <w:sz w:val="22"/>
                <w:szCs w:val="22"/>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500</w:t>
            </w:r>
          </w:p>
        </w:tc>
      </w:tr>
      <w:tr>
        <w:trPr>
          <w:trHeight w:val="257"/>
        </w:trPr>
        <w:tc>
          <w:tcPr>
            <w:tcW w:w="22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550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550</w:t>
            </w:r>
          </w:p>
        </w:tc>
      </w:tr>
      <w:tr>
        <w:trPr>
          <w:trHeight w:val="256"/>
        </w:trPr>
        <w:tc>
          <w:tcPr>
            <w:tcW w:w="22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500</w:t>
            </w:r>
          </w:p>
        </w:tc>
      </w:tr>
      <w:tr>
        <w:trPr>
          <w:trHeight w:val="257"/>
        </w:trPr>
        <w:tc>
          <w:tcPr>
            <w:tcW w:w="22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500</w:t>
            </w:r>
          </w:p>
        </w:tc>
      </w:tr>
      <w:tr>
        <w:trPr>
          <w:trHeight w:val="256"/>
        </w:trPr>
        <w:tc>
          <w:tcPr>
            <w:tcW w:w="22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300</w:t>
            </w:r>
          </w:p>
        </w:tc>
      </w:tr>
      <w:tr>
        <w:trPr>
          <w:trHeight w:val="257"/>
        </w:trPr>
        <w:tc>
          <w:tcPr>
            <w:tcW w:w="22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6"/>
        </w:trPr>
        <w:tc>
          <w:tcPr>
            <w:tcW w:w="22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500</w:t>
            </w:r>
          </w:p>
        </w:tc>
      </w:tr>
      <w:tr>
        <w:trPr>
          <w:trHeight w:val="257"/>
        </w:trPr>
        <w:tc>
          <w:tcPr>
            <w:tcW w:w="22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750</w:t>
            </w:r>
          </w:p>
        </w:tc>
      </w:tr>
      <w:tr>
        <w:trPr>
          <w:trHeight w:val="257"/>
        </w:trPr>
        <w:tc>
          <w:tcPr>
            <w:tcW w:w="22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750</w:t>
            </w:r>
          </w:p>
        </w:tc>
      </w:tr>
      <w:tr>
        <w:trPr>
          <w:trHeight w:val="256"/>
        </w:trPr>
        <w:tc>
          <w:tcPr>
            <w:tcW w:w="22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1,500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1,500</w:t>
            </w:r>
          </w:p>
        </w:tc>
      </w:tr>
    </w:tbl>
    <w:p>
      <w:pPr>
        <w:spacing w:after="0" w:line="26" w:lineRule="exact"/>
        <w:rPr>
          <w:sz w:val="20"/>
          <w:szCs w:val="20"/>
          <w:color w:val="auto"/>
        </w:rPr>
      </w:pPr>
    </w:p>
    <w:p>
      <w:pPr>
        <w:sectPr>
          <w:pgSz w:w="11900" w:h="16838" w:orient="portrait"/>
          <w:cols w:equalWidth="0" w:num="2">
            <w:col w:w="7660" w:space="720"/>
            <w:col w:w="28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8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5,850</w:t>
            </w:r>
          </w:p>
        </w:tc>
      </w:tr>
      <w:tr>
        <w:trPr>
          <w:trHeight w:val="224"/>
        </w:trPr>
        <w:tc>
          <w:tcPr>
            <w:tcW w:w="8380" w:type="dxa"/>
            <w:vAlign w:val="bottom"/>
          </w:tcPr>
          <w:p>
            <w:pPr>
              <w:ind w:left="20"/>
              <w:spacing w:after="0"/>
              <w:rPr>
                <w:sz w:val="20"/>
                <w:szCs w:val="20"/>
                <w:color w:val="auto"/>
              </w:rPr>
            </w:pPr>
            <w:r>
              <w:rPr>
                <w:rFonts w:ascii="Arial" w:cs="Arial" w:eastAsia="Arial" w:hAnsi="Arial"/>
                <w:sz w:val="16"/>
                <w:szCs w:val="16"/>
                <w:color w:val="auto"/>
              </w:rPr>
              <w:t>Net unamortized discounts, premiums and issuance costs</w:t>
            </w:r>
          </w:p>
        </w:tc>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8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debt, including net unamortized discounts, premiums and issuance costs</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6,550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5,803</w:t>
            </w:r>
          </w:p>
        </w:tc>
      </w:tr>
      <w:tr>
        <w:trPr>
          <w:trHeight w:val="223"/>
        </w:trPr>
        <w:tc>
          <w:tcPr>
            <w:tcW w:w="838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44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(1,051)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8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2"/>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5,499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5,303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and debt expense was $45 million and $38 million for the first quarters of 2020 and 2019, respectively. This was net of the amortized discounts, premiums and issuance costs. Capitalized interest was not material.</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AOCI</w:t>
            </w:r>
          </w:p>
        </w:tc>
      </w:tr>
      <w:tr>
        <w:trPr>
          <w:trHeight w:val="33"/>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w:t>
            </w:r>
          </w:p>
        </w:tc>
      </w:tr>
      <w:tr>
        <w:trPr>
          <w:trHeight w:val="237"/>
        </w:trPr>
        <w:tc>
          <w:tcPr>
            <w:tcW w:w="5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1,174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Dividends declared and paid ($0.90 per share)</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223"/>
        </w:trPr>
        <w:tc>
          <w:tcPr>
            <w:tcW w:w="5320" w:type="dxa"/>
            <w:vAlign w:val="bottom"/>
          </w:tcPr>
          <w:p>
            <w:pPr>
              <w:ind w:left="120"/>
              <w:spacing w:after="0"/>
              <w:rPr>
                <w:sz w:val="20"/>
                <w:szCs w:val="20"/>
                <w:color w:val="auto"/>
              </w:rPr>
            </w:pPr>
            <w:r>
              <w:rPr>
                <w:rFonts w:ascii="Arial" w:cs="Arial" w:eastAsia="Arial" w:hAnsi="Arial"/>
                <w:sz w:val="16"/>
                <w:szCs w:val="16"/>
                <w:b w:val="1"/>
                <w:bCs w:val="1"/>
                <w:color w:val="auto"/>
              </w:rPr>
              <w:t>Common stock issued for stock-based awards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Stock repurchases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b w:val="1"/>
                <w:bCs w:val="1"/>
                <w:color w:val="auto"/>
              </w:rPr>
              <w:t>Stock compensation</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Other comprehensive income (loss), net of taxes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w:t>
            </w: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b w:val="1"/>
                <w:bCs w:val="1"/>
                <w:color w:val="auto"/>
              </w:rPr>
              <w:t>Dividend equivalents on RSUs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33"/>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2"/>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40,227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(36,002)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409"/>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AOCI</w:t>
            </w:r>
          </w:p>
        </w:tc>
      </w:tr>
      <w:tr>
        <w:trPr>
          <w:trHeight w:val="33"/>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r>
      <w:tr>
        <w:trPr>
          <w:trHeight w:val="236"/>
        </w:trPr>
        <w:tc>
          <w:tcPr>
            <w:tcW w:w="5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37"/>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3"/>
        </w:trPr>
        <w:tc>
          <w:tcPr>
            <w:tcW w:w="53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($0.77 per share)</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5320" w:type="dxa"/>
            <w:vAlign w:val="bottom"/>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5320" w:type="dxa"/>
            <w:vAlign w:val="bottom"/>
          </w:tcPr>
          <w:p>
            <w:pPr>
              <w:ind w:left="120"/>
              <w:spacing w:after="0"/>
              <w:rPr>
                <w:sz w:val="20"/>
                <w:szCs w:val="20"/>
                <w:color w:val="auto"/>
              </w:rPr>
            </w:pPr>
            <w:r>
              <w:rPr>
                <w:rFonts w:ascii="Arial" w:cs="Arial" w:eastAsia="Arial" w:hAnsi="Arial"/>
                <w:sz w:val="16"/>
                <w:szCs w:val="16"/>
                <w:color w:val="auto"/>
              </w:rPr>
              <w:t>Stock compensation</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r>
      <w:tr>
        <w:trPr>
          <w:trHeight w:val="223"/>
        </w:trPr>
        <w:tc>
          <w:tcPr>
            <w:tcW w:w="5320" w:type="dxa"/>
            <w:vAlign w:val="bottom"/>
          </w:tcPr>
          <w:p>
            <w:pPr>
              <w:ind w:left="120"/>
              <w:spacing w:after="0"/>
              <w:rPr>
                <w:sz w:val="20"/>
                <w:szCs w:val="20"/>
                <w:color w:val="auto"/>
              </w:rPr>
            </w:pPr>
            <w:r>
              <w:rPr>
                <w:rFonts w:ascii="Arial" w:cs="Arial" w:eastAsia="Arial" w:hAnsi="Arial"/>
                <w:sz w:val="16"/>
                <w:szCs w:val="16"/>
                <w:color w:val="auto"/>
              </w:rPr>
              <w:t>Dividend equivalents on RSUs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47"/>
        </w:trPr>
        <w:tc>
          <w:tcPr>
            <w:tcW w:w="5320" w:type="dxa"/>
            <w:vAlign w:val="bottom"/>
          </w:tcPr>
          <w:p>
            <w:pPr>
              <w:ind w:left="20"/>
              <w:spacing w:after="0"/>
              <w:rPr>
                <w:sz w:val="20"/>
                <w:szCs w:val="20"/>
                <w:color w:val="auto"/>
              </w:rPr>
            </w:pPr>
            <w:r>
              <w:rPr>
                <w:rFonts w:ascii="Arial" w:cs="Arial" w:eastAsia="Arial" w:hAnsi="Arial"/>
                <w:sz w:val="16"/>
                <w:szCs w:val="16"/>
                <w:color w:val="auto"/>
              </w:rPr>
              <w:t>Balance,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38,396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(33,080)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(465)</w:t>
            </w:r>
          </w:p>
        </w:tc>
      </w:tr>
      <w:tr>
        <w:trPr>
          <w:trHeight w:val="24"/>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46"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first quarters of 2020 and 2019. The table below details where these transactions are recorded in our Consolidated Statements of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2300" w:type="dxa"/>
            <w:vAlign w:val="bottom"/>
            <w:gridSpan w:val="5"/>
          </w:tcPr>
          <w:p>
            <w:pPr>
              <w:jc w:val="right"/>
              <w:ind w:right="199"/>
              <w:spacing w:after="0"/>
              <w:rPr>
                <w:sz w:val="20"/>
                <w:szCs w:val="20"/>
                <w:color w:val="auto"/>
              </w:rPr>
            </w:pPr>
            <w:r>
              <w:rPr>
                <w:rFonts w:ascii="Arial" w:cs="Arial" w:eastAsia="Arial" w:hAnsi="Arial"/>
                <w:sz w:val="16"/>
                <w:szCs w:val="16"/>
                <w:b w:val="1"/>
                <w:bCs w:val="1"/>
                <w:color w:val="auto"/>
              </w:rPr>
              <w:t>For Three Months Ended</w:t>
            </w: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57"/>
        </w:trPr>
        <w:tc>
          <w:tcPr>
            <w:tcW w:w="5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gridSpan w:val="3"/>
          </w:tcPr>
          <w:p>
            <w:pPr>
              <w:ind w:left="40"/>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r>
      <w:tr>
        <w:trPr>
          <w:trHeight w:val="33"/>
        </w:trPr>
        <w:tc>
          <w:tcPr>
            <w:tcW w:w="5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Arial" w:cs="Arial" w:eastAsia="Arial" w:hAnsi="Arial"/>
                <w:sz w:val="16"/>
                <w:szCs w:val="16"/>
                <w:b w:val="1"/>
                <w:bCs w:val="1"/>
                <w:color w:val="auto"/>
                <w:w w:val="93"/>
              </w:rPr>
              <w:t>Impact to Related Statement of Income Lines</w:t>
            </w:r>
          </w:p>
        </w:tc>
      </w:tr>
      <w:tr>
        <w:trPr>
          <w:trHeight w:val="33"/>
        </w:trPr>
        <w:tc>
          <w:tcPr>
            <w:tcW w:w="5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actuarial losses of defined benefit plans:</w:t>
            </w:r>
          </w:p>
        </w:tc>
        <w:tc>
          <w:tcPr>
            <w:tcW w:w="7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p>
        </w:tc>
      </w:tr>
      <w:tr>
        <w:trPr>
          <w:trHeight w:val="223"/>
        </w:trPr>
        <w:tc>
          <w:tcPr>
            <w:tcW w:w="5520" w:type="dxa"/>
            <w:vAlign w:val="bottom"/>
          </w:tcPr>
          <w:p>
            <w:pPr>
              <w:ind w:left="120"/>
              <w:spacing w:after="0"/>
              <w:rPr>
                <w:sz w:val="20"/>
                <w:szCs w:val="20"/>
                <w:color w:val="auto"/>
              </w:rPr>
            </w:pPr>
            <w:r>
              <w:rPr>
                <w:rFonts w:ascii="Arial" w:cs="Arial" w:eastAsia="Arial" w:hAnsi="Arial"/>
                <w:sz w:val="16"/>
                <w:szCs w:val="16"/>
                <w:color w:val="auto"/>
              </w:rPr>
              <w:t>Recognized net actuarial loss and settlement losses (a)</w:t>
            </w:r>
          </w:p>
        </w:tc>
        <w:tc>
          <w:tcPr>
            <w:tcW w:w="740" w:type="dxa"/>
            <w:vAlign w:val="bottom"/>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4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Decrease to OI&amp;E</w:t>
            </w:r>
          </w:p>
        </w:tc>
      </w:tr>
      <w:tr>
        <w:trPr>
          <w:trHeight w:val="33"/>
        </w:trPr>
        <w:tc>
          <w:tcPr>
            <w:tcW w:w="5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6"/>
        </w:trPr>
        <w:tc>
          <w:tcPr>
            <w:tcW w:w="5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Tax effect</w:t>
            </w: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 to provision for income taxes</w:t>
            </w:r>
          </w:p>
        </w:tc>
      </w:tr>
      <w:tr>
        <w:trPr>
          <w:trHeight w:val="247"/>
        </w:trPr>
        <w:tc>
          <w:tcPr>
            <w:tcW w:w="5520" w:type="dxa"/>
            <w:vAlign w:val="bottom"/>
          </w:tcPr>
          <w:p>
            <w:pPr>
              <w:ind w:left="120"/>
              <w:spacing w:after="0"/>
              <w:rPr>
                <w:sz w:val="20"/>
                <w:szCs w:val="20"/>
                <w:color w:val="auto"/>
              </w:rPr>
            </w:pPr>
            <w:r>
              <w:rPr>
                <w:rFonts w:ascii="Arial" w:cs="Arial" w:eastAsia="Arial" w:hAnsi="Arial"/>
                <w:sz w:val="16"/>
                <w:szCs w:val="16"/>
                <w:color w:val="auto"/>
              </w:rPr>
              <w:t>Recognized within net income, net of taxes</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Decrease to net income</w:t>
            </w:r>
          </w:p>
        </w:tc>
      </w:tr>
      <w:tr>
        <w:trPr>
          <w:trHeight w:val="23"/>
        </w:trPr>
        <w:tc>
          <w:tcPr>
            <w:tcW w:w="5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shares of 5,214,242 were issued from treasury shares during the first quarter of 2020 related to stock compensation.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design, make and sell semiconductors to electronics designers and manufacturers all over the world. 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When we are successful in achieving these ambitions, our employees, customers, communities and shareholders all win.</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business model is designed around the following four sustainable competitive advantages that we believe, in combination, put us in a unique class of companies:</w:t>
      </w:r>
    </w:p>
    <w:p>
      <w:pPr>
        <w:spacing w:after="0" w:line="170" w:lineRule="exact"/>
        <w:rPr>
          <w:sz w:val="20"/>
          <w:szCs w:val="20"/>
          <w:color w:val="auto"/>
        </w:rPr>
      </w:pPr>
    </w:p>
    <w:p>
      <w:pPr>
        <w:ind w:left="620" w:right="20" w:hanging="329"/>
        <w:spacing w:after="0" w:line="273" w:lineRule="auto"/>
        <w:tabs>
          <w:tab w:leader="none" w:pos="61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A strong foundation of manufacturing and technology. </w:t>
      </w:r>
      <w:r>
        <w:rPr>
          <w:rFonts w:ascii="Arial" w:cs="Arial" w:eastAsia="Arial" w:hAnsi="Arial"/>
          <w:sz w:val="17"/>
          <w:szCs w:val="17"/>
          <w:color w:val="auto"/>
        </w:rPr>
        <w:t>We invest in manufacturing technologies and do most of our manufacturing in-house. This</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investing in our advanced analog 300-millimeter capacity, which has about a 40% cost advantage per unpackaged chip over 200-millimeter. To strengthen this advantage, we are moving forward with our plan to build our new 300-millimeter wafer fabrication facility in Richardson, Texas, as 300-millimeter wafers will continue to support the majority of our Analog growth.</w:t>
      </w:r>
    </w:p>
    <w:p>
      <w:pPr>
        <w:spacing w:after="0" w:line="69" w:lineRule="exact"/>
        <w:rPr>
          <w:rFonts w:ascii="Arial" w:cs="Arial" w:eastAsia="Arial" w:hAnsi="Arial"/>
          <w:sz w:val="17"/>
          <w:szCs w:val="17"/>
          <w:color w:val="auto"/>
        </w:rPr>
      </w:pPr>
    </w:p>
    <w:p>
      <w:pPr>
        <w:ind w:left="620" w:right="180" w:hanging="329"/>
        <w:spacing w:after="0" w:line="259"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Broad portfolio of differentiated analog and embedded processing products. </w:t>
      </w:r>
      <w:r>
        <w:rPr>
          <w:rFonts w:ascii="Arial" w:cs="Arial" w:eastAsia="Arial" w:hAnsi="Arial"/>
          <w:sz w:val="18"/>
          <w:szCs w:val="18"/>
          <w:color w:val="auto"/>
        </w:rPr>
        <w:t>Our customers need multiple chips for their systems. The breadth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portfolio means we can meet more of these needs than our competitors can,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8" w:lineRule="exact"/>
        <w:rPr>
          <w:rFonts w:ascii="Arial" w:cs="Arial" w:eastAsia="Arial" w:hAnsi="Arial"/>
          <w:sz w:val="18"/>
          <w:szCs w:val="18"/>
          <w:color w:val="auto"/>
        </w:rPr>
      </w:pPr>
    </w:p>
    <w:p>
      <w:pPr>
        <w:ind w:left="620" w:right="220" w:hanging="329"/>
        <w:spacing w:after="0" w:line="311" w:lineRule="auto"/>
        <w:tabs>
          <w:tab w:leader="none" w:pos="61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Reach of market channels. </w:t>
      </w:r>
      <w:r>
        <w:rPr>
          <w:rFonts w:ascii="Arial" w:cs="Arial" w:eastAsia="Arial" w:hAnsi="Arial"/>
          <w:sz w:val="16"/>
          <w:szCs w:val="16"/>
          <w:color w:val="auto"/>
        </w:rPr>
        <w:t>Customers often begin their initial product selection process and design-in journey on our website, and the breadth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portfolio attracts more customers to our website than any of our competitors’ websites. Our web presence and global sales and applications team are advantages that give us unique access and insight to about 100,000 customers designing TI semiconductors into their end products.</w:t>
      </w:r>
    </w:p>
    <w:p>
      <w:pPr>
        <w:spacing w:after="0" w:line="40" w:lineRule="exact"/>
        <w:rPr>
          <w:rFonts w:ascii="Arial" w:cs="Arial" w:eastAsia="Arial" w:hAnsi="Arial"/>
          <w:sz w:val="16"/>
          <w:szCs w:val="16"/>
          <w:color w:val="auto"/>
        </w:rPr>
      </w:pPr>
    </w:p>
    <w:p>
      <w:pPr>
        <w:ind w:left="620" w:right="20" w:hanging="329"/>
        <w:spacing w:after="0" w:line="311" w:lineRule="auto"/>
        <w:tabs>
          <w:tab w:leader="none" w:pos="615"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Diversity and longevity of our products, markets and customer positions. </w:t>
      </w:r>
      <w:r>
        <w:rPr>
          <w:rFonts w:ascii="Arial" w:cs="Arial" w:eastAsia="Arial" w:hAnsi="Arial"/>
          <w:sz w:val="16"/>
          <w:szCs w:val="16"/>
          <w:color w:val="auto"/>
        </w:rPr>
        <w:t>Together, the attributes above result in diverse and long-lived positions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deliver high terminal value to our shareholders. Because of the breadth of our portfolio, we are not dependent on any single product, customer, technology or market. Some of our products generate revenue for decades, which strengthens the return on our investments.</w:t>
      </w:r>
    </w:p>
    <w:p>
      <w:pPr>
        <w:spacing w:after="0" w:line="14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strategic focus, and where we invest the majority of our resources, is on Analog and Embedded Processing, with a particular emphasis on designing and selling those products into the industrial and automotive markets. We believe these markets represent the best growth opportunities over the next decade or longer, due to increasing semiconductor content. Additionally, analog and embedded processing products sold into industrial and automotive markets provide long product life cycles, intrinsic diversity and less capital-intensive manufacturing, which we believe offer stability, profitability and strong cash generation.</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business model is the foundation of our capital management strategy, which is based on our belief that free cash flow growth, especially on a per-share basis, is important for maximizing shareholder value over the long term. We also believe that free cash flow will be valued only if it is productively invested in the business or returned to shareholders.</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combined effect of our ambitions, business model and sustainable competitive advantages is that we have continued to build a stronger company. Over time, we have gained market share in Analog and Embedded Processing and grown and returned all free cash flow to our owners.</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620" w:right="180" w:hanging="329"/>
        <w:spacing w:after="0" w:line="263"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5" w:name="page16"/>
    <w:bookmarkEnd w:id="15"/>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100" w:hanging="320"/>
        <w:spacing w:after="0" w:line="277" w:lineRule="auto"/>
        <w:tabs>
          <w:tab w:leader="none" w:pos="12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2" w:lineRule="exact"/>
        <w:rPr>
          <w:rFonts w:ascii="Arial" w:cs="Arial" w:eastAsia="Arial" w:hAnsi="Arial"/>
          <w:sz w:val="18"/>
          <w:szCs w:val="18"/>
          <w:color w:val="auto"/>
        </w:rPr>
      </w:pPr>
    </w:p>
    <w:p>
      <w:pPr>
        <w:ind w:left="1300" w:right="520" w:hanging="320"/>
        <w:spacing w:after="0" w:line="277" w:lineRule="auto"/>
        <w:tabs>
          <w:tab w:leader="none" w:pos="12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2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300" w:right="100" w:hanging="320"/>
        <w:spacing w:after="0" w:line="279" w:lineRule="auto"/>
        <w:tabs>
          <w:tab w:leader="none" w:pos="1296" w:val="left"/>
        </w:tabs>
        <w:numPr>
          <w:ilvl w:val="1"/>
          <w:numId w:val="21"/>
        </w:numPr>
        <w:rPr>
          <w:rFonts w:ascii="Arial" w:cs="Arial" w:eastAsia="Arial" w:hAnsi="Arial"/>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3" w:lineRule="exact"/>
        <w:rPr>
          <w:rFonts w:ascii="Arial" w:cs="Arial" w:eastAsia="Arial" w:hAnsi="Arial"/>
          <w:sz w:val="17"/>
          <w:szCs w:val="17"/>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coronavirus (COVID-19) pandemic, the likely resulting recession and its follow-on effects are impacting and will likely continue to impact business activity across industries worldwide, including TI.</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impact to our lead times and ability to fulfill orders was minimal in Q1 2020. However, depending on pandemic-related factors like the duration of local manufacturing restrictions in Malaysia and the Philippines, we could experience constraints in fulfilling customer orders in future periods. The coronavirus pandemic remains dynamic with uncertainty around its duration and broader impact. We are monitoring and assessing the situation and preparing for implications to our business, supply chain and customer demand. With a COVID-19 recession likely upon us, and with reduced visibility of customer demand, we are using the 2008 financial crisis to model our forecasted second quarter results of operations in an environment of a potentially significant decrease in customer demand.</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TI has long had a business continuity plan in place for unforeseeable situations, like we are experiencing with COVID-19. Additionally, over the past several years, TI has invested in building inventory and expanding our global internally-owned manufacturing footprint. Investing in these capabilities has given us flexibility, such as the ability to build products across multiple manufacturing sites. These investments have helped to minimize disruptions, but may not be sufficient to eliminate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first quarter revenue was $3.33 billion, net income was $1.17 billion and earnings per share (EPS) were $1.24.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7% from the same quarter a year ago.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our core businesses, Analog revenue declined 2% and Embedded Processing declined 18% from the same quarter a year ago.</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cash flow from operations of $6.4 billion for the trailing 12 months again underscored the strength of our business model. Free cash flow for the same period was $5.6 billion and 40% of revenue. This reflects the quality of our product portfolio, as well as the efficiency of our manufacturing strategy, including the benefit of 300-millimeter Analog production.</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have returned $6.6 billion to shareholders in the past 12 months through stock repurchases and dividends. Over the same period, our dividends represented 55% of free cash flow, underscoring their sustainability. Together, our stock repurchases and dividends reflect our continued commitment to return all free cash flow to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expect our annual operating tax rate to be about 14% in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 – first quarter 2020 compared with first quarter 2019</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Revenue of $3.33 billion decreased $265 million, or 7%, primarily due to lower revenue from Embedded Processing and, to a lesser extent, Analog.</w:t>
      </w:r>
    </w:p>
    <w:p>
      <w:pPr>
        <w:spacing w:after="0" w:line="23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Gross profit of $2.09 billion was down $173 million, or 8%, due to lower revenue. As a percentage of revenue, gross profit decreased to 62.7% from 62.9%.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$794 million compared with $803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$50 million compared with $79 million and were non-cash. See Note 5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$1.24 billion, or 37.4% of revenue, compared with $1.38 billion, or 38.4%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$25 million of income compared with $36 million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$45 million increased $7 million due to the issuance of additional long-term debt.</w:t>
      </w:r>
    </w:p>
    <w:p>
      <w:pPr>
        <w:spacing w:after="0" w:line="22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Our provision for income taxes was $50 million compared with $160 million. The decrease was due to higher discrete tax benefits, lower income before income taxes and, to a lesser extent, a lower annual operating tax rate. Our annual operating tax rate, which does not include discrete tax items, is about 14% compared with 16% in 2019. We use “annual operating tax rate” to describe the estimated annual effective tax rate. The 2020 rate differs from the 21% U.S. statutory corporate tax rate due to the effect of U.S. tax benefits.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$1.17 billion compared with $1.22 billion. EPS was $1.24 compared with $1.26.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2020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Q1 2020</w:t>
            </w: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Q1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2,460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rPr>
              <w:t>1,025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1,088</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(6) %</w:t>
            </w:r>
          </w:p>
        </w:tc>
      </w:tr>
      <w:tr>
        <w:trPr>
          <w:trHeight w:val="33"/>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33"/>
        </w:trPr>
        <w:tc>
          <w:tcPr>
            <w:tcW w:w="7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Analog revenue decreased in Signal Chain and High Volume due to the mix of products shipped. Power revenue increased. Operating profit decreased primarily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Q1 2020</w:t>
            </w: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Q1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653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rPr>
              <w:t>182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(27) %</w:t>
            </w:r>
          </w:p>
        </w:tc>
      </w:tr>
      <w:tr>
        <w:trPr>
          <w:trHeight w:val="33"/>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33"/>
        </w:trPr>
        <w:tc>
          <w:tcPr>
            <w:tcW w:w="7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Embedded Processing revenue decreased in both product lines, led by Processors. Operating profit decreased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products, calculators and custom ASIC products)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Q1 2020</w:t>
            </w: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Q1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4"/>
        </w:trPr>
        <w:tc>
          <w:tcPr>
            <w:tcW w:w="7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(12) %</w:t>
            </w:r>
          </w:p>
        </w:tc>
      </w:tr>
      <w:tr>
        <w:trPr>
          <w:trHeight w:val="33"/>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 Includes acquisition charges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$64 million, and operating profit decreased $5 million.</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the end of the first quarter of 2020, total cash (cash and cash equivalents plus short-term investments) was $4.74 billion, a decrease of $645 million from the end of 2019.</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Accounts receivable were $1.32 billion, an increase of $242 million compared with the end of 2019. Days sales outstanding at the end of the first quarter of 2020 were 36 compared with 29 at the end of 2019.</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Inventory was $2.00 billion, an increase of $2 million from the end of 2019. Days of inventory at the end of the first quarter of 2020 were 145 compared with 144 at the end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primary source of liquidity is cash flow from operations. Additional sources of liquidity are cash and cash equivalents, short-term investments and a variable-rate, revolving credit facility. Cash flows from operating activities for the first three months of 2020 were $851 million, a decrease of $256 million from the year-ago period primarily due to lower net income and an increase in cash used for working capital.</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2024. This credit facility also serves as support for the issuance of commercial paper. As of March 31, 2020, our credit facility was undrawn, and we had no commercial paper outstanding.</w:t>
      </w:r>
    </w:p>
    <w:p>
      <w:pPr>
        <w:spacing w:after="0" w:line="18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Investing activities for the first three months of 2020 provided $826 million compared with $1.17 billion of cash provided in the year-ago period. Capital expenditures were $161 million compared with $251 million in the year-ago period and were primarily for semiconductor manufacturing equipment and facilities in both periods. Short-term investments provided cash of $992 million compared with $1.44 billion in the year-ago period.</w:t>
      </w:r>
    </w:p>
    <w:p>
      <w:pPr>
        <w:spacing w:after="0" w:line="16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Financing activities for the first three months of 2020 used $1.60 billion compared with $998 million in the year-ago period. In 2020, we received net proceeds of $749 million from the issuance of fixed-rate, long-term debt. In the year-ago period, we received net proceeds of $743 million from the issuance of fixed-rate, long-term debt. Dividends paid were $841 million compared with $724 million in the year-ago period, reflecting an increase in the dividend rate, partially offset by fewer shares outstanding. We used $1.64 billion to repurchase 14.9 million shares of our common stock compared with $1.15 billion used in the year-ago period to repurchase 11.7 million shares. Employee exercises of stock options provided cash proceeds of $146 million compared with $151 million in the year-ago period.</w:t>
      </w:r>
    </w:p>
    <w:p>
      <w:pPr>
        <w:spacing w:after="0" w:line="19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We had $2.52 billion of cash and cash equivalents and $2.22 billion of short-term investments as of March 31, 2020. We believe we have the necessary financial resources and operating plans to fund our working capital needs, capital expenditures, dividend and debt-related payments, and other business requirements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For 12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7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3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7"/>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6,393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7,184</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(757)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 (non-GAAP)</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5,636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5,991</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66"/>
        </w:trPr>
        <w:tc>
          <w:tcPr>
            <w:tcW w:w="7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r>
      <w:tr>
        <w:trPr>
          <w:trHeight w:val="272"/>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14,118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15,589</w:t>
            </w: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66"/>
        </w:trPr>
        <w:tc>
          <w:tcPr>
            <w:tcW w:w="7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as a percentage of revenue (GAAP)</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45.3 %</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Free cash flow as a percentage of revenue (non-GAAP)</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39.9 %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38.4</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3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Information regarding long-term contractual obligations is in Item 7 of our Form 10-K for the year ended December 31, 2019. Additionally, in the first three months of 2020, we issued $750 million principal amount of 1.375% notes maturing in 2025. These proceeds were used for general corporate purposes, including to repay $500 million of 1.75% notes in April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information regarding the status of new accounting and reporting standards.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many companies, we are susceptible to a potential downturn associated with macroeconomic weakness, which may affect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dividends or share repurchases, and other factors, many of which are beyond our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extent to which the COVID-19 pandemic will adversely affect our business, results of operations and financial condition is uncertain.</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global spread of the novel coronavirus, severe acute respiratory syndrome coronavirus 2 (SARS-CoV-2), and the coronavirus disease, COVID-19, has created significant uncertainty and economic disruption, both near-term and potentially long-term. We have modified, and might further modify, our business practices in response to the COVID-19 pandemic, related third-party responses, including from government authorities and our suppliers, customers and distributors, and the economic and social ramifications of the disease and societal responses across the markets in which TI operates. The extent to which the COVID-19 pandemic will continue to affect our business, results of operation and financial condition is difficult to predict and depends on numerous evolving factors including: the duration and scope of the pandemic; government, social, business and other actions that have been and will be taken in response to the pandemic; and the effect of the pandemic on short- and long-term general economic conditions. We might experience short- or long-term constrained supply or volatility in customer demand, which could materially and adversely affect our business and financial results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global operations subject us to risks associated with domestic or international political, social, economic or other conditions.</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facilities in more than 30 countries. In 2019, about 85% of our revenue came from shipments to locations outside the United States; shipments of products into China represent a large portion of our revenue. Certain countries where we operate have experienced, and other countries may experience, increasing protectionism that affects global trade and macroeconomic conditions through the enactment of tariffs, import or export restrictions, trade embargoes and sanctions, restrictions on cross-border investment and other trade barriers. This protectionism impacts our ability to deliver products and product support into China, could cause Chinese customers to seek alternate suppliers and could otherwise adversely affect our operations and financial results.</w:t>
      </w:r>
    </w:p>
    <w:p>
      <w:pPr>
        <w:spacing w:after="0" w:line="18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We are exposed to political, social and economic conditions, security risks, terrorism or other hostile acts, health conditions and epidemics, labor conditions, and possible disruptions in transportation, communications and information technology networks of the various countries in which we operate.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in conjunction with trade tensions, may restrict us from participating in the China market or may prevent us from competing effectively. Certain competitors possess sufficient financial, technical and management resources to develop and market products that may compete favorably against our products, and consolidation among our competitors may allow them to compete more effectively.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Changes in expected demand for our products could have a material adverse effect on our results of operations.</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customers include companies in a wide range of end markets and sectors within those markets. If demand in one or more sectors within our end markets declines or the rate of growth slows, our results of operations may be adversely affected. The cyclical nature of the semiconductor market occasionally leads to significant and rapid increases and decreases in product demand. Additionally, the loss or significant curtailment of purchases by one or more of our large customers, including curtailments due to a change in the design or manufacturing sourcing policies or practices of these customers, the timing of customer or distributor inventory adjustments, or trade restrictions, may adversely affect our results of operations and financial condition.</w:t>
      </w:r>
    </w:p>
    <w:p>
      <w:pPr>
        <w:spacing w:after="0" w:line="15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results of operations also might suffer because of a general decline in customer demand resulting from, for example: uncertainty regarding the stability of global credit and financial markets; natural events, epidemics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188" w:lineRule="exact"/>
        <w:rPr>
          <w:sz w:val="20"/>
          <w:szCs w:val="20"/>
          <w:color w:val="auto"/>
        </w:rPr>
      </w:pPr>
    </w:p>
    <w:p>
      <w:pPr>
        <w:jc w:val="both"/>
        <w:ind w:right="280"/>
        <w:spacing w:after="0" w:line="262"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7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u w:val="single" w:color="auto"/>
          <w:color w:val="auto"/>
        </w:rPr>
        <w:t>Our operating results and our reputation could be adversely affected by breaches, disruptions or other incidents relating to our information technology systems.</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Breaches, disruptions or other incidents relating to our information technology systems or the systems of our customers, vendors and other third parties could be caused by factors such as computer viruses, system failures, restricted network access, unauthorized access, terrorism, employee malfeasance, or human error. These events could, among other things, compromise our information technology networks; result in corrupt or lost data or the unauthorized release of our, our customers’ or our suppliers’ confidential or proprietary information; cause a disruption to our manufacturing and other operations; result in the release of personal data; or cause us to incur costs associated with increased protection, remediation, regulatory inquiries or penalties, or claims for damages, any of which could adversely affect our operating results and our reputation. Cybersecurity or other threats to our information technology systems or the systems of our customers, vendors and other third parties are frequent and constantly evolving, thereby increasing the difficulty of defending against them.</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ability to successfully implement strategic, business and organizational changes could affect our business plans and results of operations.</w:t>
      </w:r>
    </w:p>
    <w:p>
      <w:pPr>
        <w:spacing w:after="0" w:line="22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From time to time, we undertake strategic, business and organizational changes, including acquisitions, divestitures and restructuring actions, to support or carry out our objectives. Our failure to successfully implement these changes could adversely affect our business plans and operating results. We may not achieve or sustain the expected growth, cost savings or other benefits of strategic, business and organizational changes, and restructuring charges could differ materially in amount and timing from our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operate.</w:t>
      </w:r>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have manufacturing, data and design facilities and other operations in locations subject to natural occurrences such as severe weather, geological events or epidemics that could disrupt operations. A natural disaster that results in a prolonged disruption, particularly where we have principal manufacturing and design operations, as listed in Item 2. Properties in our Form 10-K for the year ended December 31, 2019, may adversely affect our results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Rapid technological change in markets we serve requires us to develop new technologies and products.</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in a timely manner. We make significant investments in research and development to improve existing technology and products, develop new products to meet changing customer demands, and improve our production processes. In some cases, we might not realize a return or the expected return on our investments because they are generally made before commercial viability can be assured. Further, projects that are commercially viable may not contribute to our operating results until at least a few years after they are completed.</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We face supply chain and manufacturing risks.</w:t>
      </w:r>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rely on third parties to supply us with goods and services in a cost-effective and timely manner. Our access to needed goods and services may be adversely affected by potential disputes with suppliers or disruptions in our suppliers’ operations as a result of, for example: quality excursions; uncertainty regarding the stability of global credit and financial markets; domestic or international political, social, economic and other conditions; natural events or epidemics in the locations in which our suppliers operate; or limited or delayed access to key raw materials, natural resources and utilities. Additionally, a breach or other incident relating to our suppliers’ information technology systems could result in a release of confidential or proprietary information. If our suppliers are unable to access credit markets and other sources of needed liquidity, we may be unable to obtain needed supplies, collect accounts receivable or access needed technology.</w:t>
      </w:r>
    </w:p>
    <w:p>
      <w:pPr>
        <w:spacing w:after="0" w:line="19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particular, our manufacturing processes and critical manufacturing equipment require that certain key raw materials, natural resources and utilities be available. Limited or delayed access to and high costs of these items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 that we change the sourcing of materials we cannot identify as conflict-free.</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Our inability to timely implement new manufacturing technologies or install manufacturing equipment could adversely affect our results of operations. We subcontract a portion of our wafer fabrication and assembly and testing of our products, and we depend on third parties to provide advanced logic manufacturing process technology development.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in a timely, cost effective, and appropriate manner, the possibility of suppliers’ imposition of increased costs on us and the unauthorized disclosure or use of our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results of operations and our reputation could be affected by warranty claims, product liability claims, product recalls or legal proceedings.</w:t>
      </w:r>
    </w:p>
    <w:p>
      <w:pPr>
        <w:spacing w:after="0" w:line="223"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Claims based on warranty, product liability, epidemic or delivery failures, or other grounds relating to our products, manufacturing, services, designs, communications or cybersecurity could lead to significant expenses as we defend the claims or pay damage awards or settlements. In the event of a claim, we would also incur costs if we decide to compensate the affected customer or end consumer. Any such claims may also cause us to write off the value of related inventory. We maintain product liability insurance, but there is no guarantee that such insurance will be available or adequate to protect against all such claims. In addition, it is possible for a customer to recall a product containing a TI part, for example, with respect to products used in automotive applications or handheld electronics, which may cause us to incur costs and expenses relating to the recall. Any of these events could adversely affect our results of operations, financial condition and reputation.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could be affected by the complex laws, rules and regulations to which our business is subject.</w:t>
      </w:r>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are subject to complex laws, rules and regulations affecting our domestic and international operations relating to, for example, the environment, safety and health (including epidemics); trade; bribery and corruption; financial reporting; tax; data privacy and protection; labor and employment; competition; market access; intellectual property ownership and infringement; and the movement of currency. Compliance with these laws, rules and regulations may be onerous and expensive and could restrict our ability to manufacture or ship our products and operate our business. If we fail to comply or if we become subject to enforcement activity, we could be subject to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19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raw material or process might not be available, or might not be available at reasonable cost.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12"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 rate to increase, including a change in the jurisdictions in which our profits are earned and taxed; a change in the mix of profits from those jurisdictions; changes in available tax credits or deductions, including for amounts relating to stock compensation; changes in applicable tax rates; changes in tariff regulations or surcharges; changes in accounting principles; or adverse resolution of audits by taxing authorities. We have deferred tax assets on our balance sheet. Changes in applicable tax laws and regulations or in our business performance could affect our ability to realize those deferred tax assets, which could also affect our results of operations.</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addition, we are subject to laws and regulations in various jurisdictions that determine how much profit has been earned and when it is subject to taxation in that jurisdiction. These laws and regulations can be complex and subject to interpretation. Changes in these laws and regulations, including those that align with the Organisation for Economic Cooperation and Development’s Base Erosion and Profit Shifting recommendations, could affect the locations where we are deemed to earn income, which could in turn affect our results of operations. Each quarter we forecast our tax expense based on our forecast of our performance for the year. If that performance forecast changes, our forecasted tax expense will change.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results of operations and financial condition could be adversely affected if a customer or a distributor suffers a loss with respect to our inventory.</w:t>
      </w:r>
    </w:p>
    <w:p>
      <w:pPr>
        <w:spacing w:after="0" w:line="223"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We have consignment inventory programs in place for some of our largest customers and distributors. If a customer or distributor were to experience a loss with respect to TI-consigned inventory, our results of operations and financial condition would be adversely affected if we do not recover the full value of the lost inventory from the customer, distributor or insurer, or if our recovery is delayed.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Our results of operations could be adversely affected by our distributors’ promotion of competing product lines or our distributors’ financial performance.</w:t>
      </w:r>
    </w:p>
    <w:p>
      <w:pPr>
        <w:spacing w:after="0" w:line="23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2019, about 65% of our revenue was generated from sales of our products through distributors. Our distributors carry competing product lines, and our sales could be affected if our distributors promote competing products over our products. Moreover, our results of operations could be affected if our distributors suffer financial difficulties that result in their inability to pay amounts owed to us. Disputes with significant distributors could be disruptive or harmful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margins vary.</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profit margins vary due to a number of factors, which may include customer demand and shipment volume; our manufacturing processes; product mix; inventory levels; tariffs; and new accounting pronouncements or changes in existing accounting practices or standards. In addition, we operate in a highly competitive market environment that might adversely affect pricing for our products. Because we own much of our manufacturing capacity, a significant portion of our operating costs is fixed. In general, these fixed costs do not decline with reductions in customer demand or factory loadings, and can adversely affect profit margins as a result.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maintain freedom of operation.</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Access to worldwide markets depends in part on the continued strength of our intellectual property portfolio in all jurisdictions where we conduct business. There can be no assurance that, as our business evolves, we will obtain the necessary intellectual property rights, or that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We, directly or indirectly, face infringement claims from third parties, including non-practicing entities that have acquired patents to pursue enforcement actions against other companies. We also face infringement claims where we or our customers make, use or sell products and where the intellectual property laws may be less established or less predictable. These assertions, whether or not of any merit,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4" w:name="page25"/>
    <w:bookmarkEnd w:id="24"/>
    <w:p>
      <w:pPr>
        <w:ind w:right="180"/>
        <w:spacing w:after="0" w:line="284" w:lineRule="auto"/>
        <w:rPr>
          <w:sz w:val="20"/>
          <w:szCs w:val="20"/>
          <w:color w:val="auto"/>
        </w:rPr>
      </w:pPr>
      <w:r>
        <w:rPr>
          <w:rFonts w:ascii="Arial" w:cs="Arial" w:eastAsia="Arial" w:hAnsi="Arial"/>
          <w:sz w:val="16"/>
          <w:szCs w:val="16"/>
          <w:color w:val="auto"/>
        </w:rPr>
        <w:t>We actively enforce and protect our own intellectual property rights. However, our efforts cannot prevent all misappropriation or improper use of our protected technology and information, including, for example, third parties’ use of our patented or copyrighted technology, or our trade secrets in their products without the right to do so, or third parties’ sale of counterfeit products bearing our trademark. The risk of unfair copying or cloning may impede our ability to sell our products. The laws of countries where we operate may not protect our intellectual property rights to the same extent as U.S. laws.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our other risk factors, many of which are beyond our control. In addition, our obligation to make principal and interest payments could divert funds that otherwise would be invested in our operations or returned to shareholders, or could cause us to raise funds by, for example, issuing new debt or equity or selling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and liquidity could be affected by changes in the financial markets.</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maintain bank accounts, one or more multiyear revolving credit agreements, and a portfolio of investments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Increases in health care and pension benefit costs could affect our results of operations and financial condition.</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Federal and state health care reform programs could increase our costs with regard to medical coverage of our employees, which could reduce profitability and affect our results of operations and financial condition. In addition, obligations related to our pension and other postretirement plans reflect assumptions that affect the planned funding and costs of these plans, including the actual return on plan assets, discount rates, plan participant population demographics and changes in pension regulations. Changes in these assumptions may affect plan funding, cash flow and results of operations, and our costs and funding obligations could increase significantly if our plans’ actual experience differs from these assumptions.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continued success depends in part on our ability to retain and recruit a sufficient number of qualified employees in a competitive environment.</w:t>
      </w:r>
    </w:p>
    <w:p>
      <w:pPr>
        <w:spacing w:after="0" w:line="223"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Our continued success depends in part on the retention and recruitment of skilled personnel, as well as the effective management of succession for key employees. Skilled and experienced personnel in our industry, including engineering, management, marketing, technical and staff personnel, are in high demand and competition for their talents is intense. There can be no assurance that we will be able to successfully retain and recruit the key engineering, management and technical personnel that we require to execute our business strategy. Our ability to recruit internationally or deploy employees to various locations may be limited by immigration 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21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have a significant amount of goodwill and intangible assets on our consolidated balance sheet. Charges associated with impairments of goodwill or intangible assets could adversely affect our financial condition and results of operations.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regarding our purchases of our common stock during the quarter.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w w:val="94"/>
              </w:rPr>
              <w:t>Total Number of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Average Price</w:t>
            </w:r>
          </w:p>
        </w:tc>
        <w:tc>
          <w:tcPr>
            <w:tcW w:w="0" w:type="dxa"/>
            <w:vAlign w:val="bottom"/>
          </w:tcPr>
          <w:p>
            <w:pPr>
              <w:spacing w:after="0"/>
              <w:rPr>
                <w:sz w:val="1"/>
                <w:szCs w:val="1"/>
                <w:color w:val="auto"/>
              </w:rPr>
            </w:pP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Purchased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2"/>
              </w:rPr>
              <w:t>Paid per Share</w:t>
            </w:r>
          </w:p>
        </w:tc>
        <w:tc>
          <w:tcPr>
            <w:tcW w:w="0" w:type="dxa"/>
            <w:vAlign w:val="bottom"/>
          </w:tcPr>
          <w:p>
            <w:pPr>
              <w:spacing w:after="0"/>
              <w:rPr>
                <w:sz w:val="1"/>
                <w:szCs w:val="1"/>
                <w:color w:val="auto"/>
              </w:rPr>
            </w:pP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January 1, 2020 through January 31, 2020</w:t>
            </w:r>
          </w:p>
        </w:tc>
        <w:tc>
          <w:tcPr>
            <w:tcW w:w="1420" w:type="dxa"/>
            <w:vAlign w:val="bottom"/>
          </w:tcPr>
          <w:p>
            <w:pPr>
              <w:jc w:val="right"/>
              <w:spacing w:after="0"/>
              <w:rPr>
                <w:sz w:val="20"/>
                <w:szCs w:val="20"/>
                <w:color w:val="auto"/>
              </w:rPr>
            </w:pPr>
            <w:r>
              <w:rPr>
                <w:rFonts w:ascii="Arial" w:cs="Arial" w:eastAsia="Arial" w:hAnsi="Arial"/>
                <w:sz w:val="16"/>
                <w:szCs w:val="16"/>
                <w:color w:val="auto"/>
              </w:rPr>
              <w:t>1,877,337</w:t>
            </w:r>
          </w:p>
        </w:tc>
        <w:tc>
          <w:tcPr>
            <w:tcW w:w="3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126.64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February 1, 2020 through February 29, 2020</w:t>
            </w:r>
          </w:p>
        </w:tc>
        <w:tc>
          <w:tcPr>
            <w:tcW w:w="1420" w:type="dxa"/>
            <w:vAlign w:val="bottom"/>
          </w:tcPr>
          <w:p>
            <w:pPr>
              <w:jc w:val="right"/>
              <w:spacing w:after="0"/>
              <w:rPr>
                <w:sz w:val="20"/>
                <w:szCs w:val="20"/>
                <w:color w:val="auto"/>
              </w:rPr>
            </w:pPr>
            <w:r>
              <w:rPr>
                <w:rFonts w:ascii="Arial" w:cs="Arial" w:eastAsia="Arial" w:hAnsi="Arial"/>
                <w:sz w:val="16"/>
                <w:szCs w:val="16"/>
                <w:color w:val="auto"/>
              </w:rPr>
              <w:t>3,356,200</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124.79</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March 1, 2020 through March 31, 2020</w:t>
            </w:r>
          </w:p>
        </w:tc>
        <w:tc>
          <w:tcPr>
            <w:tcW w:w="1420" w:type="dxa"/>
            <w:vAlign w:val="bottom"/>
          </w:tcPr>
          <w:p>
            <w:pPr>
              <w:jc w:val="right"/>
              <w:spacing w:after="0"/>
              <w:rPr>
                <w:sz w:val="20"/>
                <w:szCs w:val="20"/>
                <w:color w:val="auto"/>
              </w:rPr>
            </w:pPr>
            <w:r>
              <w:rPr>
                <w:rFonts w:ascii="Arial" w:cs="Arial" w:eastAsia="Arial" w:hAnsi="Arial"/>
                <w:sz w:val="16"/>
                <w:szCs w:val="16"/>
                <w:color w:val="auto"/>
              </w:rPr>
              <w:t>10,925,981</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102.74</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vMerge w:val="restart"/>
          </w:tcPr>
          <w:p>
            <w:pPr>
              <w:ind w:left="80"/>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24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16,159,518</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(b)</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110.10</w:t>
            </w:r>
          </w:p>
        </w:tc>
        <w:tc>
          <w:tcPr>
            <w:tcW w:w="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19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3"/>
              </w:rPr>
              <w:t>Approximate Dollar Value</w:t>
            </w:r>
          </w:p>
        </w:tc>
        <w:tc>
          <w:tcPr>
            <w:tcW w:w="0" w:type="dxa"/>
            <w:vAlign w:val="bottom"/>
          </w:tcPr>
          <w:p>
            <w:pPr>
              <w:spacing w:after="0"/>
              <w:rPr>
                <w:sz w:val="1"/>
                <w:szCs w:val="1"/>
                <w:color w:val="auto"/>
              </w:rPr>
            </w:pPr>
          </w:p>
        </w:tc>
      </w:tr>
      <w:tr>
        <w:trPr>
          <w:trHeight w:val="162"/>
        </w:trPr>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94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162"/>
        </w:trPr>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194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213"/>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Programs (a)</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b w:val="1"/>
                <w:bCs w:val="1"/>
                <w:color w:val="auto"/>
                <w:w w:val="92"/>
              </w:rPr>
              <w:t>or Programs (a)</w:t>
            </w:r>
          </w:p>
        </w:tc>
        <w:tc>
          <w:tcPr>
            <w:tcW w:w="0" w:type="dxa"/>
            <w:vAlign w:val="bottom"/>
          </w:tcPr>
          <w:p>
            <w:pPr>
              <w:spacing w:after="0"/>
              <w:rPr>
                <w:sz w:val="1"/>
                <w:szCs w:val="1"/>
                <w:color w:val="auto"/>
              </w:rPr>
            </w:pPr>
          </w:p>
        </w:tc>
      </w:tr>
      <w:tr>
        <w:trPr>
          <w:trHeight w:val="220"/>
        </w:trPr>
        <w:tc>
          <w:tcPr>
            <w:tcW w:w="1480" w:type="dxa"/>
            <w:vAlign w:val="bottom"/>
          </w:tcPr>
          <w:p>
            <w:pPr>
              <w:jc w:val="right"/>
              <w:ind w:right="59"/>
              <w:spacing w:after="0"/>
              <w:rPr>
                <w:sz w:val="20"/>
                <w:szCs w:val="20"/>
                <w:color w:val="auto"/>
              </w:rPr>
            </w:pPr>
            <w:r>
              <w:rPr>
                <w:rFonts w:ascii="Arial" w:cs="Arial" w:eastAsia="Arial" w:hAnsi="Arial"/>
                <w:sz w:val="16"/>
                <w:szCs w:val="16"/>
                <w:color w:val="auto"/>
              </w:rPr>
              <w:t>1,482,777</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13.00</w:t>
            </w:r>
          </w:p>
        </w:tc>
        <w:tc>
          <w:tcPr>
            <w:tcW w:w="1020" w:type="dxa"/>
            <w:vAlign w:val="bottom"/>
          </w:tcPr>
          <w:p>
            <w:pPr>
              <w:ind w:left="8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57"/>
        </w:trPr>
        <w:tc>
          <w:tcPr>
            <w:tcW w:w="1480" w:type="dxa"/>
            <w:vAlign w:val="bottom"/>
          </w:tcPr>
          <w:p>
            <w:pPr>
              <w:jc w:val="right"/>
              <w:ind w:right="59"/>
              <w:spacing w:after="0"/>
              <w:rPr>
                <w:sz w:val="20"/>
                <w:szCs w:val="20"/>
                <w:color w:val="auto"/>
              </w:rPr>
            </w:pPr>
            <w:r>
              <w:rPr>
                <w:rFonts w:ascii="Arial" w:cs="Arial" w:eastAsia="Arial" w:hAnsi="Arial"/>
                <w:sz w:val="16"/>
                <w:szCs w:val="16"/>
                <w:color w:val="auto"/>
              </w:rPr>
              <w:t>3,356,200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12.58</w:t>
            </w:r>
          </w:p>
        </w:tc>
        <w:tc>
          <w:tcPr>
            <w:tcW w:w="1020" w:type="dxa"/>
            <w:vAlign w:val="bottom"/>
          </w:tcPr>
          <w:p>
            <w:pPr>
              <w:ind w:left="8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57"/>
        </w:trPr>
        <w:tc>
          <w:tcPr>
            <w:tcW w:w="1480" w:type="dxa"/>
            <w:vAlign w:val="bottom"/>
          </w:tcPr>
          <w:p>
            <w:pPr>
              <w:jc w:val="right"/>
              <w:ind w:right="59"/>
              <w:spacing w:after="0"/>
              <w:rPr>
                <w:sz w:val="20"/>
                <w:szCs w:val="20"/>
                <w:color w:val="auto"/>
              </w:rPr>
            </w:pPr>
            <w:r>
              <w:rPr>
                <w:rFonts w:ascii="Arial" w:cs="Arial" w:eastAsia="Arial" w:hAnsi="Arial"/>
                <w:sz w:val="16"/>
                <w:szCs w:val="16"/>
                <w:color w:val="auto"/>
              </w:rPr>
              <w:t>10,925,981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11.45</w:t>
            </w:r>
          </w:p>
        </w:tc>
        <w:tc>
          <w:tcPr>
            <w:tcW w:w="1020" w:type="dxa"/>
            <w:vAlign w:val="bottom"/>
          </w:tcPr>
          <w:p>
            <w:pPr>
              <w:ind w:left="8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15,764,958</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11.45</w:t>
            </w:r>
          </w:p>
        </w:tc>
        <w:tc>
          <w:tcPr>
            <w:tcW w:w="1020" w:type="dxa"/>
            <w:vAlign w:val="bottom"/>
          </w:tcPr>
          <w:p>
            <w:pPr>
              <w:ind w:left="80"/>
              <w:spacing w:after="0"/>
              <w:rPr>
                <w:sz w:val="20"/>
                <w:szCs w:val="20"/>
                <w:color w:val="auto"/>
              </w:rPr>
            </w:pPr>
            <w:r>
              <w:rPr>
                <w:rFonts w:ascii="Arial" w:cs="Arial" w:eastAsia="Arial" w:hAnsi="Arial"/>
                <w:sz w:val="16"/>
                <w:szCs w:val="16"/>
                <w:color w:val="auto"/>
              </w:rPr>
              <w:t>billion (c)</w:t>
            </w:r>
          </w:p>
        </w:tc>
        <w:tc>
          <w:tcPr>
            <w:tcW w:w="0" w:type="dxa"/>
            <w:vAlign w:val="bottom"/>
          </w:tcPr>
          <w:p>
            <w:pPr>
              <w:spacing w:after="0"/>
              <w:rPr>
                <w:sz w:val="1"/>
                <w:szCs w:val="1"/>
                <w:color w:val="auto"/>
              </w:rPr>
            </w:pPr>
          </w:p>
        </w:tc>
      </w:tr>
      <w:tr>
        <w:trPr>
          <w:trHeight w:val="23"/>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00" w:space="120"/>
            <w:col w:w="3520"/>
          </w:cols>
          <w:pgMar w:left="320" w:top="1107" w:right="339" w:bottom="1440" w:gutter="0" w:footer="0" w:header="0"/>
          <w:type w:val="continuous"/>
        </w:sectPr>
      </w:pPr>
    </w:p>
    <w:p>
      <w:pPr>
        <w:spacing w:after="0" w:line="137" w:lineRule="exact"/>
        <w:rPr>
          <w:sz w:val="20"/>
          <w:szCs w:val="20"/>
          <w:color w:val="auto"/>
        </w:rPr>
      </w:pPr>
    </w:p>
    <w:p>
      <w:pPr>
        <w:ind w:left="340" w:right="120" w:hanging="332"/>
        <w:spacing w:after="0" w:line="308" w:lineRule="auto"/>
        <w:tabs>
          <w:tab w:leader="none" w:pos="337"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open-market purchases during the quarter were made under the authorizations from our board of directors to purchase up to $6.0 billion and $12.0 billion of additional shares of TI common stock announced September 21, 2017 and September 20, 2018, respectively.</w:t>
      </w:r>
    </w:p>
    <w:p>
      <w:pPr>
        <w:spacing w:after="0" w:line="173" w:lineRule="exact"/>
        <w:rPr>
          <w:rFonts w:ascii="Arial" w:cs="Arial" w:eastAsia="Arial" w:hAnsi="Arial"/>
          <w:sz w:val="17"/>
          <w:szCs w:val="17"/>
          <w:color w:val="auto"/>
        </w:rPr>
      </w:pPr>
    </w:p>
    <w:p>
      <w:pPr>
        <w:ind w:left="340" w:right="540" w:hanging="332"/>
        <w:spacing w:after="0" w:line="277"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addition to open-market purchases, 394,560 shares of common stock were surrendered by employees to satisfy tax withholding obligations in connection with the vesting of restricted stock units.</w:t>
      </w:r>
    </w:p>
    <w:p>
      <w:pPr>
        <w:spacing w:after="0" w:line="197" w:lineRule="exact"/>
        <w:rPr>
          <w:rFonts w:ascii="Arial" w:cs="Arial" w:eastAsia="Arial" w:hAnsi="Arial"/>
          <w:sz w:val="18"/>
          <w:szCs w:val="18"/>
          <w:color w:val="auto"/>
        </w:rPr>
      </w:pPr>
    </w:p>
    <w:p>
      <w:pPr>
        <w:ind w:left="340" w:right="140" w:hanging="332"/>
        <w:spacing w:after="0" w:line="277" w:lineRule="auto"/>
        <w:tabs>
          <w:tab w:leader="none" w:pos="3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March 31, 2020, this amount consisted of the remaining portion of the $12.0 billion authorized in September 2018. No expiration date has been specified for this authorization.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6" w:name="page27"/>
    <w:bookmarkEnd w:id="26"/>
    <w:p>
      <w:pPr>
        <w:spacing w:after="0" w:line="196" w:lineRule="auto"/>
        <w:framePr w:w="1440" w:h="160" w:wrap="auto" w:vAnchor="page" w:hAnchor="page" w:x="280" w:y="911"/>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203"/>
        </w:trPr>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Designation of Exhibits</w:t>
            </w: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in This Report</w:t>
            </w:r>
          </w:p>
        </w:tc>
        <w:tc>
          <w:tcPr>
            <w:tcW w:w="9320" w:type="dxa"/>
            <w:vAlign w:val="bottom"/>
            <w:gridSpan w:val="11"/>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20" w:type="dxa"/>
            <w:vAlign w:val="bottom"/>
            <w:tcBorders>
              <w:bottom w:val="single" w:sz="8" w:color="CCEEFF"/>
            </w:tcBorders>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1"/>
              </w:rPr>
              <w:t>3(a)</w:t>
            </w:r>
          </w:p>
        </w:tc>
        <w:tc>
          <w:tcPr>
            <w:tcW w:w="8920" w:type="dxa"/>
            <w:vAlign w:val="bottom"/>
            <w:tcBorders>
              <w:bottom w:val="single" w:sz="8" w:color="0000FF"/>
            </w:tcBorders>
            <w:gridSpan w:val="9"/>
            <w:shd w:val="clear" w:color="auto" w:fill="CCEEFF"/>
          </w:tcPr>
          <w:p>
            <w:pPr>
              <w:spacing w:after="0" w:line="175" w:lineRule="exact"/>
              <w:rPr>
                <w:rFonts w:ascii="Arial" w:cs="Arial" w:eastAsia="Arial" w:hAnsi="Arial"/>
                <w:sz w:val="16"/>
                <w:szCs w:val="16"/>
                <w:color w:val="0000FF"/>
                <w:w w:val="92"/>
              </w:rPr>
            </w:pPr>
            <w:hyperlink r:id="rId60">
              <w:r>
                <w:rPr>
                  <w:rFonts w:ascii="Arial" w:cs="Arial" w:eastAsia="Arial" w:hAnsi="Arial"/>
                  <w:sz w:val="16"/>
                  <w:szCs w:val="16"/>
                  <w:color w:val="0000FF"/>
                  <w:w w:val="92"/>
                </w:rPr>
                <w:t>Restated Certificate of Incorporation of the Registrant, dated April 18, 1985, as amended (incorporated by reference to Exhibit 3(a) of the</w:t>
              </w:r>
            </w:hyperlink>
          </w:p>
        </w:tc>
        <w:tc>
          <w:tcPr>
            <w:tcW w:w="40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920" w:type="dxa"/>
            <w:vAlign w:val="bottom"/>
            <w:vMerge w:val="continue"/>
            <w:shd w:val="clear" w:color="auto" w:fill="CCEEFF"/>
          </w:tcPr>
          <w:p>
            <w:pPr>
              <w:spacing w:after="0"/>
              <w:rPr>
                <w:sz w:val="7"/>
                <w:szCs w:val="7"/>
                <w:color w:val="auto"/>
              </w:rPr>
            </w:pPr>
          </w:p>
        </w:tc>
        <w:tc>
          <w:tcPr>
            <w:tcW w:w="9320" w:type="dxa"/>
            <w:vAlign w:val="bottom"/>
            <w:gridSpan w:val="11"/>
            <w:vMerge w:val="restart"/>
            <w:shd w:val="clear" w:color="auto" w:fill="CCEEFF"/>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Registrant's Annual Report on Form 10-K for the year ended December 31, 2014).</w:t>
              </w:r>
            </w:hyperlink>
          </w:p>
        </w:tc>
        <w:tc>
          <w:tcPr>
            <w:tcW w:w="0" w:type="dxa"/>
            <w:vAlign w:val="bottom"/>
          </w:tcPr>
          <w:p>
            <w:pPr>
              <w:spacing w:after="0"/>
              <w:rPr>
                <w:sz w:val="1"/>
                <w:szCs w:val="1"/>
                <w:color w:val="auto"/>
              </w:rPr>
            </w:pPr>
          </w:p>
        </w:tc>
      </w:tr>
      <w:tr>
        <w:trPr>
          <w:trHeight w:val="60"/>
        </w:trPr>
        <w:tc>
          <w:tcPr>
            <w:tcW w:w="1920" w:type="dxa"/>
            <w:vAlign w:val="bottom"/>
            <w:shd w:val="clear" w:color="auto" w:fill="CCEEFF"/>
          </w:tcPr>
          <w:p>
            <w:pPr>
              <w:spacing w:after="0"/>
              <w:rPr>
                <w:sz w:val="5"/>
                <w:szCs w:val="5"/>
                <w:color w:val="auto"/>
              </w:rPr>
            </w:pPr>
          </w:p>
        </w:tc>
        <w:tc>
          <w:tcPr>
            <w:tcW w:w="9320" w:type="dxa"/>
            <w:vAlign w:val="bottom"/>
            <w:gridSpan w:val="11"/>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20" w:type="dxa"/>
            <w:vAlign w:val="bottom"/>
          </w:tcPr>
          <w:p>
            <w:pPr>
              <w:jc w:val="center"/>
              <w:ind w:right="19"/>
              <w:spacing w:after="0"/>
              <w:rPr>
                <w:sz w:val="20"/>
                <w:szCs w:val="20"/>
                <w:color w:val="auto"/>
              </w:rPr>
            </w:pPr>
            <w:r>
              <w:rPr>
                <w:rFonts w:ascii="Arial" w:cs="Arial" w:eastAsia="Arial" w:hAnsi="Arial"/>
                <w:sz w:val="16"/>
                <w:szCs w:val="16"/>
                <w:color w:val="auto"/>
                <w:w w:val="91"/>
              </w:rPr>
              <w:t>3(b)</w:t>
            </w:r>
          </w:p>
        </w:tc>
        <w:tc>
          <w:tcPr>
            <w:tcW w:w="9320" w:type="dxa"/>
            <w:vAlign w:val="bottom"/>
            <w:gridSpan w:val="11"/>
          </w:tcPr>
          <w:p>
            <w:pPr>
              <w:spacing w:after="0"/>
              <w:rPr>
                <w:rFonts w:ascii="Arial" w:cs="Arial" w:eastAsia="Arial" w:hAnsi="Arial"/>
                <w:sz w:val="16"/>
                <w:szCs w:val="16"/>
                <w:color w:val="0000FF"/>
                <w:w w:val="94"/>
              </w:rPr>
            </w:pPr>
            <w:hyperlink r:id="rId61">
              <w:r>
                <w:rPr>
                  <w:rFonts w:ascii="Arial" w:cs="Arial" w:eastAsia="Arial" w:hAnsi="Arial"/>
                  <w:sz w:val="16"/>
                  <w:szCs w:val="16"/>
                  <w:u w:val="single" w:color="auto"/>
                  <w:color w:val="0000FF"/>
                  <w:w w:val="94"/>
                </w:rPr>
                <w:t>By-Laws of the Registrant (incorporated by reference to Exhibit 3 of the Registrant's Current Report on Form 8-K filed December 12, 2016)</w:t>
              </w:r>
              <w:r>
                <w:rPr>
                  <w:rFonts w:ascii="Arial" w:cs="Arial" w:eastAsia="Arial" w:hAnsi="Arial"/>
                  <w:sz w:val="16"/>
                  <w:szCs w:val="16"/>
                  <w:color w:val="0000FF"/>
                  <w:w w:val="94"/>
                </w:rPr>
                <w:t>.</w:t>
              </w:r>
            </w:hyperlink>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20" w:type="dxa"/>
            <w:vAlign w:val="bottom"/>
            <w:tcBorders>
              <w:bottom w:val="single" w:sz="8" w:color="CCEEFF"/>
            </w:tcBorders>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1"/>
              </w:rPr>
              <w:t>4(a)</w:t>
            </w:r>
          </w:p>
        </w:tc>
        <w:tc>
          <w:tcPr>
            <w:tcW w:w="8920" w:type="dxa"/>
            <w:vAlign w:val="bottom"/>
            <w:tcBorders>
              <w:bottom w:val="single" w:sz="8" w:color="0000FF"/>
            </w:tcBorders>
            <w:gridSpan w:val="9"/>
            <w:shd w:val="clear" w:color="auto" w:fill="CCEEFF"/>
          </w:tcPr>
          <w:p>
            <w:pPr>
              <w:spacing w:after="0" w:line="175" w:lineRule="exact"/>
              <w:rPr>
                <w:rFonts w:ascii="Arial" w:cs="Arial" w:eastAsia="Arial" w:hAnsi="Arial"/>
                <w:sz w:val="16"/>
                <w:szCs w:val="16"/>
                <w:color w:val="0000FF"/>
                <w:w w:val="92"/>
              </w:rPr>
            </w:pPr>
            <w:hyperlink r:id="rId62">
              <w:r>
                <w:rPr>
                  <w:rFonts w:ascii="Arial" w:cs="Arial" w:eastAsia="Arial" w:hAnsi="Arial"/>
                  <w:sz w:val="16"/>
                  <w:szCs w:val="16"/>
                  <w:color w:val="0000FF"/>
                  <w:w w:val="92"/>
                </w:rPr>
                <w:t>Officer's Certificate, dated March 12, 2020 (incorporated by reference to Exhibit 4.1 of the Registrant's Current Report on Form 8-K filed</w:t>
              </w:r>
            </w:hyperlink>
          </w:p>
        </w:tc>
        <w:tc>
          <w:tcPr>
            <w:tcW w:w="40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920" w:type="dxa"/>
            <w:vAlign w:val="bottom"/>
            <w:vMerge w:val="continue"/>
            <w:shd w:val="clear" w:color="auto" w:fill="CCEEFF"/>
          </w:tcPr>
          <w:p>
            <w:pPr>
              <w:spacing w:after="0"/>
              <w:rPr>
                <w:sz w:val="7"/>
                <w:szCs w:val="7"/>
                <w:color w:val="auto"/>
              </w:rPr>
            </w:pPr>
          </w:p>
        </w:tc>
        <w:tc>
          <w:tcPr>
            <w:tcW w:w="9320" w:type="dxa"/>
            <w:vAlign w:val="bottom"/>
            <w:gridSpan w:val="11"/>
            <w:vMerge w:val="restart"/>
            <w:shd w:val="clear" w:color="auto" w:fill="CCEEFF"/>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March 12, 2020).</w:t>
              </w:r>
            </w:hyperlink>
          </w:p>
        </w:tc>
        <w:tc>
          <w:tcPr>
            <w:tcW w:w="0" w:type="dxa"/>
            <w:vAlign w:val="bottom"/>
          </w:tcPr>
          <w:p>
            <w:pPr>
              <w:spacing w:after="0"/>
              <w:rPr>
                <w:sz w:val="1"/>
                <w:szCs w:val="1"/>
                <w:color w:val="auto"/>
              </w:rPr>
            </w:pPr>
          </w:p>
        </w:tc>
      </w:tr>
      <w:tr>
        <w:trPr>
          <w:trHeight w:val="60"/>
        </w:trPr>
        <w:tc>
          <w:tcPr>
            <w:tcW w:w="1920" w:type="dxa"/>
            <w:vAlign w:val="bottom"/>
            <w:shd w:val="clear" w:color="auto" w:fill="CCEEFF"/>
          </w:tcPr>
          <w:p>
            <w:pPr>
              <w:spacing w:after="0"/>
              <w:rPr>
                <w:sz w:val="5"/>
                <w:szCs w:val="5"/>
                <w:color w:val="auto"/>
              </w:rPr>
            </w:pPr>
          </w:p>
        </w:tc>
        <w:tc>
          <w:tcPr>
            <w:tcW w:w="9320" w:type="dxa"/>
            <w:vAlign w:val="bottom"/>
            <w:gridSpan w:val="11"/>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20" w:type="dxa"/>
            <w:vAlign w:val="bottom"/>
          </w:tcPr>
          <w:p>
            <w:pPr>
              <w:jc w:val="center"/>
              <w:ind w:right="19"/>
              <w:spacing w:after="0"/>
              <w:rPr>
                <w:sz w:val="20"/>
                <w:szCs w:val="20"/>
                <w:color w:val="auto"/>
              </w:rPr>
            </w:pPr>
            <w:r>
              <w:rPr>
                <w:rFonts w:ascii="Arial" w:cs="Arial" w:eastAsia="Arial" w:hAnsi="Arial"/>
                <w:sz w:val="16"/>
                <w:szCs w:val="16"/>
                <w:color w:val="auto"/>
                <w:w w:val="90"/>
              </w:rPr>
              <w:t>31(a)</w:t>
            </w:r>
          </w:p>
        </w:tc>
        <w:tc>
          <w:tcPr>
            <w:tcW w:w="9320" w:type="dxa"/>
            <w:vAlign w:val="bottom"/>
            <w:gridSpan w:val="11"/>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Certification of Chief Executive Officer of Periodic Report Pursuant to Rule 13a-14(a) or Rule 15d-14(a).†</w:t>
              </w:r>
            </w:hyperlink>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w w:val="90"/>
              </w:rPr>
              <w:t>31(b)</w:t>
            </w:r>
          </w:p>
        </w:tc>
        <w:tc>
          <w:tcPr>
            <w:tcW w:w="932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Certification of Chief Financial Officer of Periodic Report Pursuant to Rule 13a-14(a) or Rule 15d-14(a).†</w:t>
              </w:r>
            </w:hyperlink>
          </w:p>
        </w:tc>
        <w:tc>
          <w:tcPr>
            <w:tcW w:w="0" w:type="dxa"/>
            <w:vAlign w:val="bottom"/>
          </w:tcPr>
          <w:p>
            <w:pPr>
              <w:spacing w:after="0"/>
              <w:rPr>
                <w:sz w:val="1"/>
                <w:szCs w:val="1"/>
                <w:color w:val="auto"/>
              </w:rPr>
            </w:pPr>
          </w:p>
        </w:tc>
      </w:tr>
      <w:tr>
        <w:trPr>
          <w:trHeight w:val="224"/>
        </w:trPr>
        <w:tc>
          <w:tcPr>
            <w:tcW w:w="1920" w:type="dxa"/>
            <w:vAlign w:val="bottom"/>
          </w:tcPr>
          <w:p>
            <w:pPr>
              <w:jc w:val="center"/>
              <w:ind w:right="19"/>
              <w:spacing w:after="0"/>
              <w:rPr>
                <w:sz w:val="20"/>
                <w:szCs w:val="20"/>
                <w:color w:val="auto"/>
              </w:rPr>
            </w:pPr>
            <w:r>
              <w:rPr>
                <w:rFonts w:ascii="Arial" w:cs="Arial" w:eastAsia="Arial" w:hAnsi="Arial"/>
                <w:sz w:val="16"/>
                <w:szCs w:val="16"/>
                <w:color w:val="auto"/>
                <w:w w:val="90"/>
              </w:rPr>
              <w:t>32(a)</w:t>
            </w:r>
          </w:p>
        </w:tc>
        <w:tc>
          <w:tcPr>
            <w:tcW w:w="9320" w:type="dxa"/>
            <w:vAlign w:val="bottom"/>
            <w:gridSpan w:val="11"/>
          </w:tcPr>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Certification by Chief Executive Officer of Periodic Report Pursuant to 18 U.S.C. Section 1350.†</w:t>
              </w:r>
            </w:hyperlink>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w w:val="90"/>
              </w:rPr>
              <w:t>32(b)</w:t>
            </w:r>
          </w:p>
        </w:tc>
        <w:tc>
          <w:tcPr>
            <w:tcW w:w="9320" w:type="dxa"/>
            <w:vAlign w:val="bottom"/>
            <w:tcBorders>
              <w:bottom w:val="single" w:sz="8" w:color="CCEEFF"/>
            </w:tcBorders>
            <w:gridSpan w:val="11"/>
            <w:shd w:val="clear" w:color="auto" w:fill="CCEEFF"/>
          </w:tcPr>
          <w:p>
            <w:pP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Certification by Chief Financial Officer of Periodic Report Pursuant to 18 U.S.C. Section 1350.†</w:t>
              </w:r>
            </w:hyperlink>
          </w:p>
        </w:tc>
        <w:tc>
          <w:tcPr>
            <w:tcW w:w="0" w:type="dxa"/>
            <w:vAlign w:val="bottom"/>
          </w:tcPr>
          <w:p>
            <w:pPr>
              <w:spacing w:after="0"/>
              <w:rPr>
                <w:sz w:val="1"/>
                <w:szCs w:val="1"/>
                <w:color w:val="auto"/>
              </w:rPr>
            </w:pPr>
          </w:p>
        </w:tc>
      </w:tr>
      <w:tr>
        <w:trPr>
          <w:trHeight w:val="189"/>
        </w:trPr>
        <w:tc>
          <w:tcPr>
            <w:tcW w:w="1920" w:type="dxa"/>
            <w:vAlign w:val="bottom"/>
            <w:vMerge w:val="restart"/>
          </w:tcPr>
          <w:p>
            <w:pPr>
              <w:jc w:val="center"/>
              <w:ind w:right="39"/>
              <w:spacing w:after="0"/>
              <w:rPr>
                <w:sz w:val="20"/>
                <w:szCs w:val="20"/>
                <w:color w:val="auto"/>
              </w:rPr>
            </w:pPr>
            <w:r>
              <w:rPr>
                <w:rFonts w:ascii="Arial" w:cs="Arial" w:eastAsia="Arial" w:hAnsi="Arial"/>
                <w:sz w:val="16"/>
                <w:szCs w:val="16"/>
                <w:color w:val="auto"/>
                <w:w w:val="92"/>
              </w:rPr>
              <w:t>101.ins</w:t>
            </w:r>
          </w:p>
        </w:tc>
        <w:tc>
          <w:tcPr>
            <w:tcW w:w="9320" w:type="dxa"/>
            <w:vAlign w:val="bottom"/>
            <w:gridSpan w:val="11"/>
          </w:tcPr>
          <w:p>
            <w:pPr>
              <w:spacing w:after="0"/>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109"/>
        </w:trPr>
        <w:tc>
          <w:tcPr>
            <w:tcW w:w="1920" w:type="dxa"/>
            <w:vAlign w:val="bottom"/>
            <w:vMerge w:val="continue"/>
          </w:tcPr>
          <w:p>
            <w:pPr>
              <w:spacing w:after="0"/>
              <w:rPr>
                <w:sz w:val="9"/>
                <w:szCs w:val="9"/>
                <w:color w:val="auto"/>
              </w:rPr>
            </w:pPr>
          </w:p>
        </w:tc>
        <w:tc>
          <w:tcPr>
            <w:tcW w:w="9080" w:type="dxa"/>
            <w:vAlign w:val="bottom"/>
            <w:tcBorders>
              <w:top w:val="single" w:sz="8" w:color="auto"/>
            </w:tcBorders>
            <w:gridSpan w:val="10"/>
            <w:vMerge w:val="restart"/>
          </w:tcPr>
          <w:p>
            <w:pPr>
              <w:spacing w:after="0" w:line="183" w:lineRule="exact"/>
              <w:rPr>
                <w:sz w:val="20"/>
                <w:szCs w:val="20"/>
                <w:color w:val="auto"/>
              </w:rPr>
            </w:pPr>
            <w:r>
              <w:rPr>
                <w:rFonts w:ascii="Arial" w:cs="Arial" w:eastAsia="Arial" w:hAnsi="Arial"/>
                <w:sz w:val="16"/>
                <w:szCs w:val="16"/>
                <w:color w:val="auto"/>
              </w:rPr>
              <w:t>the Inline XBRL document.†</w:t>
            </w:r>
          </w:p>
        </w:tc>
        <w:tc>
          <w:tcPr>
            <w:tcW w:w="2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20" w:type="dxa"/>
            <w:vAlign w:val="bottom"/>
          </w:tcPr>
          <w:p>
            <w:pPr>
              <w:spacing w:after="0"/>
              <w:rPr>
                <w:sz w:val="6"/>
                <w:szCs w:val="6"/>
                <w:color w:val="auto"/>
              </w:rPr>
            </w:pPr>
          </w:p>
        </w:tc>
        <w:tc>
          <w:tcPr>
            <w:tcW w:w="9080" w:type="dxa"/>
            <w:vAlign w:val="bottom"/>
            <w:gridSpan w:val="10"/>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9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3"/>
              </w:rPr>
              <w:t>101.def</w:t>
            </w:r>
          </w:p>
        </w:tc>
        <w:tc>
          <w:tcPr>
            <w:tcW w:w="932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189"/>
        </w:trPr>
        <w:tc>
          <w:tcPr>
            <w:tcW w:w="1920" w:type="dxa"/>
            <w:vAlign w:val="bottom"/>
            <w:tcBorders>
              <w:top w:val="single" w:sz="8" w:color="CCEEFF"/>
            </w:tcBorders>
          </w:tcPr>
          <w:p>
            <w:pPr>
              <w:jc w:val="center"/>
              <w:ind w:right="19"/>
              <w:spacing w:after="0"/>
              <w:rPr>
                <w:sz w:val="20"/>
                <w:szCs w:val="20"/>
                <w:color w:val="auto"/>
              </w:rPr>
            </w:pPr>
            <w:r>
              <w:rPr>
                <w:rFonts w:ascii="Arial" w:cs="Arial" w:eastAsia="Arial" w:hAnsi="Arial"/>
                <w:sz w:val="16"/>
                <w:szCs w:val="16"/>
                <w:color w:val="auto"/>
                <w:w w:val="89"/>
              </w:rPr>
              <w:t>101.sch</w:t>
            </w:r>
          </w:p>
        </w:tc>
        <w:tc>
          <w:tcPr>
            <w:tcW w:w="402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XBRL Taxonomy Extension Schema Document.†</w:t>
            </w:r>
          </w:p>
        </w:tc>
        <w:tc>
          <w:tcPr>
            <w:tcW w:w="5300" w:type="dxa"/>
            <w:vAlign w:val="bottom"/>
            <w:tcBorders>
              <w:top w:val="single" w:sz="8" w:color="CCEEFF"/>
            </w:tcBorders>
            <w:gridSpan w:val="6"/>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2"/>
              </w:rPr>
              <w:t>101.cal</w:t>
            </w:r>
          </w:p>
        </w:tc>
        <w:tc>
          <w:tcPr>
            <w:tcW w:w="932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1920" w:type="dxa"/>
            <w:vAlign w:val="bottom"/>
            <w:tcBorders>
              <w:top w:val="single" w:sz="8" w:color="CCEEFF"/>
            </w:tcBorders>
          </w:tcPr>
          <w:p>
            <w:pPr>
              <w:jc w:val="center"/>
              <w:ind w:right="39"/>
              <w:spacing w:after="0"/>
              <w:rPr>
                <w:sz w:val="20"/>
                <w:szCs w:val="20"/>
                <w:color w:val="auto"/>
              </w:rPr>
            </w:pPr>
            <w:r>
              <w:rPr>
                <w:rFonts w:ascii="Arial" w:cs="Arial" w:eastAsia="Arial" w:hAnsi="Arial"/>
                <w:sz w:val="16"/>
                <w:szCs w:val="16"/>
                <w:color w:val="auto"/>
                <w:w w:val="91"/>
              </w:rPr>
              <w:t>101.lab</w:t>
            </w:r>
          </w:p>
        </w:tc>
        <w:tc>
          <w:tcPr>
            <w:tcW w:w="410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XBRL Taxonomy Extension Label Linkbase Document.†</w:t>
            </w:r>
          </w:p>
        </w:tc>
        <w:tc>
          <w:tcPr>
            <w:tcW w:w="5220" w:type="dxa"/>
            <w:vAlign w:val="bottom"/>
            <w:tcBorders>
              <w:top w:val="single" w:sz="8" w:color="CCEEFF"/>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101.pre</w:t>
            </w:r>
          </w:p>
        </w:tc>
        <w:tc>
          <w:tcPr>
            <w:tcW w:w="9320" w:type="dxa"/>
            <w:vAlign w:val="bottom"/>
            <w:gridSpan w:val="11"/>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48"/>
        </w:trPr>
        <w:tc>
          <w:tcPr>
            <w:tcW w:w="19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13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35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920" w:hanging="1136"/>
        <w:spacing w:after="0"/>
        <w:tabs>
          <w:tab w:leader="none" w:pos="1920"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Cover Page Interactive Data File (embedded within the Inline XBRL document).†</w:t>
      </w:r>
    </w:p>
    <w:p>
      <w:pPr>
        <w:spacing w:after="0" w:line="72" w:lineRule="exact"/>
        <w:rPr>
          <w:rFonts w:ascii="Arial" w:cs="Arial" w:eastAsia="Arial" w:hAnsi="Arial"/>
          <w:sz w:val="16"/>
          <w:szCs w:val="16"/>
          <w:color w:val="auto"/>
        </w:rPr>
      </w:pPr>
    </w:p>
    <w:p>
      <w:pPr>
        <w:ind w:left="140" w:hanging="114"/>
        <w:spacing w:after="0"/>
        <w:tabs>
          <w:tab w:leader="none" w:pos="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660" w:hanging="329"/>
        <w:spacing w:after="0" w:line="308" w:lineRule="auto"/>
        <w:tabs>
          <w:tab w:leader="none" w:pos="6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38" w:lineRule="exact"/>
        <w:rPr>
          <w:rFonts w:ascii="Arial" w:cs="Arial" w:eastAsia="Arial" w:hAnsi="Arial"/>
          <w:sz w:val="17"/>
          <w:szCs w:val="17"/>
          <w:color w:val="auto"/>
        </w:rPr>
      </w:pPr>
    </w:p>
    <w:p>
      <w:pPr>
        <w:ind w:left="620" w:hanging="329"/>
        <w:spacing w:after="0" w:line="277"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117" w:lineRule="exact"/>
        <w:rPr>
          <w:rFonts w:ascii="Arial" w:cs="Arial" w:eastAsia="Arial" w:hAnsi="Arial"/>
          <w:sz w:val="18"/>
          <w:szCs w:val="18"/>
          <w:color w:val="auto"/>
        </w:rPr>
      </w:pPr>
    </w:p>
    <w:p>
      <w:pPr>
        <w:ind w:left="620" w:right="260" w:hanging="329"/>
        <w:spacing w:after="0" w:line="277"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spacing w:after="0" w:line="62" w:lineRule="exact"/>
        <w:rPr>
          <w:rFonts w:ascii="Arial" w:cs="Arial" w:eastAsia="Arial" w:hAnsi="Arial"/>
          <w:sz w:val="18"/>
          <w:szCs w:val="18"/>
          <w:color w:val="auto"/>
        </w:rPr>
      </w:pPr>
    </w:p>
    <w:p>
      <w:pPr>
        <w:ind w:left="620" w:right="1000" w:hanging="329"/>
        <w:spacing w:after="0" w:line="277"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20" w:right="100" w:hanging="329"/>
        <w:spacing w:after="0" w:line="277"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620" w:right="600" w:hanging="329"/>
        <w:spacing w:after="0" w:line="277"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2" w:lineRule="exact"/>
        <w:rPr>
          <w:rFonts w:ascii="Arial" w:cs="Arial" w:eastAsia="Arial" w:hAnsi="Arial"/>
          <w:sz w:val="18"/>
          <w:szCs w:val="18"/>
          <w:color w:val="auto"/>
        </w:rPr>
      </w:pPr>
    </w:p>
    <w:p>
      <w:pPr>
        <w:ind w:left="620" w:hanging="329"/>
        <w:spacing w:after="0" w:line="308" w:lineRule="auto"/>
        <w:tabs>
          <w:tab w:leader="none" w:pos="6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620" w:hanging="329"/>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disputes with significant distributors;</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28" w:lineRule="exact"/>
        <w:rPr>
          <w:rFonts w:ascii="Arial" w:cs="Arial" w:eastAsia="Arial" w:hAnsi="Arial"/>
          <w:sz w:val="17"/>
          <w:szCs w:val="17"/>
          <w:color w:val="auto"/>
        </w:rPr>
      </w:pPr>
    </w:p>
    <w:p>
      <w:pPr>
        <w:ind w:left="620" w:right="40" w:hanging="329"/>
        <w:spacing w:after="0" w:line="277"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8" w:name="page29"/>
    <w:bookmarkEnd w:id="28"/>
    <w:p>
      <w:pPr>
        <w:ind w:left="620" w:hanging="32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03" w:right="499" w:bottom="1440" w:gutter="0" w:footer="0" w:header="0"/>
        </w:sectPr>
      </w:pPr>
    </w:p>
    <w:bookmarkStart w:id="29" w:name="page30"/>
    <w:bookmarkEnd w:id="29"/>
    <w:p>
      <w:pPr>
        <w:ind w:left="51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TEXAS INSTRUMENTS INCORPORATED</w:t>
      </w:r>
    </w:p>
    <w:p>
      <w:pPr>
        <w:spacing w:after="0" w:line="320" w:lineRule="exact"/>
        <w:rPr>
          <w:sz w:val="20"/>
          <w:szCs w:val="20"/>
          <w:color w:val="auto"/>
        </w:rPr>
      </w:pPr>
    </w:p>
    <w:p>
      <w:pPr>
        <w:ind w:left="668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31750</wp:posOffset>
            </wp:positionV>
            <wp:extent cx="24434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Rafael R. Lizardi</w:t>
      </w:r>
    </w:p>
    <w:p>
      <w:pPr>
        <w:spacing w:after="0" w:line="6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2020</w:t>
      </w:r>
    </w:p>
    <w:p>
      <w:pPr>
        <w:sectPr>
          <w:pgSz w:w="11900" w:h="16838" w:orient="portrait"/>
          <w:cols w:equalWidth="0" w:num="1">
            <w:col w:w="10340"/>
          </w:cols>
          <w:pgMar w:left="320" w:top="895" w:right="1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12"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92"/>
        <w:spacing w:after="0" w:line="25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2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60" w:hanging="492"/>
        <w:spacing w:after="0" w:line="289"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2020</w:t>
      </w:r>
    </w:p>
    <w:p>
      <w:pPr>
        <w:spacing w:after="0" w:line="27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31750</wp:posOffset>
            </wp:positionV>
            <wp:extent cx="1954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89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92"/>
        <w:spacing w:after="0" w:line="25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2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486"/>
        <w:spacing w:after="0" w:line="263" w:lineRule="auto"/>
        <w:tabs>
          <w:tab w:leader="none" w:pos="9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40" w:hanging="492"/>
        <w:spacing w:after="0" w:line="289"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2020</w:t>
      </w:r>
    </w:p>
    <w:p>
      <w:pPr>
        <w:spacing w:after="0" w:line="279"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31750</wp:posOffset>
            </wp:positionV>
            <wp:extent cx="1954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7"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Richard K. Templeton, the Chairman, President and Chief Executive Officer of Texas Instruments Incorporated (the “Company”), hereby certifies that, to his knowledge:</w:t>
      </w:r>
    </w:p>
    <w:p>
      <w:pPr>
        <w:spacing w:after="0" w:line="184" w:lineRule="exact"/>
        <w:rPr>
          <w:sz w:val="20"/>
          <w:szCs w:val="20"/>
          <w:color w:val="auto"/>
        </w:rPr>
      </w:pPr>
    </w:p>
    <w:p>
      <w:pPr>
        <w:ind w:right="20" w:firstLine="494"/>
        <w:spacing w:after="0" w:line="342" w:lineRule="auto"/>
        <w:tabs>
          <w:tab w:leader="none" w:pos="7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2020,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April 22, 2020</w:t>
      </w:r>
    </w:p>
    <w:p>
      <w:pPr>
        <w:spacing w:after="0" w:line="4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31750</wp:posOffset>
            </wp:positionV>
            <wp:extent cx="1954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89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9"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24" w:lineRule="exact"/>
        <w:rPr>
          <w:sz w:val="20"/>
          <w:szCs w:val="20"/>
          <w:color w:val="auto"/>
        </w:rPr>
      </w:pPr>
    </w:p>
    <w:p>
      <w:pPr>
        <w:ind w:right="20" w:firstLine="494"/>
        <w:spacing w:after="0" w:line="342" w:lineRule="auto"/>
        <w:tabs>
          <w:tab w:leader="none" w:pos="70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2020,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April 22, 2020</w:t>
      </w:r>
    </w:p>
    <w:p>
      <w:pPr>
        <w:spacing w:after="0" w:line="49"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31750</wp:posOffset>
            </wp:positionV>
            <wp:extent cx="19545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7"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9"/>
      <w:numFmt w:val="bullet"/>
      <w:start w:val="1"/>
    </w:lvl>
  </w:abstractNum>
  <w:abstractNum w:abstractNumId="3">
    <w:nsid w:val="4E6AFB66"/>
    <w:multiLevelType w:val="hybridMultilevel"/>
    <w:lvl w:ilvl="0">
      <w:lvlJc w:val="left"/>
      <w:lvlText w:val="8"/>
      <w:numFmt w:val="bullet"/>
      <w:start w:val="1"/>
    </w:lvl>
  </w:abstractNum>
  <w:abstractNum w:abstractNumId="4">
    <w:nsid w:val="25E45D32"/>
    <w:multiLevelType w:val="hybridMultilevel"/>
    <w:lvl w:ilvl="0">
      <w:lvlJc w:val="left"/>
      <w:lvlText w:val="2"/>
      <w:numFmt w:val="bullet"/>
      <w:start w:val="1"/>
    </w:lvl>
  </w:abstractNum>
  <w:abstractNum w:abstractNumId="5">
    <w:nsid w:val="519B500D"/>
    <w:multiLevelType w:val="hybridMultilevel"/>
    <w:lvl w:ilvl="0">
      <w:lvlJc w:val="left"/>
      <w:lvlText w:val="%1"/>
      <w:numFmt w:val="decimal"/>
      <w:start w:val="19"/>
    </w:lvl>
  </w:abstractNum>
  <w:abstractNum w:abstractNumId="6">
    <w:nsid w:val="431BD7B7"/>
    <w:multiLevelType w:val="hybridMultilevel"/>
    <w:lvl w:ilvl="0">
      <w:lvlJc w:val="left"/>
      <w:lvlText w:val="%1"/>
      <w:numFmt w:val="decimal"/>
      <w:start w:val="8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1."/>
      <w:numFmt w:val="decimal"/>
      <w:start w:val="3"/>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5"/>
    </w:lvl>
  </w:abstractNum>
  <w:abstractNum w:abstractNumId="15">
    <w:nsid w:val="2443A858"/>
    <w:multiLevelType w:val="hybridMultilevel"/>
    <w:lvl w:ilvl="0">
      <w:lvlJc w:val="left"/>
      <w:lvlText w:val="%1."/>
      <w:numFmt w:val="decimal"/>
      <w:start w:val="6"/>
    </w:lvl>
  </w:abstractNum>
  <w:abstractNum w:abstractNumId="16">
    <w:nsid w:val="2D1D5AE9"/>
    <w:multiLevelType w:val="hybridMultilevel"/>
    <w:lvl w:ilvl="0">
      <w:lvlJc w:val="left"/>
      <w:lvlText w:val="%1."/>
      <w:numFmt w:val="decimal"/>
      <w:start w:val="7"/>
    </w:lvl>
  </w:abstractNum>
  <w:abstractNum w:abstractNumId="17">
    <w:nsid w:val="6763845E"/>
    <w:multiLevelType w:val="hybridMultilevel"/>
    <w:lvl w:ilvl="0">
      <w:lvlJc w:val="left"/>
      <w:lvlText w:val="%1."/>
      <w:numFmt w:val="decimal"/>
      <w:start w:val="10"/>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lvl w:ilvl="1">
      <w:lvlJc w:val="left"/>
      <w:lvlText w:val="◦"/>
      <w:numFmt w:val="bullet"/>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
      <w:numFmt w:val="bullet"/>
      <w:start w:val="1"/>
    </w:lvl>
    <w:lvl w:ilvl="1">
      <w:lvlJc w:val="left"/>
      <w:lvlText w:val="%2"/>
      <w:numFmt w:val="decimal"/>
      <w:start w:val="104"/>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60" Type="http://schemas.openxmlformats.org/officeDocument/2006/relationships/hyperlink" Target="http://www.sec.gov/Archives/edgar/data/97476/000009747615000003/txn-12312014xexhibit3a.htm" TargetMode="External"/><Relationship Id="rId61" Type="http://schemas.openxmlformats.org/officeDocument/2006/relationships/hyperlink" Target="http://www.sec.gov/Archives/edgar/data/97476/000156459016030135/txn-ex3_6.htm" TargetMode="External"/><Relationship Id="rId62" Type="http://schemas.openxmlformats.org/officeDocument/2006/relationships/hyperlink" Target="http://www.sec.gov/Archives/edgar/data/97476/000119312520071568/d88394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2020-04-22T08:42:21Z</dcterms:created>
  <dcterms:modified xsi:type="dcterms:W3CDTF">2020-04-22T08:42:21Z</dcterms:modified>
</cp:coreProperties>
</file>