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382270</wp:posOffset>
            </wp:positionV>
            <wp:extent cx="29159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600"/>
        <w:spacing w:after="0"/>
        <w:rPr>
          <w:sz w:val="20"/>
          <w:szCs w:val="20"/>
          <w:color w:val="auto"/>
        </w:rPr>
      </w:pPr>
      <w:r>
        <w:rPr>
          <w:rFonts w:ascii="Arial" w:cs="Arial" w:eastAsia="Arial" w:hAnsi="Arial"/>
          <w:sz w:val="17"/>
          <w:szCs w:val="17"/>
          <w:b w:val="1"/>
          <w:bCs w:val="1"/>
          <w:color w:val="auto"/>
        </w:rPr>
        <w:t>DATE OF REPORT (DATE OF EARLIEST EVENT REPORTED): June 8,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401955</wp:posOffset>
            </wp:positionV>
            <wp:extent cx="29159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377825</wp:posOffset>
            </wp:positionV>
            <wp:extent cx="2915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Registrant's news release dated June 8, 2010, regarding the Registrant's outlook for the second quarter of 2010 attached hereto as Exhibit 99 is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37"/>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102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1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Registrant’s News Release</w:t>
            </w:r>
          </w:p>
        </w:tc>
      </w:tr>
      <w:tr>
        <w:trPr>
          <w:trHeight w:val="230"/>
        </w:trPr>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June 8, 2010 (furnished pursuant to Item 7.01)</w:t>
            </w: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52" w:lineRule="exact"/>
        <w:rPr>
          <w:rFonts w:ascii="Arial" w:cs="Arial" w:eastAsia="Arial" w:hAnsi="Arial"/>
          <w:sz w:val="18"/>
          <w:szCs w:val="18"/>
          <w:color w:val="auto"/>
        </w:rPr>
      </w:pPr>
    </w:p>
    <w:p>
      <w:pPr>
        <w:ind w:left="720" w:right="380" w:hanging="334"/>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720" w:right="680" w:hanging="334"/>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720" w:right="140" w:hanging="334"/>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720" w:right="340" w:hanging="334"/>
        <w:spacing w:after="0" w:line="342" w:lineRule="auto"/>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0" w:lineRule="exact"/>
        <w:rPr>
          <w:rFonts w:ascii="Arial" w:cs="Arial" w:eastAsia="Arial" w:hAnsi="Arial"/>
          <w:sz w:val="16"/>
          <w:szCs w:val="16"/>
          <w:color w:val="auto"/>
        </w:rPr>
      </w:pPr>
    </w:p>
    <w:p>
      <w:pPr>
        <w:ind w:left="720" w:hanging="334"/>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63" w:lineRule="exact"/>
        <w:rPr>
          <w:rFonts w:ascii="Arial" w:cs="Arial" w:eastAsia="Arial" w:hAnsi="Arial"/>
          <w:sz w:val="17"/>
          <w:szCs w:val="17"/>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720" w:right="320" w:hanging="334"/>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ectPr>
          <w:pgSz w:w="11900" w:h="16838" w:orient="portrait"/>
          <w:cols w:equalWidth="0" w:num="1">
            <w:col w:w="11420"/>
          </w:cols>
          <w:pgMar w:left="240" w:top="368" w:right="239" w:bottom="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June 8,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368"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updates second-quarter 2010 business outlook</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website at 4 p.m. Central time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www.ti.com/ir</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DALLAS (June 8, 2010) – In a scheduled update to its business outlook for the second quarter of 2010, Texas Instruments Incorporated (TI) (NYSE: TXN) today revised its expected ranges for revenue and earnings per share (EPS).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its financial results to fall within the following ranges:</w:t>
      </w:r>
    </w:p>
    <w:p>
      <w:pPr>
        <w:spacing w:after="0" w:line="252"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$3.45 – $3.59 billion, compared with the prior range of $3.31 – $3.59 billion</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$0.60 – $0.64, compared with the prior range of $0.56 – $0.64.</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will hold a conference call at 4 p.m. Central time today to discuss this update. This conference call will be available live at www.ti.com/ir. TI’s original second-quarter outlook was published in the company’s first-quarter 2010 earnings release on April 26, available at www.ti.com/ir. TI’s second quarter ends on June 30.</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3"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right="20" w:hanging="139"/>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release are made only as of the date of this release, and the Company undertakes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Texas Instruments (NYSE: TXN) helps customers solve problems and develop new electronics that make the world smarter, healthier, safer, greener and more fun. A global semiconductor company, TI innovates through design, sales and manufacturing operations in more than 30 countries. For more information, go to www.ti.com.</w:t>
      </w:r>
    </w:p>
    <w:sectPr>
      <w:pgSz w:w="11900" w:h="16838" w:orient="portrait"/>
      <w:cols w:equalWidth="0" w:num="1">
        <w:col w:w="11420"/>
      </w:cols>
      <w:pgMar w:left="240" w:top="125" w:right="239" w:bottom="77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2019-12-10T03:38:51Z</dcterms:created>
  <dcterms:modified xsi:type="dcterms:W3CDTF">2019-12-10T03:38:51Z</dcterms:modified>
</cp:coreProperties>
</file>