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Washington, D.C.</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9"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OF THE SECURITIES EXCHANGE ACT OF 1934</w:t>
      </w:r>
    </w:p>
    <w:p>
      <w:pPr>
        <w:sectPr>
          <w:pgSz w:w="11900" w:h="16875" w:orient="portrait"/>
          <w:cols w:equalWidth="0" w:num="1">
            <w:col w:w="11340"/>
          </w:cols>
          <w:pgMar w:left="240" w:top="247" w:right="319" w:bottom="0" w:gutter="0" w:footer="0" w:header="0"/>
        </w:sect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Quarter Ended June 30, 1996</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ectPr>
          <w:pgSz w:w="11900" w:h="16875" w:orient="portrait"/>
          <w:cols w:equalWidth="0" w:num="2">
            <w:col w:w="3720" w:space="720"/>
            <w:col w:w="6900"/>
          </w:cols>
          <w:pgMar w:left="240" w:top="247" w:right="319" w:bottom="0" w:gutter="0" w:footer="0" w:header="0"/>
          <w:type w:val="continuous"/>
        </w:sectPr>
      </w:pPr>
    </w:p>
    <w:p>
      <w:pPr>
        <w:spacing w:after="0" w:line="399"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TEXAS INSTRUMENTS INCORPORATED</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75" w:orient="portrait"/>
          <w:cols w:equalWidth="0" w:num="1">
            <w:col w:w="11340"/>
          </w:cols>
          <w:pgMar w:left="240" w:top="247" w:right="319" w:bottom="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75-0289970</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75" w:orient="portrait"/>
          <w:cols w:equalWidth="0" w:num="2">
            <w:col w:w="3600" w:space="720"/>
            <w:col w:w="7020"/>
          </w:cols>
          <w:pgMar w:left="240" w:top="247" w:right="319" w:bottom="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20"/>
                <w:szCs w:val="20"/>
                <w:color w:val="auto"/>
              </w:rPr>
            </w:pPr>
            <w:r>
              <w:rPr>
                <w:rFonts w:ascii="Courier New" w:cs="Courier New" w:eastAsia="Courier New" w:hAnsi="Courier New"/>
                <w:sz w:val="17"/>
                <w:szCs w:val="17"/>
                <w:color w:val="auto"/>
              </w:rPr>
              <w:t>13500 North Central Expressway, P.O. Box 655474, Dallas, Texas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75265-5474</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4280" w:type="dxa"/>
            <w:vAlign w:val="bottom"/>
          </w:tcPr>
          <w:p>
            <w:pPr>
              <w:ind w:left="60"/>
              <w:spacing w:after="0"/>
              <w:rPr>
                <w:sz w:val="20"/>
                <w:szCs w:val="20"/>
                <w:color w:val="auto"/>
              </w:rPr>
            </w:pPr>
            <w:r>
              <w:rPr>
                <w:rFonts w:ascii="Courier New" w:cs="Courier New" w:eastAsia="Courier New" w:hAnsi="Courier New"/>
                <w:sz w:val="17"/>
                <w:szCs w:val="17"/>
                <w:color w:val="auto"/>
              </w:rPr>
              <w:t>principal executive offices)</w:t>
            </w:r>
          </w:p>
        </w:tc>
        <w:tc>
          <w:tcPr>
            <w:tcW w:w="1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(Zip</w:t>
            </w:r>
          </w:p>
        </w:tc>
        <w:tc>
          <w:tcPr>
            <w:tcW w:w="620" w:type="dxa"/>
            <w:vAlign w:val="bottom"/>
          </w:tcPr>
          <w:p>
            <w:pPr>
              <w:spacing w:after="0"/>
              <w:rPr>
                <w:sz w:val="20"/>
                <w:szCs w:val="20"/>
                <w:color w:val="auto"/>
              </w:rPr>
            </w:pPr>
            <w:r>
              <w:rPr>
                <w:rFonts w:ascii="Courier New" w:cs="Courier New" w:eastAsia="Courier New" w:hAnsi="Courier New"/>
                <w:sz w:val="17"/>
                <w:szCs w:val="17"/>
                <w:color w:val="auto"/>
              </w:rPr>
              <w:t>Code)</w:t>
            </w:r>
          </w:p>
        </w:tc>
      </w:tr>
      <w:tr>
        <w:trPr>
          <w:trHeight w:val="594"/>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Registrant's telephone number, including area code 214-995-3773</w:t>
            </w:r>
          </w:p>
        </w:tc>
        <w:tc>
          <w:tcPr>
            <w:tcW w:w="620" w:type="dxa"/>
            <w:vAlign w:val="bottom"/>
          </w:tcPr>
          <w:p>
            <w:pPr>
              <w:spacing w:after="0"/>
              <w:rPr>
                <w:sz w:val="24"/>
                <w:szCs w:val="24"/>
                <w:color w:val="auto"/>
              </w:rPr>
            </w:pPr>
          </w:p>
        </w:tc>
      </w:tr>
      <w:tr>
        <w:trPr>
          <w:trHeight w:val="198"/>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6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check mark whether the Registrant (1) has filed all reports</w:t>
            </w:r>
          </w:p>
        </w:tc>
        <w:tc>
          <w:tcPr>
            <w:tcW w:w="620" w:type="dxa"/>
            <w:vAlign w:val="bottom"/>
          </w:tcPr>
          <w:p>
            <w:pPr>
              <w:spacing w:after="0"/>
              <w:rPr>
                <w:sz w:val="24"/>
                <w:szCs w:val="24"/>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6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be filed by Section 13 or 15(d) of the Securities Exchange</w:t>
            </w:r>
          </w:p>
        </w:tc>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Act of</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1934 during</w:t>
            </w:r>
          </w:p>
        </w:tc>
        <w:tc>
          <w:tcPr>
            <w:tcW w:w="67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preceding 12 months (or for such shorter period that the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w:t>
      </w:r>
    </w:p>
    <w:p>
      <w:pPr>
        <w:spacing w:after="0" w:line="5" w:lineRule="exact"/>
        <w:rPr>
          <w:sz w:val="24"/>
          <w:szCs w:val="24"/>
          <w:color w:val="auto"/>
        </w:rPr>
      </w:pPr>
    </w:p>
    <w:p>
      <w:pPr>
        <w:spacing w:after="0"/>
        <w:tabs>
          <w:tab w:leader="none" w:pos="4920" w:val="left"/>
          <w:tab w:leader="none" w:pos="5540" w:val="left"/>
          <w:tab w:leader="none" w:pos="6060" w:val="left"/>
        </w:tabs>
        <w:rPr>
          <w:sz w:val="20"/>
          <w:szCs w:val="20"/>
          <w:color w:val="auto"/>
        </w:rPr>
      </w:pPr>
      <w:r>
        <w:rPr>
          <w:rFonts w:ascii="Courier New" w:cs="Courier New" w:eastAsia="Courier New" w:hAnsi="Courier New"/>
          <w:sz w:val="17"/>
          <w:szCs w:val="17"/>
          <w:color w:val="auto"/>
        </w:rPr>
        <w:t>such filing requirements for the past 90 days.</w:t>
        <w:tab/>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5460"/>
        <w:spacing w:after="0"/>
        <w:tabs>
          <w:tab w:leader="none" w:pos="6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189,584,085</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 as of June 30, 1996</w:t>
      </w:r>
    </w:p>
    <w:p>
      <w:pPr>
        <w:spacing w:after="0" w:line="200" w:lineRule="exact"/>
        <w:rPr>
          <w:sz w:val="24"/>
          <w:szCs w:val="24"/>
          <w:color w:val="auto"/>
        </w:rPr>
      </w:pPr>
    </w:p>
    <w:p>
      <w:pPr>
        <w:spacing w:after="0" w:line="399"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PART I - FINANCIAL INFORMATION</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5500" w:type="dxa"/>
            <w:vAlign w:val="bottom"/>
            <w:gridSpan w:val="3"/>
          </w:tcPr>
          <w:p>
            <w:pPr>
              <w:jc w:val="right"/>
              <w:ind w:right="37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Consolidated Financial</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Statements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 millions of dollars, except</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per-share amounts.)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94"/>
        </w:trPr>
        <w:tc>
          <w:tcPr>
            <w:tcW w:w="3300" w:type="dxa"/>
            <w:vAlign w:val="bottom"/>
          </w:tcPr>
          <w:p>
            <w:pPr>
              <w:spacing w:after="0"/>
              <w:rPr>
                <w:sz w:val="24"/>
                <w:szCs w:val="24"/>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620" w:type="dxa"/>
            <w:vAlign w:val="bottom"/>
          </w:tcPr>
          <w:p>
            <w:pPr>
              <w:ind w:left="260"/>
              <w:spacing w:after="0"/>
              <w:rPr>
                <w:sz w:val="20"/>
                <w:szCs w:val="20"/>
                <w:color w:val="auto"/>
              </w:rPr>
            </w:pPr>
            <w:r>
              <w:rPr>
                <w:rFonts w:ascii="Courier New" w:cs="Courier New" w:eastAsia="Courier New" w:hAnsi="Courier New"/>
                <w:sz w:val="17"/>
                <w:szCs w:val="17"/>
                <w:color w:val="auto"/>
              </w:rPr>
              <w:t>For</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w:t>
            </w: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254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June 30</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June 30</w:t>
            </w:r>
          </w:p>
        </w:tc>
        <w:tc>
          <w:tcPr>
            <w:tcW w:w="150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June 30</w:t>
            </w:r>
          </w:p>
        </w:tc>
        <w:tc>
          <w:tcPr>
            <w:tcW w:w="10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3"/>
                <w:szCs w:val="13"/>
                <w:color w:val="auto"/>
                <w:w w:val="71"/>
              </w:rPr>
              <w:t>Net revenues...............................................</w:t>
            </w: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2,845</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$ 3,238</w:t>
            </w:r>
          </w:p>
        </w:tc>
        <w:tc>
          <w:tcPr>
            <w:tcW w:w="620" w:type="dxa"/>
            <w:vAlign w:val="bottom"/>
          </w:tcPr>
          <w:p>
            <w:pPr>
              <w:ind w:left="48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5,921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6,099</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Cost of revenues.........................................</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2,061</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2,148</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4,248</w:t>
            </w:r>
          </w:p>
        </w:tc>
        <w:tc>
          <w:tcPr>
            <w:tcW w:w="260" w:type="dxa"/>
            <w:vAlign w:val="bottom"/>
          </w:tcPr>
          <w:p>
            <w:pPr>
              <w:spacing w:after="0"/>
              <w:rPr>
                <w:sz w:val="17"/>
                <w:szCs w:val="17"/>
                <w:color w:val="auto"/>
              </w:rPr>
            </w:pP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4,050</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Research and development.................................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253</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215</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516</w:t>
            </w:r>
          </w:p>
        </w:tc>
        <w:tc>
          <w:tcPr>
            <w:tcW w:w="260" w:type="dxa"/>
            <w:vAlign w:val="bottom"/>
          </w:tcPr>
          <w:p>
            <w:pPr>
              <w:spacing w:after="0"/>
              <w:rPr>
                <w:sz w:val="17"/>
                <w:szCs w:val="17"/>
                <w:color w:val="auto"/>
              </w:rPr>
            </w:pP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428</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Marketing, general and administrative....................</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435</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472</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864</w:t>
            </w:r>
          </w:p>
        </w:tc>
        <w:tc>
          <w:tcPr>
            <w:tcW w:w="260" w:type="dxa"/>
            <w:vAlign w:val="bottom"/>
          </w:tcPr>
          <w:p>
            <w:pPr>
              <w:spacing w:after="0"/>
              <w:rPr>
                <w:sz w:val="17"/>
                <w:szCs w:val="17"/>
                <w:color w:val="auto"/>
              </w:rPr>
            </w:pP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874</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Total..................................................</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2,749</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2,835</w:t>
            </w:r>
          </w:p>
        </w:tc>
        <w:tc>
          <w:tcPr>
            <w:tcW w:w="62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5,628</w:t>
            </w:r>
          </w:p>
        </w:tc>
        <w:tc>
          <w:tcPr>
            <w:tcW w:w="260" w:type="dxa"/>
            <w:vAlign w:val="bottom"/>
          </w:tcPr>
          <w:p>
            <w:pPr>
              <w:spacing w:after="0"/>
              <w:rPr>
                <w:sz w:val="17"/>
                <w:szCs w:val="17"/>
                <w:color w:val="auto"/>
              </w:rPr>
            </w:pPr>
          </w:p>
        </w:tc>
        <w:tc>
          <w:tcPr>
            <w:tcW w:w="7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5,352</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r>
    </w:tbl>
    <w:p>
      <w:pPr>
        <w:sectPr>
          <w:pgSz w:w="11900" w:h="16875" w:orient="portrait"/>
          <w:cols w:equalWidth="0" w:num="1">
            <w:col w:w="11340"/>
          </w:cols>
          <w:pgMar w:left="240" w:top="247" w:right="3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Profit from operations.....................................</w:t>
            </w:r>
          </w:p>
        </w:tc>
        <w:tc>
          <w:tcPr>
            <w:tcW w:w="32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96</w:t>
            </w:r>
          </w:p>
        </w:tc>
        <w:tc>
          <w:tcPr>
            <w:tcW w:w="40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403</w:t>
            </w:r>
          </w:p>
        </w:tc>
        <w:tc>
          <w:tcPr>
            <w:tcW w:w="620" w:type="dxa"/>
            <w:vAlign w:val="bottom"/>
          </w:tcPr>
          <w:p>
            <w:pPr>
              <w:spacing w:after="0"/>
              <w:rPr>
                <w:sz w:val="16"/>
                <w:szCs w:val="16"/>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293</w:t>
            </w:r>
          </w:p>
        </w:tc>
        <w:tc>
          <w:tcPr>
            <w:tcW w:w="36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747</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64</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25</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92</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410</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332</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758</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132</w:t>
            </w: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250</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76</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239</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0.39</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1.23</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0.17</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0.17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0.34</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0.295</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provided by operating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625</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Additions to property, plant and equipment...........................................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(1,162)</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(522)</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Purchases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(400)</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Sales and maturities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160</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445</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Proceeds from sale of business.......................................................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132</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used in investing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(880)</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(477)</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Additions to long-term debt..........................................................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417</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Dividends paid on common stock.......................................................</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(64)</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Sales and other common stock transactions............................................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Other................................................................................</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cash provided by financing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414</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r>
      <w:tr>
        <w:trPr>
          <w:trHeight w:val="396"/>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Effect of exchange rate changes on cash................................................</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w:t>
            </w:r>
          </w:p>
        </w:tc>
        <w:tc>
          <w:tcPr>
            <w:tcW w:w="36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Net increase (decrease) in cash and cash equivalents...................................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(386)</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207</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Cash and cash equivalents, January 1...................................................</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1,364</w:t>
            </w:r>
          </w:p>
        </w:tc>
        <w:tc>
          <w:tcPr>
            <w:tcW w:w="3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760</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spacing w:after="0"/>
              <w:rPr>
                <w:sz w:val="20"/>
                <w:szCs w:val="20"/>
                <w:color w:val="auto"/>
              </w:rPr>
            </w:pPr>
            <w:r>
              <w:rPr>
                <w:rFonts w:ascii="Courier New" w:cs="Courier New" w:eastAsia="Courier New" w:hAnsi="Courier New"/>
                <w:sz w:val="17"/>
                <w:szCs w:val="17"/>
                <w:color w:val="auto"/>
                <w:w w:val="75"/>
              </w:rPr>
              <w:t>Cash and cash equivalents, June 30.....................................................</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978</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967</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June 30</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Dec. 31</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26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978</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$ 1,364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Short-term investments.............................................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39</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189</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$58 million in 1996 and $45 million in 1995......................</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1,976</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2,320</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Raw materials....................................................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246</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299</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Work in process..................................................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716</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Finished goods...................................................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397</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progress billings...........................................</w:t>
            </w:r>
          </w:p>
        </w:tc>
        <w:tc>
          <w:tcPr>
            <w:tcW w:w="26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(204)</w:t>
            </w: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(205)</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Inventories (net of progress billings).........................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1,155</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1,135</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59</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492</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453</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4,699</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5,518</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at cost................................</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6,534</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5,631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(2,639)</w:t>
            </w: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(2,444)</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3,895</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3,187</w:t>
            </w:r>
          </w:p>
        </w:tc>
      </w:tr>
      <w:tr>
        <w:trPr>
          <w:trHeight w:val="198"/>
        </w:trPr>
        <w:tc>
          <w:tcPr>
            <w:tcW w:w="7260" w:type="dxa"/>
            <w:vAlign w:val="bottom"/>
          </w:tcPr>
          <w:p>
            <w:pPr>
              <w:spacing w:after="0"/>
              <w:rPr>
                <w:sz w:val="17"/>
                <w:szCs w:val="17"/>
                <w:color w:val="auto"/>
              </w:rPr>
            </w:pPr>
          </w:p>
        </w:tc>
        <w:tc>
          <w:tcPr>
            <w:tcW w:w="13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142" w:right="4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60" w:type="dxa"/>
            <w:vAlign w:val="bottom"/>
          </w:tcPr>
          <w:p>
            <w:pPr>
              <w:spacing w:after="0"/>
              <w:rPr>
                <w:sz w:val="16"/>
                <w:szCs w:val="16"/>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237</w:t>
            </w:r>
          </w:p>
        </w:tc>
        <w:tc>
          <w:tcPr>
            <w:tcW w:w="420" w:type="dxa"/>
            <w:vAlign w:val="bottom"/>
          </w:tcPr>
          <w:p>
            <w:pPr>
              <w:spacing w:after="0"/>
              <w:rPr>
                <w:sz w:val="16"/>
                <w:szCs w:val="16"/>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229</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410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$ 9,241</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$ 9,215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931</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1,110</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Accrued and other current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1,516</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2,051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2,530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3,188</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Long-term debt.......................................................</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1,223</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retirement costs.............................................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849</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credits and other liabilities...............................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360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327</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Common stock, $1 par value. Authorized - 500,000,000 shares.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issued: 1996 - 189,725,689; 1995 - 189,526,939............</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190</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Paid-in capital....................................................</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1,088</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3,055</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2,881</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Less treasury common stock at cost.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1996 - 141,604; 1995 - 138,129...........................</w:t>
            </w:r>
          </w:p>
        </w:tc>
        <w:tc>
          <w:tcPr>
            <w:tcW w:w="3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w:t>
            </w:r>
          </w:p>
        </w:tc>
        <w:tc>
          <w:tcPr>
            <w:tcW w:w="3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stockholders' equity.......................................</w:t>
            </w:r>
          </w:p>
        </w:tc>
        <w:tc>
          <w:tcPr>
            <w:tcW w:w="3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4,279</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$ 9,241</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$ 9,215</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(194.6 and 193.4 million shares for the second quarters of 1996 and 1995, and 194.4 and 192.3 million shares for the six months ended June 30, 1996 and 1995). Shares issuable upon exercise of dilutive stock options and upon conversion of dilutive convertible debentures are included in average common and common equivalent shares outstanding.</w:t>
      </w:r>
    </w:p>
    <w:p>
      <w:pPr>
        <w:spacing w:after="0" w:line="202"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In the first quarter of 1996, the company issued $300 million of 6.125 percent notes due 2006.</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Beginning in 1996, the company has made reclassifications to its statement of income to conform with current industry practices. Research and development expense, which was previously included in cost of revenues, is now presented separately. Also, employees' retirement and profit sharing plans expense, previously separately reported, is now allocated throughout operating costs and expenses, consistent with other employee benefit costs. Prior year amounts have been reclassified to conform with the 1996 presentation.</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Financial results for the third quarter of 1996 will reflect the purchase of Silicon Systems Inc., which was acquired in July via a stock purchase agreement for $340 million in cash plus the assumption of a $235 million long term note to TDK Corp. of Japan. The cash payment was initially financed by a draw down on TI's existing line of bank credit. The company is considering various alternatives for permanent financing. TI expects to take a one-time charge in the third quarter for the value of acquired in-process R&amp;D, estimated to be approximately $180 million, or $0.95 per share. There is no tax offset associated with this one-time charge.</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statements of income, statements of cash flows and balance sheet at June 30, 1996, are not audited but reflect all adjustments which are of a normal recurring nature and are, in the opinion of management, necessary to a fair statement of the results of the periods shown.</w:t>
      </w:r>
    </w:p>
    <w:p>
      <w:pPr>
        <w:sectPr>
          <w:pgSz w:w="11900" w:h="16838" w:orient="portrait"/>
          <w:cols w:equalWidth="0" w:num="1">
            <w:col w:w="10219"/>
          </w:cols>
          <w:pgMar w:left="240" w:top="142" w:right="1440" w:bottom="69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Continued sharp price declines for dynamic random access memory (DRAM) chips and lower semiconductor royalty revenues adversely affected the financial performance of the Registrant (the "company" or "TI") during the second quarter of 1996.</w:t>
      </w:r>
    </w:p>
    <w:p>
      <w:pPr>
        <w:spacing w:after="0" w:line="200"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 contrast to the difficult memory market environment, TI's mixed signal and application specific products, which include digital signal processors and application specific integrated circuits (ASICs), achieved record revenues during the quarter.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Net revenues for the second quarter of 1996 were $2845 million, down 12 percent from the second quarter of 1995, and down sequentially from the first quarter of 1996. The decrease resulted primarily from the continued decline in DRAM prices and lower semiconductor royalty revenues.</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Profit from operations for the second quarter was $96 million, compared with $403 million in the second quarter of 1995. Net income for the quarter was $76 million, compared with $278 million in the second quarter of 1995. Earnings per share were $0.39, compared with $1.44 in the second quarter of 1995.</w:t>
      </w: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Revenues in the second quarter of 1996 versus the year-ago period were up in all TI businesses except semiconductors. Revenues of differentiated semiconductor products were ahead of the year-ago period and up slightly from the first quarter of 1996, but not enough to offset the sharp decline in DRAM prices. As a result, total semiconductor orders, revenues and profits were down substantially from year-ago and first quarter 1996 levels, which negatively impacted TI's second quarter results.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Average DRAM unit prices were down 65-75 percent in the second quarter of 1996, compared with the year-ago period, and 40-50 percent from the first quarter of 1996. At the same time, R&amp;D investments for next-generation products and costs associated with ramping of 16-megabit production at TI's Avezzano, Italy, facility have increased, resulting in a loss in TI's memory operations.</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TI's joint ventures, which share in the risks and rewards of DRAM production, help reduce the effect of market volatility on TI. However, as in the first quarter of 1996, these supply arrangements were not able to fully comprehend the sharp decline in average unit prices in the second quarter of 1996.</w:t>
      </w:r>
    </w:p>
    <w:p>
      <w:pPr>
        <w:spacing w:after="0" w:line="201"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Demand for mature logic products remains soft, and pricing pressures have increased.</w:t>
      </w:r>
    </w:p>
    <w:p>
      <w:pPr>
        <w:spacing w:after="0" w:line="19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memory correction continues with signs of industry production in excess of current demand. However, unit demand for memory has remained strong, and lower DRAM prices should stimulate increased memory content per computer. In this environment, with uncertain near-term visibility, TI is taking the following actions:</w:t>
      </w: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left="520" w:right="3519" w:hanging="206"/>
        <w:spacing w:after="0" w:line="247" w:lineRule="auto"/>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Trimming back selectively on semiconductor capital equipment expenditures;</w:t>
      </w:r>
    </w:p>
    <w:p>
      <w:pPr>
        <w:spacing w:after="0" w:line="197" w:lineRule="exact"/>
        <w:rPr>
          <w:rFonts w:ascii="Courier New" w:cs="Courier New" w:eastAsia="Courier New" w:hAnsi="Courier New"/>
          <w:sz w:val="17"/>
          <w:szCs w:val="17"/>
          <w:color w:val="auto"/>
        </w:rPr>
      </w:pPr>
    </w:p>
    <w:p>
      <w:pPr>
        <w:ind w:left="520" w:right="2899" w:hanging="206"/>
        <w:spacing w:after="0" w:line="247" w:lineRule="auto"/>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Emphasizing development of 0.35-micron, 16-megabit DRAMs and next-generation DRAMs; and</w:t>
      </w:r>
    </w:p>
    <w:p>
      <w:pPr>
        <w:spacing w:after="0" w:line="197" w:lineRule="exact"/>
        <w:rPr>
          <w:rFonts w:ascii="Courier New" w:cs="Courier New" w:eastAsia="Courier New" w:hAnsi="Courier New"/>
          <w:sz w:val="17"/>
          <w:szCs w:val="17"/>
          <w:color w:val="auto"/>
        </w:rPr>
      </w:pPr>
    </w:p>
    <w:p>
      <w:pPr>
        <w:ind w:left="520" w:hanging="206"/>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Strengthening the long-term focus on digital signal processing</w:t>
      </w:r>
    </w:p>
    <w:p>
      <w:pPr>
        <w:sectPr>
          <w:pgSz w:w="11900" w:h="16838" w:orient="portrait"/>
          <w:cols w:equalWidth="0" w:num="1">
            <w:col w:w="10219"/>
          </w:cols>
          <w:pgMar w:left="240" w:top="1440" w:right="1440" w:bottom="0" w:gutter="0" w:footer="0" w:header="0"/>
        </w:sectPr>
      </w:pPr>
    </w:p>
    <w:bookmarkStart w:id="4" w:name="page5"/>
    <w:bookmarkEnd w:id="4"/>
    <w:p>
      <w:pPr>
        <w:ind w:left="520" w:right="2499"/>
        <w:spacing w:after="0" w:line="246" w:lineRule="auto"/>
        <w:rPr>
          <w:sz w:val="20"/>
          <w:szCs w:val="20"/>
          <w:color w:val="auto"/>
        </w:rPr>
      </w:pPr>
      <w:r>
        <w:rPr>
          <w:rFonts w:ascii="Courier New" w:cs="Courier New" w:eastAsia="Courier New" w:hAnsi="Courier New"/>
          <w:sz w:val="17"/>
          <w:szCs w:val="17"/>
          <w:color w:val="auto"/>
        </w:rPr>
        <w:t>solutions (DSPS) with the recent acquisition of Silicon Systems Inc. (SSi), a leading supplier of components to the mass storage industry; and through the recent Tartan Inc. acquisition, doubling TI's software support for DSP customers.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SYSTEMS &amp; ELECTRONICS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Revenues in TI's defense systems and electronics business increased slightly in the second quarter of 1996 versus the year-ago period. The business continued to maintain stable margins. During the quarter, the first deployment was made to U.S. operational forces of Javelin anti-tank missile systems from the TI/Martin Marietta joint venture. This First Unit Equipped (FUE) status is an important milestone for this breakthrough "fire-and-forget" infantry anti-tank weapon system.</w:t>
      </w:r>
    </w:p>
    <w:p>
      <w:pPr>
        <w:spacing w:after="0" w:line="20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Demand for Paveway precision-guided weapons continued to expand during the quarter with international customers now in 28 countries and additional systems being purchased for the U.S. Navy. TI's move toward commercial practices is resulting in lower costs to the customer, and helping to extend and broaden the market for this product.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Revenues in TI's materials and controls business were up slightly from the second quarter of 1995. Margins were stable with year-ago levels. TI's electronics-based sensor activities continue to grow, and new TI Registration and Identification (TIRIS)( applications are being developed in radio frequency sports timing, security and automotive anti-theft systems.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PERSONAL PRODUCTIVITY PRODUCTS</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Revenues in TI's personal productivity products business were up substantially from the second quarter of 1995, reflecting revenues that more than doubled for mobile computing products, and continued success in the instructional calculator market.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EMERGING OPPORTUNITIES</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TI is continuing to invest in emerging opportunities that provide higher value added digital solutions, such as Digital Light Processing( (DLP)(. Costs associated with production ramp-up of initial products for the commercial projection market were higher than expected and will remain at a high level in the second half of 1996.</w:t>
      </w:r>
    </w:p>
    <w:p>
      <w:pPr>
        <w:spacing w:after="0" w:line="201" w:lineRule="exact"/>
        <w:rPr>
          <w:sz w:val="20"/>
          <w:szCs w:val="20"/>
          <w:color w:val="auto"/>
        </w:rPr>
      </w:pPr>
    </w:p>
    <w:p>
      <w:pPr>
        <w:ind w:right="2999"/>
        <w:spacing w:after="0" w:line="246" w:lineRule="auto"/>
        <w:rPr>
          <w:sz w:val="20"/>
          <w:szCs w:val="20"/>
          <w:color w:val="auto"/>
        </w:rPr>
      </w:pPr>
      <w:r>
        <w:rPr>
          <w:rFonts w:ascii="Courier New" w:cs="Courier New" w:eastAsia="Courier New" w:hAnsi="Courier New"/>
          <w:sz w:val="17"/>
          <w:szCs w:val="17"/>
          <w:color w:val="auto"/>
        </w:rPr>
        <w:t>TI software business revenues were up over the second quarter of 1995, primarily due to higher software sales in the Americas. The joint TI/Microsoft project to develop an industry standard repository</w:t>
      </w: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right="2699"/>
        <w:spacing w:after="0" w:line="247" w:lineRule="auto"/>
        <w:rPr>
          <w:sz w:val="20"/>
          <w:szCs w:val="20"/>
          <w:color w:val="auto"/>
        </w:rPr>
      </w:pPr>
      <w:r>
        <w:rPr>
          <w:rFonts w:ascii="Courier New" w:cs="Courier New" w:eastAsia="Courier New" w:hAnsi="Courier New"/>
          <w:sz w:val="17"/>
          <w:szCs w:val="17"/>
          <w:color w:val="auto"/>
        </w:rPr>
        <w:t>specification for software components has been completed and TI is moving forward with the development of products incorporating this standard.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Because of imbalances in the worldwide DRAM market and recent weakness in end equipment demand reported by some major producers, TI expects competitive pressures for semiconductors to continue in the near term. Although bit growth remains strong, the memory market will be down sharply in 1996 versus 1995, because of significantly lower DRAM prices. As a result, the total semiconductor market is expected to decline in 1996.</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this environment, TI continues to emphasize system-level design activity to support customers' electronic end equipment, particularly in mass storage, networking and wireless communications. With the need to maintain appropriate investments in next-generation products, the company expects little or no improvement in the near-term financial performance of its semiconductor business.</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The recent acquisition of SSi provides the opportunity to couple TI's DSP leadership, manufacturing capacity and process technology with SSi's design capability and systems expertise in mixed signal/analog circuits. TI believes this combination will strengthen its DSPS strategy and broaden the number of functions that can be integrated onto single chips.</w:t>
      </w: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Financial results for the third quarter of 1996 will reflect the purchase of SSi, which was acquired in July. TI expects to take a one-time charge for the value of acquired in-process R&amp;D, estimated to be approximately $180 million, or $0.95 per share. There is no tax offset associated with this one-time charge.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longer-term outlook for the world semiconductor market remains positive,</w:t>
      </w:r>
    </w:p>
    <w:p>
      <w:pPr>
        <w:sectPr>
          <w:pgSz w:w="11900" w:h="16838" w:orient="portrait"/>
          <w:cols w:equalWidth="0" w:num="1">
            <w:col w:w="10219"/>
          </w:cols>
          <w:pgMar w:left="240" w:top="142" w:right="1440" w:bottom="0" w:gutter="0" w:footer="0" w:header="0"/>
        </w:sectPr>
      </w:pPr>
    </w:p>
    <w:bookmarkStart w:id="5" w:name="page6"/>
    <w:bookmarkEnd w:id="5"/>
    <w:p>
      <w:pPr>
        <w:ind w:right="2499"/>
        <w:spacing w:after="0" w:line="246" w:lineRule="auto"/>
        <w:rPr>
          <w:sz w:val="20"/>
          <w:szCs w:val="20"/>
          <w:color w:val="auto"/>
        </w:rPr>
      </w:pPr>
      <w:r>
        <w:rPr>
          <w:rFonts w:ascii="Courier New" w:cs="Courier New" w:eastAsia="Courier New" w:hAnsi="Courier New"/>
          <w:sz w:val="17"/>
          <w:szCs w:val="17"/>
          <w:color w:val="auto"/>
        </w:rPr>
        <w:t>and consumption is expected to double over the next five years, exceeding $300 billion. The Asia-Pacific region remains a major long-term opportunity. TI is well-positioned there and plans to continue to strengthen its base in this strategic area of the world, which could become one of the largest consumers of semiconductors in the 21st century.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20" w:type="dxa"/>
            <w:vAlign w:val="bottom"/>
          </w:tcPr>
          <w:p>
            <w:pPr>
              <w:spacing w:after="0"/>
              <w:rPr>
                <w:sz w:val="16"/>
                <w:szCs w:val="16"/>
                <w:color w:val="auto"/>
              </w:rPr>
            </w:pP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Change in orders,</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980" w:type="dxa"/>
            <w:vAlign w:val="bottom"/>
          </w:tcPr>
          <w:p>
            <w:pPr>
              <w:ind w:left="460"/>
              <w:spacing w:after="0"/>
              <w:rPr>
                <w:sz w:val="20"/>
                <w:szCs w:val="20"/>
                <w:color w:val="auto"/>
              </w:rPr>
            </w:pPr>
            <w:r>
              <w:rPr>
                <w:rFonts w:ascii="Courier New" w:cs="Courier New" w:eastAsia="Courier New" w:hAnsi="Courier New"/>
                <w:sz w:val="17"/>
                <w:szCs w:val="17"/>
                <w:color w:val="auto"/>
              </w:rPr>
              <w:t>2Q96</w:t>
            </w:r>
          </w:p>
        </w:tc>
        <w:tc>
          <w:tcPr>
            <w:tcW w:w="1700" w:type="dxa"/>
            <w:vAlign w:val="bottom"/>
          </w:tcPr>
          <w:p>
            <w:pPr>
              <w:spacing w:after="0"/>
              <w:rPr>
                <w:sz w:val="20"/>
                <w:szCs w:val="20"/>
                <w:color w:val="auto"/>
              </w:rPr>
            </w:pPr>
            <w:r>
              <w:rPr>
                <w:rFonts w:ascii="Courier New" w:cs="Courier New" w:eastAsia="Courier New" w:hAnsi="Courier New"/>
                <w:sz w:val="17"/>
                <w:szCs w:val="17"/>
                <w:color w:val="auto"/>
              </w:rPr>
              <w:t>vs. 2Q95</w:t>
            </w:r>
          </w:p>
        </w:tc>
        <w:tc>
          <w:tcPr>
            <w:tcW w:w="760" w:type="dxa"/>
            <w:vAlign w:val="bottom"/>
          </w:tcPr>
          <w:p>
            <w:pPr>
              <w:ind w:left="260"/>
              <w:spacing w:after="0"/>
              <w:rPr>
                <w:sz w:val="20"/>
                <w:szCs w:val="20"/>
                <w:color w:val="auto"/>
              </w:rPr>
            </w:pPr>
            <w:r>
              <w:rPr>
                <w:rFonts w:ascii="Courier New" w:cs="Courier New" w:eastAsia="Courier New" w:hAnsi="Courier New"/>
                <w:sz w:val="17"/>
                <w:szCs w:val="17"/>
                <w:color w:val="auto"/>
              </w:rPr>
              <w:t>2Q96</w:t>
            </w:r>
          </w:p>
        </w:tc>
        <w:tc>
          <w:tcPr>
            <w:tcW w:w="2060" w:type="dxa"/>
            <w:vAlign w:val="bottom"/>
          </w:tcPr>
          <w:p>
            <w:pPr>
              <w:spacing w:after="0"/>
              <w:rPr>
                <w:sz w:val="20"/>
                <w:szCs w:val="20"/>
                <w:color w:val="auto"/>
              </w:rPr>
            </w:pPr>
            <w:r>
              <w:rPr>
                <w:rFonts w:ascii="Courier New" w:cs="Courier New" w:eastAsia="Courier New" w:hAnsi="Courier New"/>
                <w:sz w:val="17"/>
                <w:szCs w:val="17"/>
                <w:color w:val="auto"/>
              </w:rPr>
              <w:t>vs. 2Q95</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w:t>
            </w:r>
          </w:p>
        </w:tc>
        <w:tc>
          <w:tcPr>
            <w:tcW w:w="282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9"/>
              </w:rPr>
              <w:t>-----------------------</w:t>
            </w:r>
          </w:p>
        </w:tc>
      </w:tr>
      <w:tr>
        <w:trPr>
          <w:trHeight w:val="594"/>
        </w:trPr>
        <w:tc>
          <w:tcPr>
            <w:tcW w:w="222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46%</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down 17%</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Defense Systems &amp;</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5%</w:t>
            </w:r>
          </w:p>
        </w:tc>
        <w:tc>
          <w:tcPr>
            <w:tcW w:w="760" w:type="dxa"/>
            <w:vAlign w:val="bottom"/>
          </w:tcPr>
          <w:p>
            <w:pPr>
              <w:ind w:left="260"/>
              <w:spacing w:after="0"/>
              <w:rPr>
                <w:sz w:val="20"/>
                <w:szCs w:val="20"/>
                <w:color w:val="auto"/>
              </w:rPr>
            </w:pPr>
            <w:r>
              <w:rPr>
                <w:rFonts w:ascii="Courier New" w:cs="Courier New" w:eastAsia="Courier New" w:hAnsi="Courier New"/>
                <w:sz w:val="17"/>
                <w:szCs w:val="17"/>
                <w:color w:val="auto"/>
                <w:w w:val="94"/>
              </w:rPr>
              <w:t>up 4%</w:t>
            </w:r>
          </w:p>
        </w:tc>
        <w:tc>
          <w:tcPr>
            <w:tcW w:w="2060" w:type="dxa"/>
            <w:vAlign w:val="bottom"/>
          </w:tcPr>
          <w:p>
            <w:pPr>
              <w:spacing w:after="0"/>
              <w:rPr>
                <w:sz w:val="17"/>
                <w:szCs w:val="17"/>
                <w:color w:val="auto"/>
              </w:rPr>
            </w:pPr>
          </w:p>
        </w:tc>
      </w:tr>
      <w:tr>
        <w:trPr>
          <w:trHeight w:val="198"/>
        </w:trPr>
        <w:tc>
          <w:tcPr>
            <w:tcW w:w="2220" w:type="dxa"/>
            <w:vAlign w:val="bottom"/>
          </w:tcPr>
          <w:p>
            <w:pPr>
              <w:ind w:left="220"/>
              <w:spacing w:after="0"/>
              <w:rPr>
                <w:sz w:val="20"/>
                <w:szCs w:val="20"/>
                <w:color w:val="auto"/>
              </w:rPr>
            </w:pPr>
            <w:r>
              <w:rPr>
                <w:rFonts w:ascii="Courier New" w:cs="Courier New" w:eastAsia="Courier New" w:hAnsi="Courier New"/>
                <w:sz w:val="17"/>
                <w:szCs w:val="17"/>
                <w:color w:val="auto"/>
              </w:rPr>
              <w:t>Electronics</w:t>
            </w: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5%</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down 5%</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36%</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down 12%</w:t>
            </w:r>
          </w:p>
        </w:tc>
      </w:tr>
      <w:tr>
        <w:trPr>
          <w:trHeight w:val="594"/>
        </w:trPr>
        <w:tc>
          <w:tcPr>
            <w:tcW w:w="2220" w:type="dxa"/>
            <w:vAlign w:val="bottom"/>
          </w:tcPr>
          <w:p>
            <w:pPr>
              <w:spacing w:after="0"/>
              <w:rPr>
                <w:sz w:val="24"/>
                <w:szCs w:val="24"/>
                <w:color w:val="auto"/>
              </w:rPr>
            </w:pP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Change in orders,</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1H96 vs. 1H95</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1H96 vs. 1H95</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w:t>
            </w:r>
          </w:p>
        </w:tc>
        <w:tc>
          <w:tcPr>
            <w:tcW w:w="282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222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29%</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down 7%</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Defense Systems &amp;</w:t>
            </w:r>
          </w:p>
        </w:tc>
        <w:tc>
          <w:tcPr>
            <w:tcW w:w="980" w:type="dxa"/>
            <w:vAlign w:val="bottom"/>
          </w:tcPr>
          <w:p>
            <w:pPr>
              <w:ind w:left="460"/>
              <w:spacing w:after="0"/>
              <w:rPr>
                <w:sz w:val="20"/>
                <w:szCs w:val="20"/>
                <w:color w:val="auto"/>
              </w:rPr>
            </w:pPr>
            <w:r>
              <w:rPr>
                <w:rFonts w:ascii="Courier New" w:cs="Courier New" w:eastAsia="Courier New" w:hAnsi="Courier New"/>
                <w:sz w:val="17"/>
                <w:szCs w:val="17"/>
                <w:color w:val="auto"/>
                <w:w w:val="97"/>
              </w:rPr>
              <w:t>up 6%</w:t>
            </w:r>
          </w:p>
        </w:tc>
        <w:tc>
          <w:tcPr>
            <w:tcW w:w="170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7"/>
                <w:szCs w:val="17"/>
                <w:color w:val="auto"/>
                <w:w w:val="94"/>
              </w:rPr>
              <w:t>up 1%</w:t>
            </w:r>
          </w:p>
        </w:tc>
        <w:tc>
          <w:tcPr>
            <w:tcW w:w="2060" w:type="dxa"/>
            <w:vAlign w:val="bottom"/>
          </w:tcPr>
          <w:p>
            <w:pPr>
              <w:spacing w:after="0"/>
              <w:rPr>
                <w:sz w:val="17"/>
                <w:szCs w:val="17"/>
                <w:color w:val="auto"/>
              </w:rPr>
            </w:pPr>
          </w:p>
        </w:tc>
      </w:tr>
      <w:tr>
        <w:trPr>
          <w:trHeight w:val="198"/>
        </w:trPr>
        <w:tc>
          <w:tcPr>
            <w:tcW w:w="2220" w:type="dxa"/>
            <w:vAlign w:val="bottom"/>
          </w:tcPr>
          <w:p>
            <w:pPr>
              <w:ind w:left="220"/>
              <w:spacing w:after="0"/>
              <w:rPr>
                <w:sz w:val="20"/>
                <w:szCs w:val="20"/>
                <w:color w:val="auto"/>
              </w:rPr>
            </w:pPr>
            <w:r>
              <w:rPr>
                <w:rFonts w:ascii="Courier New" w:cs="Courier New" w:eastAsia="Courier New" w:hAnsi="Courier New"/>
                <w:sz w:val="17"/>
                <w:szCs w:val="17"/>
                <w:color w:val="auto"/>
              </w:rPr>
              <w:t>Electronics</w:t>
            </w:r>
          </w:p>
        </w:tc>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980" w:type="dxa"/>
            <w:vAlign w:val="bottom"/>
          </w:tcPr>
          <w:p>
            <w:pPr>
              <w:ind w:left="460"/>
              <w:spacing w:after="0"/>
              <w:rPr>
                <w:sz w:val="20"/>
                <w:szCs w:val="20"/>
                <w:color w:val="auto"/>
              </w:rPr>
            </w:pPr>
            <w:r>
              <w:rPr>
                <w:rFonts w:ascii="Courier New" w:cs="Courier New" w:eastAsia="Courier New" w:hAnsi="Courier New"/>
                <w:sz w:val="17"/>
                <w:szCs w:val="17"/>
                <w:color w:val="auto"/>
                <w:w w:val="97"/>
              </w:rPr>
              <w:t>up 6%</w:t>
            </w:r>
          </w:p>
        </w:tc>
        <w:tc>
          <w:tcPr>
            <w:tcW w:w="1700" w:type="dxa"/>
            <w:vAlign w:val="bottom"/>
          </w:tcPr>
          <w:p>
            <w:pPr>
              <w:spacing w:after="0"/>
              <w:rPr>
                <w:sz w:val="17"/>
                <w:szCs w:val="17"/>
                <w:color w:val="auto"/>
              </w:rPr>
            </w:pP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up 13%</w:t>
            </w:r>
          </w:p>
        </w:tc>
      </w:tr>
      <w:tr>
        <w:trPr>
          <w:trHeight w:val="198"/>
        </w:trPr>
        <w:tc>
          <w:tcPr>
            <w:tcW w:w="22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6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down 20%</w:t>
            </w:r>
          </w:p>
        </w:tc>
        <w:tc>
          <w:tcPr>
            <w:tcW w:w="2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down 3%</w:t>
            </w:r>
          </w:p>
        </w:tc>
      </w:tr>
    </w:tbl>
    <w:p>
      <w:pPr>
        <w:spacing w:after="0" w:line="200" w:lineRule="exact"/>
        <w:rPr>
          <w:sz w:val="20"/>
          <w:szCs w:val="20"/>
          <w:color w:val="auto"/>
        </w:rPr>
      </w:pPr>
    </w:p>
    <w:p>
      <w:pPr>
        <w:spacing w:after="0" w:line="399"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orders for the second quarter of 1996 were $2216 million, compared with $3462 million in the same period of 1995. The decrease was due primarily to the weak DRAM market, which resulted in repricing the DRAM backlog. The decrease in defense systems and electronics resulted from lower HARM orders. Excluding TI's Custom Manufacturing unit (CMS), which was sold in the first quarter of 1996, digital products orders increased 34 percent in the second quarter of 1996 over the second quarter of 1995, due primarily to increased orders in mobile computing.</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TI's revenues for the second quarter of 1996 were $2845 million, compared with $3238 million in the same period of 1995. The decrease in components segment revenues resulted primarily from lower DRAM revenues and lower semiconductor royalties. The increase in defense systems and electronics revenues was due to shipments of Paveway. Digital products revenues, excluding CMS, were up 27 percent, primarily due to increased mobile computing revenues.</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Profit from operations for the second quarter decreased 76 percent to $96 million from the second quarter of 1995, primarily because of the abrupt drop in DRAM prices and lower royalty revenues. Royalty revenues were $105 million lower primarily due to the previously reported expiration of patent licenses, principally the license with Samsung Electronics Co., Ltd.</w:t>
      </w:r>
    </w:p>
    <w:p>
      <w:pPr>
        <w:spacing w:after="0" w:line="201"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TI has reached an agreement in principle with Matsushita Electric Industrial Co., Ltd. on the major terms and conditions of a 10-year worldwide</w:t>
      </w:r>
    </w:p>
    <w:p>
      <w:pPr>
        <w:sectPr>
          <w:pgSz w:w="11900" w:h="16838" w:orient="portrait"/>
          <w:cols w:equalWidth="0" w:num="1">
            <w:col w:w="10219"/>
          </w:cols>
          <w:pgMar w:left="240" w:top="142" w:right="1440" w:bottom="0" w:gutter="0" w:footer="0" w:header="0"/>
        </w:sectPr>
      </w:pPr>
    </w:p>
    <w:bookmarkStart w:id="6" w:name="page7"/>
    <w:bookmarkEnd w:id="6"/>
    <w:p>
      <w:pPr>
        <w:ind w:right="2499"/>
        <w:spacing w:after="0" w:line="246" w:lineRule="auto"/>
        <w:rPr>
          <w:sz w:val="20"/>
          <w:szCs w:val="20"/>
          <w:color w:val="auto"/>
        </w:rPr>
      </w:pPr>
      <w:r>
        <w:rPr>
          <w:rFonts w:ascii="Courier New" w:cs="Courier New" w:eastAsia="Courier New" w:hAnsi="Courier New"/>
          <w:sz w:val="17"/>
          <w:szCs w:val="17"/>
          <w:color w:val="auto"/>
        </w:rPr>
        <w:t>semiconductor cross-license. When executed, the new agreement will be effective as of April 1, 1996, the first date after expiration of a similar five-year agreement between the parties.</w:t>
      </w:r>
    </w:p>
    <w:p>
      <w:pPr>
        <w:spacing w:after="0" w:line="200" w:lineRule="exact"/>
        <w:rPr>
          <w:sz w:val="20"/>
          <w:szCs w:val="20"/>
          <w:color w:val="auto"/>
        </w:rPr>
      </w:pPr>
    </w:p>
    <w:p>
      <w:pPr>
        <w:spacing w:after="0" w:line="39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agreement recognizes the patents of both parties and is consistent with TI's objective of receiving fair value for its technology. Under the agreement, Matsushita will pay ongoing royalties to TI based on Matsushita's worldwide sales of integrated circuit products. The royalty rates under the new agreement are lower than the rate under the prior agreement in recognition of the longer license term.</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Negotiations continue with other companies for renewal of expired licenses. However, these negotiations by their nature are not predictable as to outcome or timing.</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Components segment profit was down considerably over the second quarter of 1995, primarily due to abrupt price declines in DRAMs and lower royalty revenues. The digital segment operated at a loss during the quarter primarily due to continued high marketing investments and new product development in mobile computing, software, and communications and electronic systems.</w:t>
      </w:r>
    </w:p>
    <w:p>
      <w:pPr>
        <w:spacing w:after="0" w:line="20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For the first six months of 1996, TI's orders were $5410 million, compared with $6774 million for the first six months of 1995. The decrease in component segment orders resulted from the weak DRAM market. The digital segment orders, excluding CMS, were up 32 percent due to mobile computing.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revenues for the first half of 1996 were $5921 million, compared with</w:t>
      </w:r>
    </w:p>
    <w:p>
      <w:pPr>
        <w:spacing w:after="0" w:line="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$6099 million in the first half of 1995. The decrease in component segment revenue resulted from lower DRAM revenues and lower royalties. The increase in digital products revenue, 31 percent excluding CMS, was due primarily to increased revenue in mobile computing.</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profit from operations for the first six months of 1996 was $293 million, compared with $747 million in the first half of 1995. The decrease was primarily from lower semiconductor profits due to the unprecedented drop in DRAM prices and lower semiconductor royalty revenues. The moderate digital segment loss was due primarily to operating losses in personal productivity products and communication and electronic systems.</w:t>
      </w:r>
    </w:p>
    <w:p>
      <w:pPr>
        <w:spacing w:after="0" w:line="202"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Net income for the first half of 1996 was $239 million, compared with $508 million in the first six months of 1995. Earnings per share were $1.23, compared with $2.65.</w:t>
      </w:r>
    </w:p>
    <w:p>
      <w:pPr>
        <w:spacing w:after="0" w:line="200" w:lineRule="exact"/>
        <w:rPr>
          <w:sz w:val="20"/>
          <w:szCs w:val="20"/>
          <w:color w:val="auto"/>
        </w:rPr>
      </w:pPr>
    </w:p>
    <w:p>
      <w:pPr>
        <w:jc w:val="both"/>
        <w:ind w:right="2499"/>
        <w:spacing w:after="0" w:line="246" w:lineRule="auto"/>
        <w:rPr>
          <w:sz w:val="20"/>
          <w:szCs w:val="20"/>
          <w:color w:val="auto"/>
        </w:rPr>
      </w:pPr>
      <w:r>
        <w:rPr>
          <w:rFonts w:ascii="Courier New" w:cs="Courier New" w:eastAsia="Courier New" w:hAnsi="Courier New"/>
          <w:sz w:val="17"/>
          <w:szCs w:val="17"/>
          <w:color w:val="auto"/>
        </w:rPr>
        <w:t>The income tax rate for the first half of 1996 was 28 percent, which is the current estimate of the rate for the full year, excluding the effect of the SSi one-time R&amp;D charge.</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During the first half of 1996, cash and cash equivalents plus short-term investments decreased by $536 million to $1017 million. Net cash provided by operating activities was negatively impacted by the pay-out of 1995 profit sharing in the first quarter. Investments in property, plant and equipment were $1162 million for the half. The sale of TI's Custom Manufacturing business has generated $132 million of cash. In the first quarter, TI issued $300 million of 6.125 percent notes due 2006. In the second quarter the balance of Italian lira mortgage notes increased by $102 million.</w:t>
      </w:r>
    </w:p>
    <w:p>
      <w:pPr>
        <w:spacing w:after="0" w:line="203" w:lineRule="exact"/>
        <w:rPr>
          <w:sz w:val="20"/>
          <w:szCs w:val="20"/>
          <w:color w:val="auto"/>
        </w:rPr>
      </w:pPr>
    </w:p>
    <w:p>
      <w:pPr>
        <w:jc w:val="both"/>
        <w:ind w:right="2599"/>
        <w:spacing w:after="0" w:line="246" w:lineRule="auto"/>
        <w:rPr>
          <w:sz w:val="20"/>
          <w:szCs w:val="20"/>
          <w:color w:val="auto"/>
        </w:rPr>
      </w:pPr>
      <w:r>
        <w:rPr>
          <w:rFonts w:ascii="Courier New" w:cs="Courier New" w:eastAsia="Courier New" w:hAnsi="Courier New"/>
          <w:sz w:val="17"/>
          <w:szCs w:val="17"/>
          <w:color w:val="auto"/>
        </w:rPr>
        <w:t>In June TI announced the pending acquisition of Silicon Systems Inc. via a stock purchase agreement for $340 million in cash plus the assumption of a $235 million long-term note to TDK Corp. of Japan. The transaction closed</w:t>
      </w:r>
    </w:p>
    <w:p>
      <w:pPr>
        <w:spacing w:after="0" w:line="200" w:lineRule="exact"/>
        <w:rPr>
          <w:sz w:val="20"/>
          <w:szCs w:val="20"/>
          <w:color w:val="auto"/>
        </w:rPr>
      </w:pPr>
    </w:p>
    <w:p>
      <w:pPr>
        <w:spacing w:after="0" w:line="39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July, and the cash payment was initially financed by a draw down on TI's</w:t>
      </w:r>
    </w:p>
    <w:p>
      <w:pPr>
        <w:spacing w:after="0" w:line="5"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7"/>
          <w:szCs w:val="17"/>
          <w:color w:val="auto"/>
        </w:rPr>
        <w:t>existing line of bank credit.</w:t>
        <w:tab/>
        <w:t>The company is considering various</w:t>
      </w:r>
    </w:p>
    <w:p>
      <w:pPr>
        <w:spacing w:after="0" w:line="5"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7"/>
          <w:szCs w:val="17"/>
          <w:color w:val="auto"/>
        </w:rPr>
        <w:t>alternatives for permanent financing.</w:t>
        <w:tab/>
        <w:t>The company is also considering the</w:t>
      </w:r>
    </w:p>
    <w:p>
      <w:pPr>
        <w:spacing w:after="0" w:line="5"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7"/>
          <w:szCs w:val="17"/>
          <w:color w:val="auto"/>
        </w:rPr>
        <w:t>redemption at par of $150 million of nine percent notes due 1999.</w:t>
      </w:r>
      <w:r>
        <w:rPr>
          <w:sz w:val="20"/>
          <w:szCs w:val="20"/>
          <w:color w:val="auto"/>
        </w:rPr>
        <w:tab/>
      </w:r>
      <w:r>
        <w:rPr>
          <w:rFonts w:ascii="Courier New" w:cs="Courier New" w:eastAsia="Courier New" w:hAnsi="Courier New"/>
          <w:sz w:val="16"/>
          <w:szCs w:val="16"/>
          <w:color w:val="auto"/>
        </w:rPr>
        <w:t>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1996, the debt-to-total-capital ratio was .23, up from .21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end of the first quarter and .17 at year-end 1995.</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backlog of unfilled orders as of June 30, 1996, was $3925 million, down $646 million from the second quarter of 1995 and down $629 million from the first quarter of 1996. Most of the decrease was in semiconductors, reflecting lower DRAM prices and in defense systems and electronics.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R&amp;D was $253 million in the second quarter of 1996, compared with $215</w:t>
      </w:r>
    </w:p>
    <w:p>
      <w:pPr>
        <w:sectPr>
          <w:pgSz w:w="11900" w:h="16838" w:orient="portrait"/>
          <w:cols w:equalWidth="0" w:num="1">
            <w:col w:w="10219"/>
          </w:cols>
          <w:pgMar w:left="240" w:top="142" w:right="1440" w:bottom="0" w:gutter="0" w:footer="0" w:header="0"/>
        </w:sectPr>
      </w:pPr>
    </w:p>
    <w:bookmarkStart w:id="7" w:name="page8"/>
    <w:bookmarkEnd w:id="7"/>
    <w:p>
      <w:pPr>
        <w:ind w:right="2399"/>
        <w:spacing w:after="0" w:line="246" w:lineRule="auto"/>
        <w:rPr>
          <w:sz w:val="20"/>
          <w:szCs w:val="20"/>
          <w:color w:val="auto"/>
        </w:rPr>
      </w:pPr>
      <w:r>
        <w:rPr>
          <w:rFonts w:ascii="Courier New" w:cs="Courier New" w:eastAsia="Courier New" w:hAnsi="Courier New"/>
          <w:sz w:val="17"/>
          <w:szCs w:val="17"/>
          <w:color w:val="auto"/>
        </w:rPr>
        <w:t>million in the second quarter of 1995. R&amp;D for the first six months of 1996 was $516 million, compared with $428 million in the first half of 1995. R&amp;D for the full year is expected to be $1.2 billion, including the estimated R&amp;D charge associated with the SSi acquisition.</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Capital expenditures in the second quarter of this year were $620 million, compared with $300 million in the second quarter of 1995 and $1162 million for the first half of 1996, compared with $522 million for the first six months of 1995. Capital expenditures for the full year 1996 are expected to be $2.3 billion, compared with the $2.5 billion previously projected.</w:t>
      </w:r>
    </w:p>
    <w:p>
      <w:pPr>
        <w:spacing w:after="0" w:line="20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Depreciation in the second quarter of 1996 was $232 million, compared with $182 million in the second quarter of 1995, and $422 million for the first six months of 1996, compared with $359 million for the same period of 1995. Depreciation for the total year is projected to be about $1 billion.</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Return on net assets (RONA) and return on common equity (ROCE) are measures TI uses to monitor progress in building shareholder value. For the four quarters ending June 30, 1996, RONA was 16.4 percent, and ROCE was 20.9 percent. In the four quarters ending June 30, 1995, RONA was 22.1 percent and ROCE was 28.3 percent.</w:t>
      </w:r>
    </w:p>
    <w:p>
      <w:pPr>
        <w:spacing w:after="0" w:line="201"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Trademarks: Digital Light Processing, DLP and TIRIS are trademarks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At the Annual Meeting of Stockholders held on April 18, 1996, in addition to the election of directors, the stockholders voted upon the two board proposals contained in the Registrant's Proxy Statement dated February 28, 1996.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nominees were elected as directors with the following vote: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ind w:left="720"/>
              <w:spacing w:after="0"/>
              <w:rPr>
                <w:sz w:val="20"/>
                <w:szCs w:val="20"/>
                <w:color w:val="auto"/>
              </w:rPr>
            </w:pPr>
            <w:r>
              <w:rPr>
                <w:rFonts w:ascii="Courier New" w:cs="Courier New" w:eastAsia="Courier New" w:hAnsi="Courier New"/>
                <w:sz w:val="17"/>
                <w:szCs w:val="17"/>
                <w:color w:val="auto"/>
              </w:rPr>
              <w:t>Nominee</w:t>
            </w:r>
          </w:p>
        </w:tc>
        <w:tc>
          <w:tcPr>
            <w:tcW w:w="2360" w:type="dxa"/>
            <w:vAlign w:val="bottom"/>
          </w:tcPr>
          <w:p>
            <w:pPr>
              <w:ind w:left="980"/>
              <w:spacing w:after="0"/>
              <w:rPr>
                <w:sz w:val="20"/>
                <w:szCs w:val="20"/>
                <w:color w:val="auto"/>
              </w:rPr>
            </w:pPr>
            <w:r>
              <w:rPr>
                <w:rFonts w:ascii="Courier New" w:cs="Courier New" w:eastAsia="Courier New" w:hAnsi="Courier New"/>
                <w:sz w:val="17"/>
                <w:szCs w:val="17"/>
                <w:color w:val="auto"/>
              </w:rPr>
              <w:t>For</w:t>
            </w:r>
          </w:p>
        </w:tc>
        <w:tc>
          <w:tcPr>
            <w:tcW w:w="1600" w:type="dxa"/>
            <w:vAlign w:val="bottom"/>
          </w:tcPr>
          <w:p>
            <w:pPr>
              <w:ind w:left="680"/>
              <w:spacing w:after="0"/>
              <w:rPr>
                <w:sz w:val="20"/>
                <w:szCs w:val="20"/>
                <w:color w:val="auto"/>
              </w:rPr>
            </w:pPr>
            <w:r>
              <w:rPr>
                <w:rFonts w:ascii="Courier New" w:cs="Courier New" w:eastAsia="Courier New" w:hAnsi="Courier New"/>
                <w:sz w:val="17"/>
                <w:szCs w:val="17"/>
                <w:color w:val="auto"/>
              </w:rPr>
              <w:t>Withheld</w:t>
            </w:r>
          </w:p>
        </w:tc>
      </w:tr>
      <w:tr>
        <w:trPr>
          <w:trHeight w:val="198"/>
        </w:trPr>
        <w:tc>
          <w:tcPr>
            <w:tcW w:w="284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w w:val="97"/>
              </w:rPr>
              <w:t>---</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161,414,538</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582,587</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David L. Boren</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161,389,871</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607,254</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161,399,679</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597,446</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161,300,830</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696,295</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David R. Goode</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161,400,357</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596,768</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161,389,340</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607,785</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William S. Lee</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161,406,735</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590,390</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161,402,057</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595,068</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161,398,317</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598,808</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161,404,370</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592,755</w:t>
            </w: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23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161,405,046</w:t>
            </w:r>
          </w:p>
        </w:tc>
        <w:tc>
          <w:tcPr>
            <w:tcW w:w="1600" w:type="dxa"/>
            <w:vAlign w:val="bottom"/>
          </w:tcPr>
          <w:p>
            <w:pPr>
              <w:jc w:val="center"/>
              <w:ind w:left="594"/>
              <w:spacing w:after="0"/>
              <w:rPr>
                <w:sz w:val="20"/>
                <w:szCs w:val="20"/>
                <w:color w:val="auto"/>
              </w:rPr>
            </w:pPr>
            <w:r>
              <w:rPr>
                <w:rFonts w:ascii="Courier New" w:cs="Courier New" w:eastAsia="Courier New" w:hAnsi="Courier New"/>
                <w:sz w:val="17"/>
                <w:szCs w:val="17"/>
                <w:color w:val="auto"/>
              </w:rPr>
              <w:t>592,079</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two board proposals were approved with the following vote: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Against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Abstentions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Broker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Non-Votes)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Broker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Non-Votes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1660" w:space="720"/>
            <w:col w:w="1340" w:space="0"/>
            <w:col w:w="1220" w:space="120"/>
            <w:col w:w="1320" w:space="120"/>
            <w:col w:w="37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proposal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149,397,199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12,040,411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559,515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5">
            <w:col w:w="1960" w:space="420"/>
            <w:col w:w="1120" w:space="220"/>
            <w:col w:w="1020" w:space="420"/>
            <w:col w:w="920" w:space="720"/>
            <w:col w:w="3419"/>
          </w:cols>
          <w:pgMar w:left="240" w:top="142"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respect to amendment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Restated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Incorporation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Board proposal with</w:t>
            </w:r>
          </w:p>
        </w:tc>
        <w:tc>
          <w:tcPr>
            <w:tcW w:w="2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104,597,060  28,735,135</w:t>
            </w:r>
          </w:p>
        </w:tc>
        <w:tc>
          <w:tcPr>
            <w:tcW w:w="1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867,633</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27,797,297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adoption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Instruments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Incentive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w:t>
      </w:r>
    </w:p>
    <w:p>
      <w:pPr>
        <w:spacing w:after="0" w:line="203"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The deadline for receipt of stockholder proposals for inclusion in the company's 1997 proxy material is October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540" w:right="7219" w:hanging="505"/>
        <w:spacing w:after="0" w:line="370" w:lineRule="auto"/>
        <w:tabs>
          <w:tab w:leader="none" w:pos="1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Designation of</w:t>
      </w:r>
    </w:p>
    <w:p>
      <w:pPr>
        <w:sectPr>
          <w:pgSz w:w="11900" w:h="16838" w:orient="portrait"/>
          <w:cols w:equalWidth="0" w:num="1">
            <w:col w:w="10219"/>
          </w:cols>
          <w:pgMar w:left="240" w:top="142" w:right="1440" w:bottom="1440" w:gutter="0" w:footer="0" w:header="0"/>
        </w:sectPr>
      </w:pPr>
    </w:p>
    <w:p>
      <w:pPr>
        <w:ind w:left="176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000" w:space="600"/>
            <w:col w:w="6619"/>
          </w:cols>
          <w:pgMar w:left="240" w:top="142" w:right="1440" w:bottom="1440" w:gutter="0" w:footer="0" w:header="0"/>
          <w:type w:val="continuous"/>
        </w:sectPr>
      </w:pPr>
    </w:p>
    <w:p>
      <w:pPr>
        <w:spacing w:after="0" w:line="201" w:lineRule="exact"/>
        <w:rPr>
          <w:sz w:val="20"/>
          <w:szCs w:val="20"/>
          <w:color w:val="auto"/>
        </w:rPr>
      </w:pPr>
    </w:p>
    <w:p>
      <w:pPr>
        <w:ind w:left="3600" w:right="3319" w:hanging="1432"/>
        <w:spacing w:after="0" w:line="246" w:lineRule="auto"/>
        <w:tabs>
          <w:tab w:leader="none" w:pos="3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Amendment to Restated Certificate of Incorporation of the Registrant.</w:t>
      </w:r>
    </w:p>
    <w:p>
      <w:pPr>
        <w:spacing w:after="0" w:line="200" w:lineRule="exact"/>
        <w:rPr>
          <w:sz w:val="20"/>
          <w:szCs w:val="20"/>
          <w:color w:val="auto"/>
        </w:rPr>
      </w:pPr>
    </w:p>
    <w:p>
      <w:pPr>
        <w:ind w:left="3600" w:right="3319" w:hanging="1535"/>
        <w:spacing w:after="0" w:line="247" w:lineRule="auto"/>
        <w:tabs>
          <w:tab w:leader="none" w:pos="3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Texas Instruments 1996 Long-Term Incentive Plan.*</w:t>
      </w:r>
    </w:p>
    <w:p>
      <w:pPr>
        <w:spacing w:after="0" w:line="197" w:lineRule="exact"/>
        <w:rPr>
          <w:rFonts w:ascii="Courier New" w:cs="Courier New" w:eastAsia="Courier New" w:hAnsi="Courier New"/>
          <w:sz w:val="17"/>
          <w:szCs w:val="17"/>
          <w:color w:val="auto"/>
        </w:rPr>
      </w:pPr>
    </w:p>
    <w:p>
      <w:pPr>
        <w:ind w:left="3600" w:right="3319" w:hanging="1535"/>
        <w:spacing w:after="0" w:line="246" w:lineRule="auto"/>
        <w:tabs>
          <w:tab w:leader="none" w:pos="3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primary and fully diluted earnings per common and common equivalent share.</w:t>
      </w:r>
    </w:p>
    <w:p>
      <w:pPr>
        <w:spacing w:after="0" w:line="199" w:lineRule="exact"/>
        <w:rPr>
          <w:rFonts w:ascii="Courier New" w:cs="Courier New" w:eastAsia="Courier New" w:hAnsi="Courier New"/>
          <w:sz w:val="17"/>
          <w:szCs w:val="17"/>
          <w:color w:val="auto"/>
        </w:rPr>
      </w:pPr>
    </w:p>
    <w:p>
      <w:pPr>
        <w:ind w:left="3600" w:right="3119" w:hanging="1535"/>
        <w:spacing w:after="0" w:line="246" w:lineRule="auto"/>
        <w:tabs>
          <w:tab w:leader="none" w:pos="3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0" w:lineRule="exact"/>
        <w:rPr>
          <w:sz w:val="20"/>
          <w:szCs w:val="20"/>
          <w:color w:val="auto"/>
        </w:rPr>
      </w:pPr>
    </w:p>
    <w:p>
      <w:pPr>
        <w:ind w:left="3600" w:hanging="1535"/>
        <w:spacing w:after="0"/>
        <w:tabs>
          <w:tab w:leader="none" w:pos="36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1540" w:hanging="505"/>
        <w:spacing w:after="0"/>
        <w:tabs>
          <w:tab w:leader="none" w:pos="15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Registrant filed the following reports on Form 8-K with the Securities and Exchange Commission during the quarter ended June 30, 1996: Form 8-K dated May 30, 1996, which included news releases regarding the death of Jerry R. Junkins, the Registrant's Chairman, President and Chief Executive Officer, and the election of an acting President and Chief Executive Officer; and Form 8-K dated June 30, 1996 regarding the election of James R. Adams as Chairman of the Board, and Thomas J. Engibous as President and Chief Executive Officer.</w:t>
      </w:r>
    </w:p>
    <w:p>
      <w:pPr>
        <w:spacing w:after="0" w:line="203" w:lineRule="exact"/>
        <w:rPr>
          <w:sz w:val="20"/>
          <w:szCs w:val="20"/>
          <w:color w:val="auto"/>
        </w:rPr>
      </w:pPr>
    </w:p>
    <w:p>
      <w:pPr>
        <w:ind w:left="620" w:right="2899" w:hanging="617"/>
        <w:spacing w:after="0" w:line="247" w:lineRule="auto"/>
        <w:rPr>
          <w:sz w:val="20"/>
          <w:szCs w:val="20"/>
          <w:color w:val="auto"/>
        </w:rPr>
      </w:pPr>
      <w:r>
        <w:rPr>
          <w:rFonts w:ascii="Courier New" w:cs="Courier New" w:eastAsia="Courier New" w:hAnsi="Courier New"/>
          <w:sz w:val="17"/>
          <w:szCs w:val="17"/>
          <w:color w:val="auto"/>
        </w:rPr>
        <w:t>[FN]* Executive Compensation Plans and Arrangements:</w:t>
      </w:r>
      <w:r>
        <w:rPr>
          <w:sz w:val="20"/>
          <w:szCs w:val="20"/>
          <w:color w:val="auto"/>
        </w:rPr>
        <w:t xml:space="preserve"> </w:t>
      </w:r>
      <w:r>
        <w:rPr>
          <w:rFonts w:ascii="Courier New" w:cs="Courier New" w:eastAsia="Courier New" w:hAnsi="Courier New"/>
          <w:sz w:val="17"/>
          <w:szCs w:val="17"/>
          <w:color w:val="auto"/>
        </w:rPr>
        <w:t>Texas Instruments 1996 Long-Term Incentive Plan - Exhibit 10 to this Report.</w:t>
      </w:r>
    </w:p>
    <w:p>
      <w:pPr>
        <w:sectPr>
          <w:pgSz w:w="11900" w:h="16838" w:orient="portrait"/>
          <w:cols w:equalWidth="0" w:num="1">
            <w:col w:w="10219"/>
          </w:cols>
          <w:pgMar w:left="240" w:top="142" w:right="1440" w:bottom="1440" w:gutter="0" w:footer="0" w:header="0"/>
          <w:type w:val="continuous"/>
        </w:sectPr>
      </w:pPr>
    </w:p>
    <w:bookmarkStart w:id="9" w:name="page10"/>
    <w:bookmarkEnd w:id="9"/>
    <w:p>
      <w:pPr>
        <w:jc w:val="center"/>
        <w:ind w:right="2379"/>
        <w:spacing w:after="0"/>
        <w:rPr>
          <w:sz w:val="20"/>
          <w:szCs w:val="20"/>
          <w:color w:val="auto"/>
        </w:rPr>
      </w:pPr>
      <w:r>
        <w:rPr>
          <w:rFonts w:ascii="Courier New" w:cs="Courier New" w:eastAsia="Courier New" w:hAnsi="Courier New"/>
          <w:sz w:val="17"/>
          <w:szCs w:val="17"/>
          <w:color w:val="auto"/>
        </w:rPr>
        <w:t>12</w:t>
      </w:r>
    </w:p>
    <w:p>
      <w:pPr>
        <w:spacing w:after="0" w:line="203"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8"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With the exception of historical information, the matters discussed or incorporated by reference in this Report on Form 10-Q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BY: /s/ WILLIAM A. AYLESWORTH</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William A. Aylesworth</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Senior Vice President, Treasurer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and Chief Financial Officer</w:t>
      </w:r>
    </w:p>
    <w:p>
      <w:pPr>
        <w:spacing w:after="0" w:line="20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July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934"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firstLine="103"/>
        <w:spacing w:after="0" w:line="246" w:lineRule="auto"/>
        <w:rPr>
          <w:sz w:val="20"/>
          <w:szCs w:val="20"/>
          <w:color w:val="auto"/>
        </w:rPr>
      </w:pPr>
      <w:r>
        <w:rPr>
          <w:rFonts w:ascii="Courier New" w:cs="Courier New" w:eastAsia="Courier New" w:hAnsi="Courier New"/>
          <w:sz w:val="17"/>
          <w:szCs w:val="17"/>
          <w:color w:val="auto"/>
        </w:rPr>
        <w:t>Description of Exhibit ----------------------- Certificate of Amendment to Restated Certificate of Incorporation of the Registrant.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Paper (P)</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w:t>
      </w:r>
    </w:p>
    <w:p>
      <w:pPr>
        <w:spacing w:after="0" w:line="598" w:lineRule="exact"/>
        <w:rPr>
          <w:sz w:val="20"/>
          <w:szCs w:val="20"/>
          <w:color w:val="auto"/>
        </w:rPr>
      </w:pPr>
    </w:p>
    <w:p>
      <w:pPr>
        <w:sectPr>
          <w:pgSz w:w="11900" w:h="16838" w:orient="portrait"/>
          <w:cols w:equalWidth="0" w:num="3">
            <w:col w:w="1860" w:space="620"/>
            <w:col w:w="3300" w:space="300"/>
            <w:col w:w="4139"/>
          </w:cols>
          <w:pgMar w:left="240" w:top="934" w:right="1440" w:bottom="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Texas Instruments 1996 Long-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409" w:lineRule="exact"/>
        <w:rPr>
          <w:sz w:val="20"/>
          <w:szCs w:val="20"/>
          <w:color w:val="auto"/>
        </w:rPr>
      </w:pPr>
    </w:p>
    <w:p>
      <w:pPr>
        <w:sectPr>
          <w:pgSz w:w="11900" w:h="16838" w:orient="portrait"/>
          <w:cols w:equalWidth="0" w:num="3">
            <w:col w:w="1760" w:space="720"/>
            <w:col w:w="3400" w:space="720"/>
            <w:col w:w="3619"/>
          </w:cols>
          <w:pgMar w:left="240" w:top="934" w:right="1440" w:bottom="0"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primary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760" w:space="720"/>
            <w:col w:w="3400" w:space="720"/>
            <w:col w:w="3619"/>
          </w:cols>
          <w:pgMar w:left="240" w:top="934" w:right="1440" w:bottom="0" w:gutter="0" w:footer="0" w:header="0"/>
          <w:type w:val="continuous"/>
        </w:sectPr>
      </w:pPr>
    </w:p>
    <w:bookmarkStart w:id="10" w:name="page11"/>
    <w:bookmarkEnd w:id="10"/>
    <w:p>
      <w:pPr>
        <w:ind w:left="2060"/>
        <w:spacing w:after="0"/>
        <w:rPr>
          <w:sz w:val="20"/>
          <w:szCs w:val="20"/>
          <w:color w:val="auto"/>
        </w:rPr>
      </w:pPr>
      <w:r>
        <w:rPr>
          <w:rFonts w:ascii="Courier New" w:cs="Courier New" w:eastAsia="Courier New" w:hAnsi="Courier New"/>
          <w:sz w:val="17"/>
          <w:szCs w:val="17"/>
          <w:color w:val="auto"/>
        </w:rPr>
        <w:t>fully diluted earnings per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common and common equiv-</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alent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87"/>
              </w:rPr>
              <w:t>12</w:t>
            </w: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Computation of Ratio of</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E</w:t>
            </w: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Earnings to Fixed Charges and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Ratio of Earnings to Combined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Fixed Charges and Preferred</w:t>
            </w:r>
          </w:p>
        </w:tc>
        <w:tc>
          <w:tcPr>
            <w:tcW w:w="680" w:type="dxa"/>
            <w:vAlign w:val="bottom"/>
          </w:tcPr>
          <w:p>
            <w:pPr>
              <w:spacing w:after="0"/>
              <w:rPr>
                <w:sz w:val="17"/>
                <w:szCs w:val="17"/>
                <w:color w:val="auto"/>
              </w:rPr>
            </w:pPr>
          </w:p>
        </w:tc>
      </w:tr>
      <w:tr>
        <w:trPr>
          <w:trHeight w:val="198"/>
        </w:trPr>
        <w:tc>
          <w:tcPr>
            <w:tcW w:w="1120" w:type="dxa"/>
            <w:vAlign w:val="bottom"/>
          </w:tcPr>
          <w:p>
            <w:pPr>
              <w:spacing w:after="0"/>
              <w:rPr>
                <w:sz w:val="17"/>
                <w:szCs w:val="17"/>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Stock Dividends.</w:t>
            </w:r>
          </w:p>
        </w:tc>
        <w:tc>
          <w:tcPr>
            <w:tcW w:w="680" w:type="dxa"/>
            <w:vAlign w:val="bottom"/>
          </w:tcPr>
          <w:p>
            <w:pPr>
              <w:spacing w:after="0"/>
              <w:rPr>
                <w:sz w:val="17"/>
                <w:szCs w:val="17"/>
                <w:color w:val="auto"/>
              </w:rPr>
            </w:pPr>
          </w:p>
        </w:tc>
      </w:tr>
      <w:tr>
        <w:trPr>
          <w:trHeight w:val="396"/>
        </w:trPr>
        <w:tc>
          <w:tcPr>
            <w:tcW w:w="112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87"/>
              </w:rPr>
              <w:t>27</w:t>
            </w:r>
          </w:p>
        </w:tc>
        <w:tc>
          <w:tcPr>
            <w:tcW w:w="4480" w:type="dxa"/>
            <w:vAlign w:val="bottom"/>
          </w:tcPr>
          <w:p>
            <w:pPr>
              <w:ind w:left="940"/>
              <w:spacing w:after="0"/>
              <w:rPr>
                <w:sz w:val="20"/>
                <w:szCs w:val="20"/>
                <w:color w:val="auto"/>
              </w:rPr>
            </w:pPr>
            <w:r>
              <w:rPr>
                <w:rFonts w:ascii="Courier New" w:cs="Courier New" w:eastAsia="Courier New" w:hAnsi="Courier New"/>
                <w:sz w:val="17"/>
                <w:szCs w:val="17"/>
                <w:color w:val="auto"/>
              </w:rPr>
              <w:t>Financial Data Schedule</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E</w:t>
            </w:r>
          </w:p>
        </w:tc>
      </w:tr>
    </w:tbl>
    <w:p>
      <w:pPr>
        <w:spacing w:after="0" w:line="203" w:lineRule="exact"/>
        <w:rPr>
          <w:sz w:val="20"/>
          <w:szCs w:val="20"/>
          <w:color w:val="auto"/>
        </w:rPr>
      </w:pPr>
    </w:p>
    <w:p>
      <w:pPr>
        <w:ind w:left="200" w:right="2899" w:hanging="617"/>
        <w:spacing w:after="0" w:line="247" w:lineRule="auto"/>
        <w:rPr>
          <w:sz w:val="20"/>
          <w:szCs w:val="20"/>
          <w:color w:val="auto"/>
        </w:rPr>
      </w:pPr>
      <w:r>
        <w:rPr>
          <w:rFonts w:ascii="Courier New" w:cs="Courier New" w:eastAsia="Courier New" w:hAnsi="Courier New"/>
          <w:sz w:val="17"/>
          <w:szCs w:val="17"/>
          <w:color w:val="auto"/>
        </w:rPr>
        <w:t>[FN]* Executive Compensation Plans and Arrangements:</w:t>
      </w:r>
      <w:r>
        <w:rPr>
          <w:sz w:val="20"/>
          <w:szCs w:val="20"/>
          <w:color w:val="auto"/>
        </w:rPr>
        <w:t xml:space="preserve"> </w:t>
      </w:r>
      <w:r>
        <w:rPr>
          <w:rFonts w:ascii="Courier New" w:cs="Courier New" w:eastAsia="Courier New" w:hAnsi="Courier New"/>
          <w:sz w:val="17"/>
          <w:szCs w:val="17"/>
          <w:color w:val="auto"/>
        </w:rPr>
        <w:t>Texas Instruments 1996 Long-Term Incentive Plan - Exhibit 10 to this Report.</w:t>
      </w:r>
    </w:p>
    <w:p>
      <w:pPr>
        <w:sectPr>
          <w:pgSz w:w="11900" w:h="16838" w:orient="portrait"/>
          <w:cols w:equalWidth="0" w:num="1">
            <w:col w:w="9799"/>
          </w:cols>
          <w:pgMar w:left="660" w:top="142" w:right="1440" w:bottom="1440" w:gutter="0" w:footer="0" w:header="0"/>
        </w:sectPr>
      </w:pPr>
    </w:p>
    <w:bookmarkStart w:id="11" w:name="page12"/>
    <w:bookmarkEnd w:id="11"/>
    <w:p>
      <w:pPr>
        <w:ind w:left="7000"/>
        <w:spacing w:after="0"/>
        <w:rPr>
          <w:sz w:val="20"/>
          <w:szCs w:val="20"/>
          <w:color w:val="auto"/>
        </w:rPr>
      </w:pPr>
      <w:r>
        <w:rPr>
          <w:rFonts w:ascii="Courier New" w:cs="Courier New" w:eastAsia="Courier New" w:hAnsi="Courier New"/>
          <w:sz w:val="17"/>
          <w:szCs w:val="17"/>
          <w:color w:val="auto"/>
        </w:rPr>
        <w:t>EXHIBIT 3</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CERTIFICATE OF AMENDMENT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RESTATED CERTIFICATE OF INCORPORATION</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1" w:lineRule="exact"/>
        <w:rPr>
          <w:sz w:val="20"/>
          <w:szCs w:val="20"/>
          <w:color w:val="auto"/>
        </w:rPr>
      </w:pPr>
    </w:p>
    <w:p>
      <w:pPr>
        <w:ind w:right="2179" w:firstLine="1029"/>
        <w:spacing w:after="0" w:line="247" w:lineRule="auto"/>
        <w:rPr>
          <w:sz w:val="20"/>
          <w:szCs w:val="20"/>
          <w:color w:val="auto"/>
        </w:rPr>
      </w:pPr>
      <w:r>
        <w:rPr>
          <w:rFonts w:ascii="Courier New" w:cs="Courier New" w:eastAsia="Courier New" w:hAnsi="Courier New"/>
          <w:sz w:val="17"/>
          <w:szCs w:val="17"/>
          <w:color w:val="auto"/>
        </w:rPr>
        <w:t>TEXAS INSTRUMENTS INCORPORATED, a corporation organized and existing under and by virtue of the General Corporation Law of the State of Delaware,</w:t>
      </w:r>
    </w:p>
    <w:p>
      <w:pPr>
        <w:spacing w:after="0" w:line="198"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DOES HEREBY CERTIFY:</w:t>
      </w:r>
    </w:p>
    <w:p>
      <w:pPr>
        <w:spacing w:after="0" w:line="203" w:lineRule="exact"/>
        <w:rPr>
          <w:sz w:val="20"/>
          <w:szCs w:val="20"/>
          <w:color w:val="auto"/>
        </w:rPr>
      </w:pPr>
    </w:p>
    <w:p>
      <w:pPr>
        <w:ind w:right="2399" w:firstLine="1029"/>
        <w:spacing w:after="0" w:line="246" w:lineRule="auto"/>
        <w:rPr>
          <w:sz w:val="20"/>
          <w:szCs w:val="20"/>
          <w:color w:val="auto"/>
        </w:rPr>
      </w:pPr>
      <w:r>
        <w:rPr>
          <w:rFonts w:ascii="Courier New" w:cs="Courier New" w:eastAsia="Courier New" w:hAnsi="Courier New"/>
          <w:sz w:val="17"/>
          <w:szCs w:val="17"/>
          <w:color w:val="auto"/>
        </w:rPr>
        <w:t>FIRST: That the first sentence of Article Fourth of the Restated Certificate of Incorporation as heretofore amended is hereby amended to read as follows:</w:t>
      </w:r>
    </w:p>
    <w:p>
      <w:pPr>
        <w:spacing w:after="0" w:line="200" w:lineRule="exact"/>
        <w:rPr>
          <w:sz w:val="20"/>
          <w:szCs w:val="20"/>
          <w:color w:val="auto"/>
        </w:rPr>
      </w:pPr>
    </w:p>
    <w:p>
      <w:pPr>
        <w:ind w:left="520" w:right="2999"/>
        <w:spacing w:after="0" w:line="246" w:lineRule="auto"/>
        <w:rPr>
          <w:sz w:val="20"/>
          <w:szCs w:val="20"/>
          <w:color w:val="auto"/>
        </w:rPr>
      </w:pPr>
      <w:r>
        <w:rPr>
          <w:rFonts w:ascii="Courier New" w:cs="Courier New" w:eastAsia="Courier New" w:hAnsi="Courier New"/>
          <w:sz w:val="17"/>
          <w:szCs w:val="17"/>
          <w:color w:val="auto"/>
        </w:rPr>
        <w:t>"The total number of shares of all classes of stock which the Company shall have authority to issue is Five Hundred Ten Million (510,000,000) shares, of which Ten Million (10,000,000) shall be Preferred Stock with a par value of $25.00 per share, and Five Hundred Million (500,000,000) shall be Common Stock with a par value of $1.00 per share."</w:t>
      </w:r>
    </w:p>
    <w:p>
      <w:pPr>
        <w:spacing w:after="0" w:line="202"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SECOND: That said amendment has been duly adopted in accordance with the provisions of Section 242 of the General Corporation Law of the State of Delaware.</w:t>
      </w:r>
    </w:p>
    <w:p>
      <w:pPr>
        <w:spacing w:after="0" w:line="200" w:lineRule="exact"/>
        <w:rPr>
          <w:sz w:val="20"/>
          <w:szCs w:val="20"/>
          <w:color w:val="auto"/>
        </w:rPr>
      </w:pPr>
    </w:p>
    <w:p>
      <w:pPr>
        <w:ind w:right="2179" w:firstLine="1029"/>
        <w:spacing w:after="0" w:line="246" w:lineRule="auto"/>
        <w:rPr>
          <w:sz w:val="20"/>
          <w:szCs w:val="20"/>
          <w:color w:val="auto"/>
        </w:rPr>
      </w:pPr>
      <w:r>
        <w:rPr>
          <w:rFonts w:ascii="Courier New" w:cs="Courier New" w:eastAsia="Courier New" w:hAnsi="Courier New"/>
          <w:sz w:val="17"/>
          <w:szCs w:val="17"/>
          <w:color w:val="auto"/>
        </w:rPr>
        <w:t>IN WITNESS WHEREOF, TEXAS INSTRUMENTS INCORPORATED has caused this Certificate to be signed by Jerry R. Junkins, Chairman of the Board, President and Chief Executive Officer, this 18th day of April, 1996.</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9"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By: /s/ JERRY R. JUNKINS</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Chairman of the Board, President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and Chief Executive Officer</w:t>
      </w:r>
    </w:p>
    <w:p>
      <w:pPr>
        <w:sectPr>
          <w:pgSz w:w="11900" w:h="16838" w:orient="portrait"/>
          <w:cols w:equalWidth="0" w:num="1">
            <w:col w:w="10219"/>
          </w:cols>
          <w:pgMar w:left="240" w:top="142" w:right="1440" w:bottom="1440" w:gutter="0" w:footer="0" w:header="0"/>
        </w:sectPr>
      </w:pPr>
    </w:p>
    <w:bookmarkStart w:id="12" w:name="page13"/>
    <w:bookmarkEnd w:id="12"/>
    <w:p>
      <w:pPr>
        <w:ind w:left="6800"/>
        <w:spacing w:after="0"/>
        <w:rPr>
          <w:sz w:val="20"/>
          <w:szCs w:val="20"/>
          <w:color w:val="auto"/>
        </w:rPr>
      </w:pPr>
      <w:r>
        <w:rPr>
          <w:rFonts w:ascii="Courier New" w:cs="Courier New" w:eastAsia="Courier New" w:hAnsi="Courier New"/>
          <w:sz w:val="17"/>
          <w:szCs w:val="17"/>
          <w:color w:val="auto"/>
        </w:rPr>
        <w:t>EXHIBIT 10</w:t>
      </w:r>
    </w:p>
    <w:p>
      <w:pPr>
        <w:spacing w:after="0" w:line="5"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TEXAS INSTRUMENTS 1996 LONG-TERM INCENTIVE PLAN</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As Adopted April 18, 1996</w:t>
      </w:r>
    </w:p>
    <w:p>
      <w:pPr>
        <w:spacing w:after="0" w:line="200" w:lineRule="exact"/>
        <w:rPr>
          <w:sz w:val="20"/>
          <w:szCs w:val="20"/>
          <w:color w:val="auto"/>
        </w:rPr>
      </w:pP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Texas Instruments 1996 Long-Term Incentive Plan is designed to enhance the ability of the Company to attract and retain exceptionally qualified individuals and to encourage them to acquire a proprietary interest in the growth and performance of the Company.</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Any employee of the Company, including any officer or employee-director, shall be eligible to be designated a Participant (defined below). Directors who are not full-time or part-time officers or employees are not eligible to be designated Participants.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("Rule 16b-3"). No member or alternate member of the Committee shall be eligible, while a member or alternate member, for participation in the Plan. In addition, a director may serve as a member or alternate member of the Committee only during periods in which he is an "outside" director as described in Section 162(m) of the Internal Revenue Code of 1986 and regulations promulgated thereunder.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As used in the Plan, the following terms shall have the meanings set forth below:</w:t>
      </w:r>
    </w:p>
    <w:p>
      <w:pPr>
        <w:spacing w:after="0" w:line="396" w:lineRule="exact"/>
        <w:rPr>
          <w:sz w:val="20"/>
          <w:szCs w:val="20"/>
          <w:color w:val="auto"/>
        </w:rPr>
      </w:pPr>
    </w:p>
    <w:p>
      <w:pPr>
        <w:ind w:left="520" w:right="2399" w:hanging="514"/>
        <w:spacing w:after="0" w:line="247"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 shall mean any Option, Restricted Stock, Restricted Stock Unit, Performance Unit or Other Stock-Based Award granted under the Plan.</w:t>
      </w:r>
    </w:p>
    <w:p>
      <w:pPr>
        <w:spacing w:after="0" w:line="197" w:lineRule="exact"/>
        <w:rPr>
          <w:rFonts w:ascii="Courier New" w:cs="Courier New" w:eastAsia="Courier New" w:hAnsi="Courier New"/>
          <w:sz w:val="17"/>
          <w:szCs w:val="17"/>
          <w:color w:val="auto"/>
        </w:rPr>
      </w:pPr>
    </w:p>
    <w:p>
      <w:pPr>
        <w:ind w:left="520" w:right="2599" w:hanging="514"/>
        <w:spacing w:after="0" w:line="247"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 Agreement" shall mean any written agreement, contract or other instrument or document evidencing any Award granted under the Plan.</w:t>
      </w:r>
    </w:p>
    <w:p>
      <w:pPr>
        <w:spacing w:after="0" w:line="197" w:lineRule="exact"/>
        <w:rPr>
          <w:rFonts w:ascii="Courier New" w:cs="Courier New" w:eastAsia="Courier New" w:hAnsi="Courier New"/>
          <w:sz w:val="17"/>
          <w:szCs w:val="17"/>
          <w:color w:val="auto"/>
        </w:rPr>
      </w:pPr>
    </w:p>
    <w:p>
      <w:pPr>
        <w:ind w:left="520" w:right="2179" w:hanging="514"/>
        <w:spacing w:after="0" w:line="247"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shall mean the Internal Revenue Code of 1986, as amended from time to time.</w:t>
      </w:r>
    </w:p>
    <w:p>
      <w:pPr>
        <w:spacing w:after="0" w:line="197" w:lineRule="exact"/>
        <w:rPr>
          <w:rFonts w:ascii="Courier New" w:cs="Courier New" w:eastAsia="Courier New" w:hAnsi="Courier New"/>
          <w:sz w:val="17"/>
          <w:szCs w:val="17"/>
          <w:color w:val="auto"/>
        </w:rPr>
      </w:pPr>
    </w:p>
    <w:p>
      <w:pPr>
        <w:ind w:left="520" w:right="2179" w:hanging="514"/>
        <w:spacing w:after="0" w:line="246"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"Cycle Time Improvement" shall mean a reduction of the actual time a specific process relating to a product or service of the Company takes to accomplish.</w:t>
      </w:r>
    </w:p>
    <w:p>
      <w:pPr>
        <w:spacing w:after="0" w:line="199" w:lineRule="exact"/>
        <w:rPr>
          <w:rFonts w:ascii="Courier New" w:cs="Courier New" w:eastAsia="Courier New" w:hAnsi="Courier New"/>
          <w:sz w:val="17"/>
          <w:szCs w:val="17"/>
          <w:color w:val="auto"/>
        </w:rPr>
      </w:pPr>
    </w:p>
    <w:p>
      <w:pPr>
        <w:ind w:left="520" w:right="3119" w:hanging="514"/>
        <w:spacing w:after="0" w:line="247"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 shall mean earnings per share calculated in accordance with Generally Accepted Accounting Principles.</w:t>
      </w:r>
    </w:p>
    <w:p>
      <w:pPr>
        <w:spacing w:after="0" w:line="197" w:lineRule="exact"/>
        <w:rPr>
          <w:rFonts w:ascii="Courier New" w:cs="Courier New" w:eastAsia="Courier New" w:hAnsi="Courier New"/>
          <w:sz w:val="17"/>
          <w:szCs w:val="17"/>
          <w:color w:val="auto"/>
        </w:rPr>
      </w:pPr>
    </w:p>
    <w:p>
      <w:pPr>
        <w:ind w:left="520" w:right="2179" w:hanging="514"/>
        <w:spacing w:after="0" w:line="246"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200" w:lineRule="exact"/>
        <w:rPr>
          <w:rFonts w:ascii="Courier New" w:cs="Courier New" w:eastAsia="Courier New" w:hAnsi="Courier New"/>
          <w:sz w:val="17"/>
          <w:szCs w:val="17"/>
          <w:color w:val="auto"/>
        </w:rPr>
      </w:pPr>
    </w:p>
    <w:p>
      <w:pPr>
        <w:ind w:left="520" w:right="2179" w:hanging="514"/>
        <w:spacing w:after="0" w:line="246"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shall mean an option granted under paragraph (a) under the heading "Awards" set forth below that is intended to meet the requirements of Section 422 of the Code, or any successor provision thereto.</w:t>
      </w:r>
    </w:p>
    <w:p>
      <w:pPr>
        <w:spacing w:after="0" w:line="200" w:lineRule="exact"/>
        <w:rPr>
          <w:rFonts w:ascii="Courier New" w:cs="Courier New" w:eastAsia="Courier New" w:hAnsi="Courier New"/>
          <w:sz w:val="17"/>
          <w:szCs w:val="17"/>
          <w:color w:val="auto"/>
        </w:rPr>
      </w:pPr>
    </w:p>
    <w:p>
      <w:pPr>
        <w:ind w:left="520" w:right="2599" w:hanging="514"/>
        <w:spacing w:after="0" w:line="247" w:lineRule="auto"/>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"Manufacturing Process Yield" shall mean the good units produced as a percent of the total units processed.</w:t>
      </w:r>
    </w:p>
    <w:p>
      <w:pPr>
        <w:sectPr>
          <w:pgSz w:w="11900" w:h="16838" w:orient="portrait"/>
          <w:cols w:equalWidth="0" w:num="1">
            <w:col w:w="10219"/>
          </w:cols>
          <w:pgMar w:left="240" w:top="340" w:right="1440" w:bottom="0" w:gutter="0" w:footer="0" w:header="0"/>
        </w:sectPr>
      </w:pPr>
    </w:p>
    <w:bookmarkStart w:id="13" w:name="page14"/>
    <w:bookmarkEnd w:id="13"/>
    <w:p>
      <w:pPr>
        <w:ind w:left="520" w:right="2179" w:hanging="514"/>
        <w:spacing w:after="0" w:line="246"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Share" shall mean the percent of sales of the total available market in an industry, product line or product attained by the Company or one of its business units during a time period.</w:t>
      </w:r>
    </w:p>
    <w:p>
      <w:pPr>
        <w:spacing w:after="0" w:line="199" w:lineRule="exact"/>
        <w:rPr>
          <w:rFonts w:ascii="Courier New" w:cs="Courier New" w:eastAsia="Courier New" w:hAnsi="Courier New"/>
          <w:sz w:val="17"/>
          <w:szCs w:val="17"/>
          <w:color w:val="auto"/>
        </w:rPr>
      </w:pPr>
    </w:p>
    <w:p>
      <w:pPr>
        <w:ind w:left="520" w:right="2279" w:hanging="514"/>
        <w:spacing w:after="0" w:line="246"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200" w:lineRule="exact"/>
        <w:rPr>
          <w:rFonts w:ascii="Courier New" w:cs="Courier New" w:eastAsia="Courier New" w:hAnsi="Courier New"/>
          <w:sz w:val="17"/>
          <w:szCs w:val="17"/>
          <w:color w:val="auto"/>
        </w:rPr>
      </w:pPr>
    </w:p>
    <w:p>
      <w:pPr>
        <w:ind w:left="520" w:right="2699" w:hanging="514"/>
        <w:spacing w:after="0" w:line="247"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"Non-Qualified Stock Option" shall mean an option granted under said paragraph (a) that is not intended to be an Incentive Stock Option.</w:t>
      </w:r>
    </w:p>
    <w:p>
      <w:pPr>
        <w:spacing w:after="0" w:line="197" w:lineRule="exact"/>
        <w:rPr>
          <w:rFonts w:ascii="Courier New" w:cs="Courier New" w:eastAsia="Courier New" w:hAnsi="Courier New"/>
          <w:sz w:val="17"/>
          <w:szCs w:val="17"/>
          <w:color w:val="auto"/>
        </w:rPr>
      </w:pPr>
    </w:p>
    <w:p>
      <w:pPr>
        <w:ind w:left="520" w:right="2499" w:hanging="514"/>
        <w:spacing w:after="0" w:line="247"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shall mean an Incentive Stock Option or a Non-Qualified Stock Option.</w:t>
      </w:r>
    </w:p>
    <w:p>
      <w:pPr>
        <w:spacing w:after="0" w:line="197"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Stock-Based Award" shall mean any right granted under paragraph</w:t>
      </w:r>
    </w:p>
    <w:p>
      <w:pPr>
        <w:spacing w:after="0" w:line="5" w:lineRule="exact"/>
        <w:rPr>
          <w:rFonts w:ascii="Courier New" w:cs="Courier New" w:eastAsia="Courier New" w:hAnsi="Courier New"/>
          <w:sz w:val="17"/>
          <w:szCs w:val="17"/>
          <w:color w:val="auto"/>
        </w:rPr>
      </w:pPr>
    </w:p>
    <w:p>
      <w:pPr>
        <w:ind w:left="940" w:hanging="420"/>
        <w:spacing w:after="0"/>
        <w:tabs>
          <w:tab w:leader="none" w:pos="94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the heading "Awards" set forth below.</w:t>
      </w:r>
    </w:p>
    <w:p>
      <w:pPr>
        <w:spacing w:after="0" w:line="203" w:lineRule="exact"/>
        <w:rPr>
          <w:rFonts w:ascii="Courier New" w:cs="Courier New" w:eastAsia="Courier New" w:hAnsi="Courier New"/>
          <w:sz w:val="17"/>
          <w:szCs w:val="17"/>
          <w:color w:val="auto"/>
        </w:rPr>
      </w:pPr>
    </w:p>
    <w:p>
      <w:pPr>
        <w:ind w:left="520" w:right="2499" w:hanging="514"/>
        <w:spacing w:after="0" w:line="247"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shall mean an employee designated to be granted an Award under the Plan.</w:t>
      </w:r>
    </w:p>
    <w:p>
      <w:pPr>
        <w:spacing w:after="0" w:line="197" w:lineRule="exact"/>
        <w:rPr>
          <w:rFonts w:ascii="Courier New" w:cs="Courier New" w:eastAsia="Courier New" w:hAnsi="Courier New"/>
          <w:sz w:val="17"/>
          <w:szCs w:val="17"/>
          <w:color w:val="auto"/>
        </w:rPr>
      </w:pPr>
    </w:p>
    <w:p>
      <w:pPr>
        <w:ind w:left="520" w:right="2179" w:hanging="514"/>
        <w:spacing w:after="0" w:line="247"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 shall mean any right granted under paragraph (c) under the heading "Awards" set forth below.</w:t>
      </w:r>
    </w:p>
    <w:p>
      <w:pPr>
        <w:spacing w:after="0" w:line="197" w:lineRule="exact"/>
        <w:rPr>
          <w:rFonts w:ascii="Courier New" w:cs="Courier New" w:eastAsia="Courier New" w:hAnsi="Courier New"/>
          <w:sz w:val="17"/>
          <w:szCs w:val="17"/>
          <w:color w:val="auto"/>
        </w:rPr>
      </w:pPr>
    </w:p>
    <w:p>
      <w:pPr>
        <w:ind w:left="520" w:right="2999" w:hanging="514"/>
        <w:spacing w:after="0" w:line="246"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"Released Securities" shall mean securities that were Restricted Securities with respect to which all applicable restrictions have expired, lapsed, or been waived.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pacing w:after="0" w:line="203" w:lineRule="exact"/>
        <w:rPr>
          <w:sz w:val="20"/>
          <w:szCs w:val="20"/>
          <w:color w:val="auto"/>
        </w:rPr>
      </w:pPr>
    </w:p>
    <w:p>
      <w:pPr>
        <w:ind w:left="520" w:right="2499" w:hanging="514"/>
        <w:spacing w:after="0" w:line="246"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Securities" shall mean Awards of Restricted Stock or other Awards under which issued and outstanding Shares are held subject to certain restrictions.</w:t>
      </w:r>
    </w:p>
    <w:p>
      <w:pPr>
        <w:spacing w:after="0" w:line="199" w:lineRule="exact"/>
        <w:rPr>
          <w:rFonts w:ascii="Courier New" w:cs="Courier New" w:eastAsia="Courier New" w:hAnsi="Courier New"/>
          <w:sz w:val="17"/>
          <w:szCs w:val="17"/>
          <w:color w:val="auto"/>
        </w:rPr>
      </w:pPr>
    </w:p>
    <w:p>
      <w:pPr>
        <w:ind w:left="520" w:right="2179" w:hanging="514"/>
        <w:spacing w:after="0" w:line="247"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shall mean any Share granted under paragraph (b) under the heading "Awards" set forth below.</w:t>
      </w:r>
    </w:p>
    <w:p>
      <w:pPr>
        <w:spacing w:after="0" w:line="197"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Unit" shall mean any right granted under said paragraph</w:t>
      </w:r>
    </w:p>
    <w:p>
      <w:pPr>
        <w:spacing w:after="0" w:line="5" w:lineRule="exact"/>
        <w:rPr>
          <w:rFonts w:ascii="Courier New" w:cs="Courier New" w:eastAsia="Courier New" w:hAnsi="Courier New"/>
          <w:sz w:val="17"/>
          <w:szCs w:val="17"/>
          <w:color w:val="auto"/>
        </w:rPr>
      </w:pPr>
    </w:p>
    <w:p>
      <w:pPr>
        <w:ind w:left="940" w:hanging="420"/>
        <w:spacing w:after="0"/>
        <w:tabs>
          <w:tab w:leader="none" w:pos="94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is denominated in Shares.</w:t>
      </w:r>
    </w:p>
    <w:p>
      <w:pPr>
        <w:spacing w:after="0" w:line="203" w:lineRule="exact"/>
        <w:rPr>
          <w:rFonts w:ascii="Courier New" w:cs="Courier New" w:eastAsia="Courier New" w:hAnsi="Courier New"/>
          <w:sz w:val="17"/>
          <w:szCs w:val="17"/>
          <w:color w:val="auto"/>
        </w:rPr>
      </w:pPr>
    </w:p>
    <w:p>
      <w:pPr>
        <w:ind w:left="520" w:right="2699" w:hanging="514"/>
        <w:spacing w:after="0" w:line="246"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On Common Equity" for a period shall mean net income less preferred stock dividends divided by total shareholders equity, less amounts, if any, attributable to preferred stock.</w:t>
      </w:r>
    </w:p>
    <w:p>
      <w:pPr>
        <w:spacing w:after="0" w:line="199" w:lineRule="exact"/>
        <w:rPr>
          <w:rFonts w:ascii="Courier New" w:cs="Courier New" w:eastAsia="Courier New" w:hAnsi="Courier New"/>
          <w:sz w:val="17"/>
          <w:szCs w:val="17"/>
          <w:color w:val="auto"/>
        </w:rPr>
      </w:pPr>
    </w:p>
    <w:p>
      <w:pPr>
        <w:ind w:left="520" w:right="2279" w:hanging="514"/>
        <w:spacing w:after="0" w:line="246"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"Return On Net Assets"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200" w:lineRule="exact"/>
        <w:rPr>
          <w:rFonts w:ascii="Courier New" w:cs="Courier New" w:eastAsia="Courier New" w:hAnsi="Courier New"/>
          <w:sz w:val="17"/>
          <w:szCs w:val="17"/>
          <w:color w:val="auto"/>
        </w:rPr>
      </w:pPr>
    </w:p>
    <w:p>
      <w:pPr>
        <w:ind w:left="520" w:right="2279" w:hanging="514"/>
        <w:spacing w:after="0" w:line="246"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"Revenue Growth" shall mean the percentage change in revenue (as defined in Statement of Financial Accounting Concepts No. 6, published by the Financial Accounting Standards Board) from one period to another.</w:t>
      </w:r>
    </w:p>
    <w:p>
      <w:pPr>
        <w:spacing w:after="0" w:line="199" w:lineRule="exact"/>
        <w:rPr>
          <w:rFonts w:ascii="Courier New" w:cs="Courier New" w:eastAsia="Courier New" w:hAnsi="Courier New"/>
          <w:sz w:val="17"/>
          <w:szCs w:val="17"/>
          <w:color w:val="auto"/>
        </w:rPr>
      </w:pPr>
    </w:p>
    <w:p>
      <w:pPr>
        <w:ind w:left="520" w:right="2279" w:hanging="514"/>
        <w:spacing w:after="0" w:line="247"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shall mean shares of the common stock of the Company, $1.00 par value.</w:t>
      </w:r>
    </w:p>
    <w:p>
      <w:pPr>
        <w:spacing w:after="0" w:line="197" w:lineRule="exact"/>
        <w:rPr>
          <w:rFonts w:ascii="Courier New" w:cs="Courier New" w:eastAsia="Courier New" w:hAnsi="Courier New"/>
          <w:sz w:val="17"/>
          <w:szCs w:val="17"/>
          <w:color w:val="auto"/>
        </w:rPr>
      </w:pPr>
    </w:p>
    <w:p>
      <w:pPr>
        <w:ind w:left="520" w:right="2279" w:hanging="514"/>
        <w:spacing w:after="0" w:line="246"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Shareholder Return" shall mean the sum of the appreciation in the Company's stock price and dividends paid on the common stock of the Company over a given period of time.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 of Plan</w:t>
      </w:r>
    </w:p>
    <w:p>
      <w:pPr>
        <w:spacing w:after="0" w:line="203"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7"/>
          <w:szCs w:val="17"/>
          <w:color w:val="auto"/>
        </w:rPr>
        <w:t>The Plan shall be administered by the Committee.</w:t>
        <w:tab/>
        <w:t>Subject to the terms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and applicable law, the Committee shall have full power and authority to:</w:t>
      </w:r>
    </w:p>
    <w:p>
      <w:pPr>
        <w:spacing w:after="0" w:line="5" w:lineRule="exact"/>
        <w:rPr>
          <w:sz w:val="20"/>
          <w:szCs w:val="20"/>
          <w:color w:val="auto"/>
        </w:rPr>
      </w:pPr>
    </w:p>
    <w:p>
      <w:pPr>
        <w:ind w:right="2179" w:firstLine="6"/>
        <w:spacing w:after="0" w:line="246" w:lineRule="auto"/>
        <w:tabs>
          <w:tab w:leader="none" w:pos="41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w:t>
      </w:r>
    </w:p>
    <w:p>
      <w:pPr>
        <w:sectPr>
          <w:pgSz w:w="11900" w:h="16838" w:orient="portrait"/>
          <w:cols w:equalWidth="0" w:num="1">
            <w:col w:w="10219"/>
          </w:cols>
          <w:pgMar w:left="240" w:top="142" w:right="1440" w:bottom="0" w:gutter="0" w:footer="0" w:header="0"/>
        </w:sectPr>
      </w:pPr>
    </w:p>
    <w:bookmarkStart w:id="14" w:name="page15"/>
    <w:bookmarkEnd w:id="14"/>
    <w:p>
      <w:pPr>
        <w:jc w:val="both"/>
        <w:ind w:right="2279"/>
        <w:spacing w:after="0" w:line="246" w:lineRule="auto"/>
        <w:rPr>
          <w:sz w:val="20"/>
          <w:szCs w:val="20"/>
          <w:color w:val="auto"/>
        </w:rPr>
      </w:pPr>
      <w:r>
        <w:rPr>
          <w:rFonts w:ascii="Courier New" w:cs="Courier New" w:eastAsia="Courier New" w:hAnsi="Courier New"/>
          <w:sz w:val="17"/>
          <w:szCs w:val="17"/>
          <w:color w:val="auto"/>
        </w:rPr>
        <w:t>of the Plan; and (ix) make any other determination and take any other action that the Committee deems necessary or desirable for the administration of the Plan.</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Unless otherwise determined by the Committee, the amounts of any dividend equivalents or interest determined by the Committee to be payable with respect to any Awards shall not be counted against the aggregate number of shares</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available for granting Awards under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Participant, any holder or beneficiary of any Award, any stockholder and any employee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Available for Awards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Subject to adjustment as provided below:</w:t>
      </w:r>
    </w:p>
    <w:p>
      <w:pPr>
        <w:spacing w:after="0" w:line="203" w:lineRule="exact"/>
        <w:rPr>
          <w:sz w:val="20"/>
          <w:szCs w:val="20"/>
          <w:color w:val="auto"/>
        </w:rPr>
      </w:pPr>
    </w:p>
    <w:p>
      <w:pPr>
        <w:ind w:left="820" w:hanging="814"/>
        <w:spacing w:after="0"/>
        <w:tabs>
          <w:tab w:leader="none" w:pos="8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Available</w:t>
      </w:r>
    </w:p>
    <w:p>
      <w:pPr>
        <w:spacing w:after="0" w:line="203" w:lineRule="exact"/>
        <w:rPr>
          <w:rFonts w:ascii="Courier New" w:cs="Courier New" w:eastAsia="Courier New" w:hAnsi="Courier New"/>
          <w:sz w:val="17"/>
          <w:szCs w:val="17"/>
          <w:color w:val="auto"/>
        </w:rPr>
      </w:pPr>
    </w:p>
    <w:p>
      <w:pPr>
        <w:ind w:left="1340" w:right="2179" w:hanging="511"/>
        <w:spacing w:after="0" w:line="246" w:lineRule="auto"/>
        <w:tabs>
          <w:tab w:leader="none" w:pos="13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Overall. The number of Shares available for granting Awards (including Awards of Restricted Stock and Restricted Stock Units and Other Stock-Based Awards) under the Plan during the term of the Plan shall be 18,500,000 shares. If, after the effective date of the Plan, any Shares covered by an award granted under the Plan, or by an option granted under the Company's 1984 or 1988 Stock Option Plans, or an award granted under the Company's Long-Term Incentive Plan adopted April 15, 1993, or to which such an award relates, are forfeited, or if such an Award or such an option otherwise terminates without the delivery of Shares or of other consideration, then the Shares covered by such award or option, or to which such award relates, or the number of Shares otherwise counted against the aggregate number of Shares available under the Plan with respect to such award, to the extent of any such forfeiture or termination, shall again be, or shall become, available for granting awards under the Plan to the extent permitted by Rule 16b-3.</w:t>
      </w:r>
    </w:p>
    <w:p>
      <w:pPr>
        <w:spacing w:after="0" w:line="200" w:lineRule="exact"/>
        <w:rPr>
          <w:rFonts w:ascii="Courier New" w:cs="Courier New" w:eastAsia="Courier New" w:hAnsi="Courier New"/>
          <w:sz w:val="17"/>
          <w:szCs w:val="17"/>
          <w:color w:val="auto"/>
        </w:rPr>
      </w:pPr>
    </w:p>
    <w:p>
      <w:pPr>
        <w:spacing w:after="0" w:line="205"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Restriction. The maximum number of Shares that may be awarded under paragraph (b), "Restricted Stock and Restricted Stock Units", and paragraph (d), "Other Stock-Based Awards", under the heading "Awards" below during the term of the Plan shall be 2,000,000 shares.</w:t>
      </w:r>
    </w:p>
    <w:p>
      <w:pPr>
        <w:spacing w:after="0" w:line="200" w:lineRule="exact"/>
        <w:rPr>
          <w:rFonts w:ascii="Courier New" w:cs="Courier New" w:eastAsia="Courier New" w:hAnsi="Courier New"/>
          <w:sz w:val="17"/>
          <w:szCs w:val="17"/>
          <w:color w:val="auto"/>
        </w:rPr>
      </w:pPr>
    </w:p>
    <w:p>
      <w:pPr>
        <w:ind w:left="820" w:hanging="814"/>
        <w:spacing w:after="0"/>
        <w:tabs>
          <w:tab w:leader="none" w:pos="8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for Awards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purposes of this section:</w:t>
      </w:r>
    </w:p>
    <w:p>
      <w:pPr>
        <w:spacing w:after="0" w:line="203" w:lineRule="exact"/>
        <w:rPr>
          <w:sz w:val="20"/>
          <w:szCs w:val="20"/>
          <w:color w:val="auto"/>
        </w:rPr>
      </w:pPr>
    </w:p>
    <w:p>
      <w:pPr>
        <w:ind w:left="1340" w:right="2279" w:hanging="511"/>
        <w:spacing w:after="0" w:line="246" w:lineRule="auto"/>
        <w:tabs>
          <w:tab w:leader="none" w:pos="13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Award is denominated in Shares, the number of Shares covered by such Award, or to which such Award relates, shall be counted on the date of grant of such Award against the aggregate number of Shares available for granting Awards under the Plan; and</w:t>
      </w:r>
    </w:p>
    <w:p>
      <w:pPr>
        <w:spacing w:after="0" w:line="200" w:lineRule="exact"/>
        <w:rPr>
          <w:rFonts w:ascii="Courier New" w:cs="Courier New" w:eastAsia="Courier New" w:hAnsi="Courier New"/>
          <w:sz w:val="17"/>
          <w:szCs w:val="17"/>
          <w:color w:val="auto"/>
        </w:rPr>
      </w:pPr>
    </w:p>
    <w:p>
      <w:pPr>
        <w:ind w:left="1340" w:right="2399" w:hanging="614"/>
        <w:spacing w:after="0" w:line="246" w:lineRule="auto"/>
        <w:tabs>
          <w:tab w:leader="none" w:pos="13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not denominated in Shares shall be counted against the aggregate number of Shares available for granting Awards under the Plan in such amount and at such time as the Committee shall determine under procedures adopted by the Committee consistent with the purposes of the Plan;</w:t>
      </w:r>
    </w:p>
    <w:p>
      <w:pPr>
        <w:spacing w:after="0" w:line="201" w:lineRule="exact"/>
        <w:rPr>
          <w:sz w:val="20"/>
          <w:szCs w:val="20"/>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provided, however, that Awards that operate in tandem with (whether granted simultaneously with or at a different time from) other Awards may be counted</w:t>
      </w: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or not counted under procedures adopted by the Committee in order to avoid double counting. Any Shares that are delivered by the Company, and any Awards that are granted by, or become obligations of, the Company, through the assumption by the Company of, or in substitution for, outstanding awards previously granted by an acquired company shall not, except in the case of Awards granted to employees who are officers or directors of the Company for purposes of Section 16 of the Securities Exchange Act of 1934, as amended, be counted against the Shares available for granting Awards under the Plan.</w:t>
      </w:r>
    </w:p>
    <w:p>
      <w:pPr>
        <w:sectPr>
          <w:pgSz w:w="11900" w:h="16838" w:orient="portrait"/>
          <w:cols w:equalWidth="0" w:num="1">
            <w:col w:w="10219"/>
          </w:cols>
          <w:pgMar w:left="240" w:top="142" w:right="1440" w:bottom="0" w:gutter="0" w:footer="0" w:header="0"/>
        </w:sectPr>
      </w:pPr>
    </w:p>
    <w:bookmarkStart w:id="15" w:name="page16"/>
    <w:bookmarkEnd w:id="15"/>
    <w:p>
      <w:pPr>
        <w:ind w:left="820" w:hanging="814"/>
        <w:spacing w:after="0"/>
        <w:tabs>
          <w:tab w:leader="none" w:pos="8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Sources of Shares Deliverable Under Awards</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Any Shares delivered pursuant to an Award may consist, in whole or in part, of authorized and unissued Shares or of treasury Shares.</w:t>
      </w:r>
    </w:p>
    <w:p>
      <w:pPr>
        <w:spacing w:after="0" w:line="198" w:lineRule="exact"/>
        <w:rPr>
          <w:sz w:val="20"/>
          <w:szCs w:val="20"/>
          <w:color w:val="auto"/>
        </w:rPr>
      </w:pPr>
    </w:p>
    <w:p>
      <w:pPr>
        <w:ind w:left="820" w:hanging="814"/>
        <w:spacing w:after="0"/>
        <w:tabs>
          <w:tab w:leader="none" w:pos="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thereof; and provided further, that the number of Shares subject to any Award denominated in Shares shall always be a whole number.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w:t>
      </w:r>
    </w:p>
    <w:p>
      <w:pPr>
        <w:spacing w:after="0" w:line="203" w:lineRule="exact"/>
        <w:rPr>
          <w:sz w:val="20"/>
          <w:szCs w:val="20"/>
          <w:color w:val="auto"/>
        </w:rPr>
      </w:pPr>
    </w:p>
    <w:p>
      <w:pPr>
        <w:ind w:right="2279" w:firstLine="6"/>
        <w:spacing w:after="0" w:line="246" w:lineRule="auto"/>
        <w:tabs>
          <w:tab w:leader="none" w:pos="82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200" w:lineRule="exact"/>
        <w:rPr>
          <w:rFonts w:ascii="Courier New" w:cs="Courier New" w:eastAsia="Courier New" w:hAnsi="Courier New"/>
          <w:sz w:val="17"/>
          <w:szCs w:val="17"/>
          <w:color w:val="auto"/>
        </w:rPr>
      </w:pPr>
    </w:p>
    <w:p>
      <w:pPr>
        <w:ind w:left="1340" w:right="2399" w:hanging="511"/>
        <w:spacing w:after="0" w:line="246" w:lineRule="auto"/>
        <w:tabs>
          <w:tab w:leader="none" w:pos="13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purchase price per Share purchasable under an Option shall be determined by the Committee; provided, however, that, except in the case of Options granted through assumption of, or in substitution for, outstanding awards previously granted by an acquired company, such purchase price shall not be less than the Fair Market Value of a Share on the date of grant of such Option.</w:t>
      </w:r>
    </w:p>
    <w:p>
      <w:pPr>
        <w:spacing w:after="0" w:line="202" w:lineRule="exact"/>
        <w:rPr>
          <w:rFonts w:ascii="Courier New" w:cs="Courier New" w:eastAsia="Courier New" w:hAnsi="Courier New"/>
          <w:sz w:val="17"/>
          <w:szCs w:val="17"/>
          <w:color w:val="auto"/>
        </w:rPr>
      </w:pPr>
    </w:p>
    <w:p>
      <w:pPr>
        <w:ind w:left="1340" w:right="2799" w:hanging="614"/>
        <w:spacing w:after="0" w:line="247" w:lineRule="auto"/>
        <w:tabs>
          <w:tab w:leader="none" w:pos="13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Term. The term of each Option shall be fixed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left="1340" w:right="2279" w:hanging="717"/>
        <w:spacing w:after="0" w:line="246" w:lineRule="auto"/>
        <w:tabs>
          <w:tab w:leader="none" w:pos="13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and Method of Exercise. 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202"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200" w:lineRule="exact"/>
        <w:rPr>
          <w:rFonts w:ascii="Courier New" w:cs="Courier New" w:eastAsia="Courier New" w:hAnsi="Courier New"/>
          <w:sz w:val="17"/>
          <w:szCs w:val="17"/>
          <w:color w:val="auto"/>
        </w:rPr>
      </w:pPr>
    </w:p>
    <w:p>
      <w:pPr>
        <w:ind w:left="820" w:hanging="814"/>
        <w:spacing w:after="0"/>
        <w:tabs>
          <w:tab w:leader="none" w:pos="8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and Restricted Stock Units</w:t>
      </w:r>
    </w:p>
    <w:p>
      <w:pPr>
        <w:spacing w:after="0" w:line="203" w:lineRule="exact"/>
        <w:rPr>
          <w:rFonts w:ascii="Courier New" w:cs="Courier New" w:eastAsia="Courier New" w:hAnsi="Courier New"/>
          <w:sz w:val="17"/>
          <w:szCs w:val="17"/>
          <w:color w:val="auto"/>
        </w:rPr>
      </w:pPr>
    </w:p>
    <w:p>
      <w:pPr>
        <w:ind w:left="1340" w:right="2279" w:hanging="511"/>
        <w:spacing w:after="0" w:line="247" w:lineRule="auto"/>
        <w:tabs>
          <w:tab w:leader="none" w:pos="13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The Committee is hereby authorized to grant Awards of Restricted Stock and Restricted Stock Units to Participants.</w:t>
      </w:r>
    </w:p>
    <w:p>
      <w:pPr>
        <w:spacing w:after="0" w:line="197"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However, the minimum vesting period for Restricted Stock Units granted under this Plan shall be three years.</w:t>
      </w:r>
    </w:p>
    <w:p>
      <w:pPr>
        <w:sectPr>
          <w:pgSz w:w="11900" w:h="16838" w:orient="portrait"/>
          <w:cols w:equalWidth="0" w:num="1">
            <w:col w:w="10219"/>
          </w:cols>
          <w:pgMar w:left="240" w:top="142" w:right="1440" w:bottom="101" w:gutter="0" w:footer="0" w:header="0"/>
        </w:sectPr>
      </w:pPr>
    </w:p>
    <w:bookmarkStart w:id="16" w:name="page17"/>
    <w:bookmarkEnd w:id="16"/>
    <w:p>
      <w:pPr>
        <w:ind w:left="1340" w:right="2179" w:hanging="717"/>
        <w:spacing w:after="0" w:line="246" w:lineRule="auto"/>
        <w:tabs>
          <w:tab w:leader="none" w:pos="134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Any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203"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Forfeiture. Except as otherwise determined by the Committee, upon termination of employment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 Unrestricted Shares, evidenced in such manner as the Committee shall deem appropriate, shall be delivered to the holder of Restricted Stock promptly after such Restricted Stock shall become Released Securities.</w:t>
      </w:r>
    </w:p>
    <w:p>
      <w:pPr>
        <w:spacing w:after="0" w:line="206" w:lineRule="exact"/>
        <w:rPr>
          <w:rFonts w:ascii="Courier New" w:cs="Courier New" w:eastAsia="Courier New" w:hAnsi="Courier New"/>
          <w:sz w:val="17"/>
          <w:szCs w:val="17"/>
          <w:color w:val="auto"/>
        </w:rPr>
      </w:pPr>
    </w:p>
    <w:p>
      <w:pPr>
        <w:jc w:val="both"/>
        <w:ind w:right="2899" w:firstLine="6"/>
        <w:spacing w:after="0" w:line="247" w:lineRule="auto"/>
        <w:tabs>
          <w:tab w:leader="none" w:pos="82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Units. The Committee is hereby authorized to grant Performance Units to Participants. Subject to the terms of the Plan, a</w:t>
      </w:r>
    </w:p>
    <w:p>
      <w:pPr>
        <w:spacing w:after="0" w:line="200" w:lineRule="exact"/>
        <w:rPr>
          <w:sz w:val="20"/>
          <w:szCs w:val="20"/>
          <w:color w:val="auto"/>
        </w:rPr>
      </w:pPr>
    </w:p>
    <w:p>
      <w:pPr>
        <w:spacing w:after="0" w:line="394"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204" w:lineRule="exact"/>
        <w:rPr>
          <w:sz w:val="20"/>
          <w:szCs w:val="20"/>
          <w:color w:val="auto"/>
        </w:rPr>
      </w:pPr>
    </w:p>
    <w:p>
      <w:pPr>
        <w:ind w:right="2179" w:firstLine="6"/>
        <w:spacing w:after="0" w:line="246" w:lineRule="auto"/>
        <w:tabs>
          <w:tab w:leader="none" w:pos="824"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Stock-Based Awards. The Committee is hereby authorized to grant to Participants such other Awards (including, without limitation, stock appreciation rights)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paragraph (d)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Awards granted through assumption of, or in substitution for, outstanding awards previously granted by an acquired company, not be less than the Fair Market Value of such Shares or other securities as of the date such purchase right is granted.</w:t>
      </w:r>
    </w:p>
    <w:p>
      <w:pPr>
        <w:spacing w:after="0" w:line="207" w:lineRule="exact"/>
        <w:rPr>
          <w:rFonts w:ascii="Courier New" w:cs="Courier New" w:eastAsia="Courier New" w:hAnsi="Courier New"/>
          <w:sz w:val="17"/>
          <w:szCs w:val="17"/>
          <w:color w:val="auto"/>
        </w:rPr>
      </w:pPr>
    </w:p>
    <w:p>
      <w:pPr>
        <w:ind w:left="820" w:hanging="814"/>
        <w:spacing w:after="0"/>
        <w:tabs>
          <w:tab w:leader="none" w:pos="8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203" w:lineRule="exact"/>
        <w:rPr>
          <w:rFonts w:ascii="Courier New" w:cs="Courier New" w:eastAsia="Courier New" w:hAnsi="Courier New"/>
          <w:sz w:val="17"/>
          <w:szCs w:val="17"/>
          <w:color w:val="auto"/>
        </w:rPr>
      </w:pPr>
    </w:p>
    <w:p>
      <w:pPr>
        <w:ind w:left="1340" w:right="2179" w:hanging="511"/>
        <w:spacing w:after="0" w:line="246" w:lineRule="auto"/>
        <w:tabs>
          <w:tab w:leader="none" w:pos="13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Cash Consideration for Awards. Awards shall be granted for no cash consideration or for such minimal cash consideration as may be required by applicable law.</w:t>
      </w:r>
    </w:p>
    <w:p>
      <w:pPr>
        <w:spacing w:after="0" w:line="199"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May Be Granted Separately or Together. 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202" w:lineRule="exact"/>
        <w:rPr>
          <w:rFonts w:ascii="Courier New" w:cs="Courier New" w:eastAsia="Courier New" w:hAnsi="Courier New"/>
          <w:sz w:val="17"/>
          <w:szCs w:val="17"/>
          <w:color w:val="auto"/>
        </w:rPr>
      </w:pPr>
    </w:p>
    <w:p>
      <w:pPr>
        <w:ind w:left="1340" w:right="2179" w:hanging="717"/>
        <w:spacing w:after="0" w:line="246" w:lineRule="auto"/>
        <w:tabs>
          <w:tab w:leader="none" w:pos="13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Forms of Payment Under Awards. 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w:t>
      </w:r>
    </w:p>
    <w:p>
      <w:pPr>
        <w:sectPr>
          <w:pgSz w:w="11900" w:h="16838" w:orient="portrait"/>
          <w:cols w:equalWidth="0" w:num="1">
            <w:col w:w="10219"/>
          </w:cols>
          <w:pgMar w:left="240" w:top="142" w:right="1440" w:bottom="0" w:gutter="0" w:footer="0" w:header="0"/>
        </w:sectPr>
      </w:pPr>
    </w:p>
    <w:bookmarkStart w:id="17" w:name="page18"/>
    <w:bookmarkEnd w:id="17"/>
    <w:p>
      <w:pPr>
        <w:ind w:left="1340" w:right="2179"/>
        <w:spacing w:after="0" w:line="246" w:lineRule="auto"/>
        <w:rPr>
          <w:sz w:val="20"/>
          <w:szCs w:val="20"/>
          <w:color w:val="auto"/>
        </w:rPr>
      </w:pPr>
      <w:r>
        <w:rPr>
          <w:rFonts w:ascii="Courier New" w:cs="Courier New" w:eastAsia="Courier New" w:hAnsi="Courier New"/>
          <w:sz w:val="17"/>
          <w:szCs w:val="17"/>
          <w:color w:val="auto"/>
        </w:rPr>
        <w:t>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ind w:left="1340" w:right="2179" w:hanging="614"/>
        <w:spacing w:after="0" w:line="246" w:lineRule="auto"/>
        <w:tabs>
          <w:tab w:leader="none" w:pos="13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w:t>
      </w:r>
    </w:p>
    <w:p>
      <w:pPr>
        <w:spacing w:after="0" w:line="208" w:lineRule="exact"/>
        <w:rPr>
          <w:rFonts w:ascii="Courier New" w:cs="Courier New" w:eastAsia="Courier New" w:hAnsi="Courier New"/>
          <w:sz w:val="17"/>
          <w:szCs w:val="17"/>
          <w:color w:val="auto"/>
        </w:rPr>
      </w:pPr>
    </w:p>
    <w:p>
      <w:pPr>
        <w:ind w:left="1340" w:right="2179" w:hanging="511"/>
        <w:spacing w:after="0" w:line="246" w:lineRule="auto"/>
        <w:tabs>
          <w:tab w:leader="none" w:pos="13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200"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Certificates. 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203" w:lineRule="exact"/>
        <w:rPr>
          <w:rFonts w:ascii="Courier New" w:cs="Courier New" w:eastAsia="Courier New" w:hAnsi="Courier New"/>
          <w:sz w:val="17"/>
          <w:szCs w:val="17"/>
          <w:color w:val="auto"/>
        </w:rPr>
      </w:pPr>
    </w:p>
    <w:p>
      <w:pPr>
        <w:ind w:left="1340" w:right="2179" w:hanging="717"/>
        <w:spacing w:after="0" w:line="246" w:lineRule="auto"/>
        <w:tabs>
          <w:tab w:leader="none" w:pos="13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Measures for Selected Awards. Every award other than an option or stock appreciation right to a member of the Executive Group (defined below) shall include a pre-established formula, such that payment, retention or vesting of the award is subject to the achievement during a performance period or periods, as determined by the Committee, of a level or levels, as determined by the Committee, of one or more of the following performance measures, as determined by the Committee: (i) return on net assets, (ii) revenue growth, (iii) return on common equity, (iv) total shareholder return, (v) earnings per share,</w:t>
      </w:r>
    </w:p>
    <w:p>
      <w:pPr>
        <w:spacing w:after="0" w:line="5" w:lineRule="exact"/>
        <w:rPr>
          <w:rFonts w:ascii="Courier New" w:cs="Courier New" w:eastAsia="Courier New" w:hAnsi="Courier New"/>
          <w:sz w:val="17"/>
          <w:szCs w:val="17"/>
          <w:color w:val="auto"/>
        </w:rPr>
      </w:pPr>
    </w:p>
    <w:p>
      <w:pPr>
        <w:ind w:left="1860" w:hanging="516"/>
        <w:spacing w:after="0"/>
        <w:tabs>
          <w:tab w:leader="none" w:pos="186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cycle time improvement, (vii) manufacturing process yield,</w:t>
      </w:r>
    </w:p>
    <w:p>
      <w:pPr>
        <w:spacing w:after="0" w:line="5" w:lineRule="exact"/>
        <w:rPr>
          <w:rFonts w:ascii="Courier New" w:cs="Courier New" w:eastAsia="Courier New" w:hAnsi="Courier New"/>
          <w:sz w:val="17"/>
          <w:szCs w:val="17"/>
          <w:color w:val="auto"/>
        </w:rPr>
      </w:pPr>
    </w:p>
    <w:p>
      <w:pPr>
        <w:ind w:left="1340" w:right="2399" w:firstLine="4"/>
        <w:spacing w:after="0" w:line="246" w:lineRule="auto"/>
        <w:tabs>
          <w:tab w:leader="none" w:pos="2061"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revenue per employee or (ix) market share. The "Executive Group" shall include every person who, at the time such pre-established formula is determined, is expected by the Committee to be both (a) a "covered employee" as defined in Section 162(m) of the Code as of the end of the taxable year in which payment of the award may be deducted by the Company, and</w:t>
      </w:r>
    </w:p>
    <w:p>
      <w:pPr>
        <w:spacing w:after="0" w:line="3" w:lineRule="exact"/>
        <w:rPr>
          <w:rFonts w:ascii="Courier New" w:cs="Courier New" w:eastAsia="Courier New" w:hAnsi="Courier New"/>
          <w:sz w:val="17"/>
          <w:szCs w:val="17"/>
          <w:color w:val="auto"/>
        </w:rPr>
      </w:pPr>
    </w:p>
    <w:p>
      <w:pPr>
        <w:ind w:left="134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the recipient of compensation of more than $1,000,000 for that taxable year. For awards in the form of options or stock appreciation rights, no more than 500,000 shares can be granted under this Plan to any participant in any one year. For other awards denominated in stock, no more than 50,000 shares can be</w:t>
      </w: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jc w:val="both"/>
        <w:ind w:left="1340" w:right="2279"/>
        <w:spacing w:after="0" w:line="246" w:lineRule="auto"/>
        <w:rPr>
          <w:sz w:val="20"/>
          <w:szCs w:val="20"/>
          <w:color w:val="auto"/>
        </w:rPr>
      </w:pPr>
      <w:r>
        <w:rPr>
          <w:rFonts w:ascii="Courier New" w:cs="Courier New" w:eastAsia="Courier New" w:hAnsi="Courier New"/>
          <w:sz w:val="17"/>
          <w:szCs w:val="17"/>
          <w:color w:val="auto"/>
        </w:rPr>
        <w:t>granted under this Plan to any participant in any one year. For all other awards, no more than $5,000,000 can be paid under this Plan to any participant in any one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w:t>
      </w:r>
    </w:p>
    <w:p>
      <w:pPr>
        <w:spacing w:after="0" w:line="203"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Except to the extent prohibited by applicable law and unless otherwise expressly provided in an Award Agreement or in the Plan:</w:t>
      </w:r>
    </w:p>
    <w:p>
      <w:pPr>
        <w:spacing w:after="0" w:line="198" w:lineRule="exact"/>
        <w:rPr>
          <w:sz w:val="20"/>
          <w:szCs w:val="20"/>
          <w:color w:val="auto"/>
        </w:rPr>
      </w:pPr>
    </w:p>
    <w:p>
      <w:pPr>
        <w:spacing w:after="0"/>
        <w:tabs>
          <w:tab w:leader="none" w:pos="800" w:val="left"/>
          <w:tab w:leader="none" w:pos="33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Amendments to the Plan.</w:t>
        <w:tab/>
        <w:t>The Board of Directors of the Company may</w:t>
      </w:r>
    </w:p>
    <w:p>
      <w:pPr>
        <w:sectPr>
          <w:pgSz w:w="11900" w:h="16838" w:orient="portrait"/>
          <w:cols w:equalWidth="0" w:num="1">
            <w:col w:w="10219"/>
          </w:cols>
          <w:pgMar w:left="240" w:top="142" w:right="1440" w:bottom="0" w:gutter="0" w:footer="0" w:header="0"/>
        </w:sectPr>
      </w:pPr>
    </w:p>
    <w:bookmarkStart w:id="18" w:name="page19"/>
    <w:bookmarkEnd w:id="18"/>
    <w:p>
      <w:pPr>
        <w:ind w:right="2179"/>
        <w:spacing w:after="0" w:line="246" w:lineRule="auto"/>
        <w:rPr>
          <w:sz w:val="20"/>
          <w:szCs w:val="20"/>
          <w:color w:val="auto"/>
        </w:rPr>
      </w:pPr>
      <w:r>
        <w:rPr>
          <w:rFonts w:ascii="Courier New" w:cs="Courier New" w:eastAsia="Courier New" w:hAnsi="Courier New"/>
          <w:sz w:val="17"/>
          <w:szCs w:val="17"/>
          <w:color w:val="auto"/>
        </w:rPr>
        <w:t>amend, alter, suspend, discontinue or terminate the Plan, without the consent of any share owner, Participant, other holder or beneficiary of an Award, or other person; provided, however, that, no such action shall impair the rights under any Award theretofore granted under the Plan and that, notwithstanding any other provision of the Plan or any Award Agreement, without the approval of the stockholders of the Company no such amendment, alteration, suspension, discontinuation or termination shall be made that would:</w:t>
      </w:r>
    </w:p>
    <w:p>
      <w:pPr>
        <w:spacing w:after="0" w:line="202" w:lineRule="exact"/>
        <w:rPr>
          <w:sz w:val="20"/>
          <w:szCs w:val="20"/>
          <w:color w:val="auto"/>
        </w:rPr>
      </w:pPr>
    </w:p>
    <w:p>
      <w:pPr>
        <w:ind w:left="1340" w:right="2279" w:hanging="511"/>
        <w:spacing w:after="0" w:line="246" w:lineRule="auto"/>
        <w:tabs>
          <w:tab w:leader="none" w:pos="134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total number of Shares available for Awards under the Plan, except as provided under the heading "Shares Available for Awards" above; or</w:t>
      </w:r>
    </w:p>
    <w:p>
      <w:pPr>
        <w:spacing w:after="0" w:line="199" w:lineRule="exact"/>
        <w:rPr>
          <w:rFonts w:ascii="Courier New" w:cs="Courier New" w:eastAsia="Courier New" w:hAnsi="Courier New"/>
          <w:sz w:val="17"/>
          <w:szCs w:val="17"/>
          <w:color w:val="auto"/>
        </w:rPr>
      </w:pPr>
    </w:p>
    <w:p>
      <w:pPr>
        <w:ind w:left="1340" w:right="2179" w:hanging="614"/>
        <w:spacing w:after="0" w:line="246" w:lineRule="auto"/>
        <w:tabs>
          <w:tab w:leader="none" w:pos="134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Options or other Stock-Based Awards encompassing rights to purchase Shares to be granted with per Share grant, purchase, or exercise prices of less than the Fair Market Value of a Share on the date of grant thereof, except to the extent permitted in paragraphs (a) or (d) under the heading "Awards" above.</w:t>
      </w:r>
    </w:p>
    <w:p>
      <w:pPr>
        <w:spacing w:after="0" w:line="200"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to Awards. The Committee may waive any conditions or rights under, amend any terms of, or amend, alter, suspend, discontinue or terminate, any Award theretofore granted, prospectively or retroactively, without the consent of any relevant Participant or holder or beneficiary of an Award, provided that no such action shall impair the rights of any relevant Participant or holder or beneficiary under any Award theretofore granted under the Plan; and provided further that, except as provided for in paragraph (d) under the heading "Shares Available for Awards" above and in paragraph (c) below, no such action shall reduce the exercise price of any Option.</w:t>
      </w:r>
    </w:p>
    <w:p>
      <w:pPr>
        <w:spacing w:after="0" w:line="203"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of Awards Upon the Occurrence of Certain Unusual or Nonrecurring Events. The Committee shall be authorized to make adjustments in the terms and conditions of, and the criteria included in, Awards in recognition of unusual or nonrecurring events (including, without limitation, the events described in paragraph (d) under the heading "Shares Available for Awards" above)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203"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Correction of Defects, Omissions and Inconsistencies. The Committee may correct any defect, supply any omission, or reconcile any inconsistency in the Plan or any Award in the manner and to the extent it shall deem desirable to carry the Plan into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Provisions</w:t>
      </w:r>
    </w:p>
    <w:p>
      <w:pPr>
        <w:spacing w:after="0" w:line="203" w:lineRule="exact"/>
        <w:rPr>
          <w:sz w:val="20"/>
          <w:szCs w:val="20"/>
          <w:color w:val="auto"/>
        </w:rPr>
      </w:pPr>
    </w:p>
    <w:p>
      <w:pPr>
        <w:ind w:right="2179" w:firstLine="6"/>
        <w:spacing w:after="0" w:line="246" w:lineRule="auto"/>
        <w:tabs>
          <w:tab w:leader="none" w:pos="8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Rights to Awards. 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200"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Delegation. 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provided, that any delegation to management shall conform with the requirements of the General Corporation Law of Delaware, as in effect from time to time.</w:t>
      </w:r>
    </w:p>
    <w:p>
      <w:pPr>
        <w:spacing w:after="0" w:line="203"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 The Company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203"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Limit on Other Compensation Arrangements. Nothing contained in the Plan shall prevent the Company from adopting or continuing in effect other or additional compensation arrangements, and such arrangements may be either</w:t>
      </w:r>
    </w:p>
    <w:p>
      <w:pPr>
        <w:sectPr>
          <w:pgSz w:w="11900" w:h="16838"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generally applicable or applicable only in specific cases.</w:t>
      </w:r>
    </w:p>
    <w:p>
      <w:pPr>
        <w:spacing w:after="0" w:line="203" w:lineRule="exact"/>
        <w:rPr>
          <w:sz w:val="20"/>
          <w:szCs w:val="20"/>
          <w:color w:val="auto"/>
        </w:rPr>
      </w:pPr>
    </w:p>
    <w:p>
      <w:pPr>
        <w:ind w:right="2179" w:firstLine="6"/>
        <w:spacing w:after="0" w:line="246" w:lineRule="auto"/>
        <w:tabs>
          <w:tab w:leader="none" w:pos="82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Right to Employment. The grant of an Award shall not be construed as giving a Participant the right to be retained in the employ of the Company. Further, the Company may at any time dismiss a Participant from employment, free from any liability, or any claim under the Plan, unless otherwise expressly provided in the Plan or in any Award Agreement.</w:t>
      </w:r>
    </w:p>
    <w:p>
      <w:pPr>
        <w:spacing w:after="0" w:line="200"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The validity, construction, and effect of the Plan and any rules and regulations relating to the Plan shall be determined in accordance with the laws of the State of Delaware and applicable Federal law.</w:t>
      </w:r>
    </w:p>
    <w:p>
      <w:pPr>
        <w:spacing w:after="0" w:line="199"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03" w:lineRule="exact"/>
        <w:rPr>
          <w:rFonts w:ascii="Courier New" w:cs="Courier New" w:eastAsia="Courier New" w:hAnsi="Courier New"/>
          <w:sz w:val="17"/>
          <w:szCs w:val="17"/>
          <w:color w:val="auto"/>
        </w:rPr>
      </w:pPr>
    </w:p>
    <w:p>
      <w:pPr>
        <w:ind w:right="2179" w:firstLine="6"/>
        <w:spacing w:after="0" w:line="246" w:lineRule="auto"/>
        <w:tabs>
          <w:tab w:leader="none" w:pos="82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Trust or Fund Created. Neither the Plan nor any Award shall create or be construed to create a trust or separate fund of any kind or a fiduciary relationship between the Company and a Participant or any other person. To the extent that any person acquires a right to receive payments from the</w:t>
      </w:r>
    </w:p>
    <w:p>
      <w:pPr>
        <w:spacing w:after="0" w:line="200" w:lineRule="exact"/>
        <w:rPr>
          <w:sz w:val="20"/>
          <w:szCs w:val="20"/>
          <w:color w:val="auto"/>
        </w:rPr>
      </w:pPr>
    </w:p>
    <w:p>
      <w:pPr>
        <w:spacing w:after="0" w:line="396"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10</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Company pursuant to an Award, such right shall be no greater than the right of any unsecured general creditor of the Company.</w:t>
      </w:r>
    </w:p>
    <w:p>
      <w:pPr>
        <w:spacing w:after="0" w:line="198" w:lineRule="exact"/>
        <w:rPr>
          <w:sz w:val="20"/>
          <w:szCs w:val="20"/>
          <w:color w:val="auto"/>
        </w:rPr>
      </w:pPr>
    </w:p>
    <w:p>
      <w:pPr>
        <w:ind w:left="820" w:hanging="814"/>
        <w:spacing w:after="0"/>
        <w:tabs>
          <w:tab w:leader="none" w:pos="8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Fractional Shares.  No fractional Shares shall be issued or</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Date of the Plan</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Plan shall be effective as of the date of its approval by the stockholders of the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 of the Plan</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No Award shall be granted under the Plan after April 18, 2006.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42" w:right="144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EXHIBIT 11</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7620" w:type="dxa"/>
            <w:vAlign w:val="bottom"/>
            <w:gridSpan w:val="3"/>
          </w:tcPr>
          <w:p>
            <w:pPr>
              <w:jc w:val="center"/>
              <w:ind w:left="249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8960" w:type="dxa"/>
            <w:vAlign w:val="bottom"/>
            <w:gridSpan w:val="5"/>
          </w:tcPr>
          <w:p>
            <w:pPr>
              <w:jc w:val="center"/>
              <w:ind w:left="1154"/>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7620" w:type="dxa"/>
            <w:vAlign w:val="bottom"/>
            <w:gridSpan w:val="3"/>
          </w:tcPr>
          <w:p>
            <w:pPr>
              <w:jc w:val="center"/>
              <w:ind w:left="2514"/>
              <w:spacing w:after="0"/>
              <w:rPr>
                <w:sz w:val="20"/>
                <w:szCs w:val="20"/>
                <w:color w:val="auto"/>
              </w:rPr>
            </w:pPr>
            <w:r>
              <w:rPr>
                <w:rFonts w:ascii="Courier New" w:cs="Courier New" w:eastAsia="Courier New" w:hAnsi="Courier New"/>
                <w:sz w:val="17"/>
                <w:szCs w:val="17"/>
                <w:color w:val="auto"/>
              </w:rPr>
              <w:t>(In thousands, except per-share amounts.)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94"/>
        </w:trPr>
        <w:tc>
          <w:tcPr>
            <w:tcW w:w="6340" w:type="dxa"/>
            <w:vAlign w:val="bottom"/>
          </w:tcPr>
          <w:p>
            <w:pPr>
              <w:spacing w:after="0"/>
              <w:rPr>
                <w:sz w:val="24"/>
                <w:szCs w:val="24"/>
                <w:color w:val="auto"/>
              </w:rPr>
            </w:pPr>
          </w:p>
        </w:tc>
        <w:tc>
          <w:tcPr>
            <w:tcW w:w="262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For Three Months Ended</w:t>
            </w:r>
          </w:p>
        </w:tc>
        <w:tc>
          <w:tcPr>
            <w:tcW w:w="22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For Six Months Ended</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June 30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June 30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June 30</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June 30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75,596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278,233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238,832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508,223</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 assumed converted...............</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460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410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921</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817</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Adjusted 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76,056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278,643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239,753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509,040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189,530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187,205</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189,486</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186,445</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2,583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3,261</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2,407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2,876</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2,493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2,982</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194,606</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193,448</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194,386</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192,304</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0.39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189,530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187,205</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189,486</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186,445</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2,583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3,797</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2,409</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3,997</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2,493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2,982</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2,493</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2,983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194,606</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193,984</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194,388</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193,425</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0.39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2.63</w:t>
            </w:r>
          </w:p>
        </w:tc>
      </w:tr>
    </w:tbl>
    <w:p>
      <w:pPr>
        <w:sectPr>
          <w:pgSz w:w="11900" w:h="16838" w:orient="portrait"/>
          <w:cols w:equalWidth="0" w:num="1">
            <w:col w:w="11220"/>
          </w:cols>
          <w:pgMar w:left="240" w:top="736" w:right="439" w:bottom="1440" w:gutter="0" w:footer="0" w:header="0"/>
        </w:sectPr>
      </w:pPr>
    </w:p>
    <w:bookmarkStart w:id="21" w:name="page22"/>
    <w:bookmarkEnd w:id="21"/>
    <w:p>
      <w:pPr>
        <w:jc w:val="right"/>
        <w:ind w:right="219"/>
        <w:spacing w:after="0"/>
        <w:rPr>
          <w:sz w:val="20"/>
          <w:szCs w:val="20"/>
          <w:color w:val="auto"/>
        </w:rPr>
      </w:pPr>
      <w:r>
        <w:rPr>
          <w:rFonts w:ascii="Courier New" w:cs="Courier New" w:eastAsia="Courier New" w:hAnsi="Courier New"/>
          <w:sz w:val="17"/>
          <w:szCs w:val="17"/>
          <w:color w:val="auto"/>
        </w:rPr>
        <w:t>EXHIBIT 12</w:t>
      </w:r>
    </w:p>
    <w:p>
      <w:pPr>
        <w:spacing w:after="0" w:line="5"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left="340" w:right="1660"/>
        <w:spacing w:after="0" w:line="24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gridSpan w:val="4"/>
          </w:tcPr>
          <w:p>
            <w:pPr>
              <w:ind w:left="120"/>
              <w:spacing w:after="0"/>
              <w:rPr>
                <w:sz w:val="20"/>
                <w:szCs w:val="20"/>
                <w:color w:val="auto"/>
              </w:rPr>
            </w:pPr>
            <w:r>
              <w:rPr>
                <w:rFonts w:ascii="Courier New" w:cs="Courier New" w:eastAsia="Courier New" w:hAnsi="Courier New"/>
                <w:sz w:val="17"/>
                <w:szCs w:val="17"/>
                <w:color w:val="auto"/>
                <w:w w:val="99"/>
              </w:rPr>
              <w:t>For Six Months</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Ended June 30</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1991</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1995</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54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and provision for income taxes.......$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1,098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1,679</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790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364</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20</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1,138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1,720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386</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and capitalized).......................</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20</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102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34</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100" w:type="dxa"/>
            <w:vAlign w:val="bottom"/>
          </w:tcPr>
          <w:p>
            <w:pPr>
              <w:spacing w:after="0"/>
              <w:rPr>
                <w:sz w:val="24"/>
                <w:szCs w:val="24"/>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8.5</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11.6</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w:t>
            </w:r>
          </w:p>
        </w:tc>
        <w:tc>
          <w:tcPr>
            <w:tcW w:w="22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14.7</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8"/>
        </w:trPr>
        <w:tc>
          <w:tcPr>
            <w:tcW w:w="4440" w:type="dxa"/>
            <w:vAlign w:val="bottom"/>
          </w:tcPr>
          <w:p>
            <w:pPr>
              <w:ind w:left="220"/>
              <w:spacing w:after="0"/>
              <w:rPr>
                <w:sz w:val="20"/>
                <w:szCs w:val="20"/>
                <w:color w:val="auto"/>
              </w:rPr>
            </w:pPr>
            <w:r>
              <w:rPr>
                <w:rFonts w:ascii="Courier New" w:cs="Courier New" w:eastAsia="Courier New" w:hAnsi="Courier New"/>
                <w:sz w:val="17"/>
                <w:szCs w:val="17"/>
                <w:color w:val="auto"/>
              </w:rPr>
              <w:t>stock dividends..........................</w:t>
            </w: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11.6</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14.7</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8"/>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16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1" w:lineRule="exact"/>
        <w:rPr>
          <w:sz w:val="20"/>
          <w:szCs w:val="20"/>
          <w:color w:val="auto"/>
        </w:rPr>
      </w:pPr>
    </w:p>
    <w:p>
      <w:pPr>
        <w:jc w:val="both"/>
        <w:ind w:left="100" w:right="2999" w:firstLine="111"/>
        <w:spacing w:after="0" w:line="493" w:lineRule="auto"/>
        <w:tabs>
          <w:tab w:leader="none" w:pos="409"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$309 million in 1991. ** Not meaningful. The coverage deficiency was $343 million in 1991.</w:t>
      </w:r>
    </w:p>
    <w:p>
      <w:pPr>
        <w:sectPr>
          <w:pgSz w:w="11900" w:h="16838" w:orient="portrait"/>
          <w:cols w:equalWidth="0" w:num="1">
            <w:col w:w="10219"/>
          </w:cols>
          <w:pgMar w:left="240" w:top="736" w:right="1440" w:bottom="1440" w:gutter="0" w:footer="0" w:header="0"/>
        </w:sectPr>
      </w:pPr>
    </w:p>
    <w:bookmarkStart w:id="22" w:name="page23"/>
    <w:bookmarkEnd w:id="22"/>
    <w:p>
      <w:pPr>
        <w:ind w:left="6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jc w:val="both"/>
        <w:ind w:right="287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JUNE 30, 1996, AND FOR THE SIX MONTHS THEN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is qualified in its entirety by reference to such financial statements.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6-MOS</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DEC-31-1996</w:t>
      </w:r>
    </w:p>
    <w:p>
      <w:pPr>
        <w:spacing w:after="0" w:line="5"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JUN-30-1996</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978</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39</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1,976</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58</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1,155</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4,699</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6,534</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2,639</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9,241</w:t>
      </w:r>
    </w:p>
    <w:p>
      <w:pPr>
        <w:spacing w:after="0" w:line="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2,530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1,223</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190</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4,089</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9,241</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5,921</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5,921</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4,248</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4,248</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516</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25</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332</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93</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1.23</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1"/>
      <w:numFmt w:val="decimal"/>
      <w:start w:val="10"/>
    </w:lvl>
  </w:abstractNum>
  <w:abstractNum w:abstractNumId="5">
    <w:nsid w:val="519B500D"/>
    <w:multiLevelType w:val="hybridMultilevel"/>
    <w:lvl w:ilvl="0">
      <w:lvlJc w:val="left"/>
      <w:lvlText w:val="%1"/>
      <w:numFmt w:val="lowerLetter"/>
      <w:start w:val="1"/>
    </w:lvl>
    <w:lvl w:ilvl="1">
      <w:lvlJc w:val="left"/>
      <w:lvlText w:val="%2"/>
      <w:numFmt w:val="decimal"/>
      <w:start w:val="27"/>
    </w:lvl>
  </w:abstractNum>
  <w:abstractNum w:abstractNumId="6">
    <w:nsid w:val="431BD7B7"/>
    <w:multiLevelType w:val="hybridMultilevel"/>
    <w:lvl w:ilvl="0">
      <w:lvlJc w:val="left"/>
      <w:lvlText w:val="(%1)"/>
      <w:numFmt w:val="lowerLetter"/>
      <w:start w:val="2"/>
    </w:lvl>
    <w:lvl w:ilvl="1">
      <w:lvlJc w:val="left"/>
      <w:lvlText w:val="%2"/>
      <w:numFmt w:val="decimal"/>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9"/>
    </w:lvl>
    <w:lvl w:ilvl="1">
      <w:lvlJc w:val="left"/>
      <w:lvlText w:val="(%2)"/>
      <w:numFmt w:val="lowerLetter"/>
      <w:start w:val="4"/>
    </w:lvl>
  </w:abstractNum>
  <w:abstractNum w:abstractNumId="9">
    <w:nsid w:val="257130A3"/>
    <w:multiLevelType w:val="hybridMultilevel"/>
    <w:lvl w:ilvl="0">
      <w:lvlJc w:val="left"/>
      <w:lvlText w:val="(%1)"/>
      <w:numFmt w:val="lowerLetter"/>
      <w:start w:val="17"/>
    </w:lvl>
    <w:lvl w:ilvl="1">
      <w:lvlJc w:val="left"/>
      <w:lvlText w:val="(%2)"/>
      <w:numFmt w:val="lowerLetter"/>
      <w:start w:val="2"/>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lowerLetter"/>
      <w:start w:val="1"/>
    </w:lvl>
    <w:lvl w:ilvl="1">
      <w:lvlJc w:val="left"/>
      <w:lvlText w:val="(%2)"/>
      <w:numFmt w:val="lowerRoman"/>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lowerLetter"/>
      <w:start w:val="3"/>
    </w:lvl>
  </w:abstractNum>
  <w:abstractNum w:abstractNumId="14">
    <w:nsid w:val="721DA317"/>
    <w:multiLevelType w:val="hybridMultilevel"/>
    <w:lvl w:ilvl="0">
      <w:lvlJc w:val="left"/>
      <w:lvlText w:val="(%1)"/>
      <w:numFmt w:val="lowerLetter"/>
      <w:start w:val="4"/>
    </w:lvl>
  </w:abstractNum>
  <w:abstractNum w:abstractNumId="15">
    <w:nsid w:val="2443A858"/>
    <w:multiLevelType w:val="hybridMultilevel"/>
    <w:lvl w:ilvl="0">
      <w:lvlJc w:val="left"/>
      <w:lvlText w:val="(%1)"/>
      <w:numFmt w:val="lowerLetter"/>
      <w:start w:val="1"/>
    </w:lvl>
    <w:lvl w:ilvl="1">
      <w:lvlJc w:val="left"/>
      <w:lvlText w:val="(%2)"/>
      <w:numFmt w:val="lowerRoman"/>
      <w:start w:val="1"/>
    </w:lvl>
  </w:abstractNum>
  <w:abstractNum w:abstractNumId="16">
    <w:nsid w:val="2D1D5AE9"/>
    <w:multiLevelType w:val="hybridMultilevel"/>
    <w:lvl w:ilvl="0">
      <w:lvlJc w:val="left"/>
      <w:lvlText w:val="%1"/>
      <w:numFmt w:val="lowerLetter"/>
      <w:start w:val="1"/>
    </w:lvl>
    <w:lvl w:ilvl="1">
      <w:lvlJc w:val="left"/>
      <w:lvlText w:val="(%2)"/>
      <w:numFmt w:val="lowerRoman"/>
      <w:start w:val="3"/>
    </w:lvl>
  </w:abstractNum>
  <w:abstractNum w:abstractNumId="17">
    <w:nsid w:val="6763845E"/>
    <w:multiLevelType w:val="hybridMultilevel"/>
    <w:lvl w:ilvl="0">
      <w:lvlJc w:val="left"/>
      <w:lvlText w:val="(%1)"/>
      <w:numFmt w:val="lowerLetter"/>
      <w:start w:val="2"/>
    </w:lvl>
    <w:lvl w:ilvl="1">
      <w:lvlJc w:val="left"/>
      <w:lvlText w:val="(%2)"/>
      <w:numFmt w:val="lowerRoman"/>
      <w:start w:val="1"/>
    </w:lvl>
  </w:abstractNum>
  <w:abstractNum w:abstractNumId="18">
    <w:nsid w:val="75A2A8D4"/>
    <w:multiLevelType w:val="hybridMultilevel"/>
    <w:lvl w:ilvl="0">
      <w:lvlJc w:val="left"/>
      <w:lvlText w:val="%1"/>
      <w:numFmt w:val="lowerLetter"/>
      <w:start w:val="1"/>
    </w:lvl>
    <w:lvl w:ilvl="1">
      <w:lvlJc w:val="left"/>
      <w:lvlText w:val="(%2)"/>
      <w:numFmt w:val="lowerRoman"/>
      <w:start w:val="3"/>
    </w:lvl>
  </w:abstractNum>
  <w:abstractNum w:abstractNumId="19">
    <w:nsid w:val="8EDBDAB"/>
    <w:multiLevelType w:val="hybridMultilevel"/>
    <w:lvl w:ilvl="0">
      <w:lvlJc w:val="left"/>
      <w:lvlText w:val="(%1)"/>
      <w:numFmt w:val="lowerLetter"/>
      <w:start w:val="3"/>
    </w:lvl>
    <w:lvl w:ilvl="1">
      <w:lvlJc w:val="left"/>
      <w:lvlText w:val="%2"/>
      <w:numFmt w:val="lowerRoman"/>
      <w:start w:val="1"/>
    </w:lvl>
  </w:abstractNum>
  <w:abstractNum w:abstractNumId="20">
    <w:nsid w:val="79838CB2"/>
    <w:multiLevelType w:val="hybridMultilevel"/>
    <w:lvl w:ilvl="0">
      <w:lvlJc w:val="left"/>
      <w:lvlText w:val="(%1)"/>
      <w:numFmt w:val="lowerLetter"/>
      <w:start w:val="4"/>
    </w:lvl>
    <w:lvl w:ilvl="1">
      <w:lvlJc w:val="left"/>
      <w:lvlText w:val="(%2)"/>
      <w:numFmt w:val="lowerRoman"/>
      <w:start w:val="1"/>
    </w:lvl>
  </w:abstractNum>
  <w:abstractNum w:abstractNumId="21">
    <w:nsid w:val="4353D0CD"/>
    <w:multiLevelType w:val="hybridMultilevel"/>
    <w:lvl w:ilvl="0">
      <w:lvlJc w:val="left"/>
      <w:lvlText w:val="(%1)"/>
      <w:numFmt w:val="lowerRoman"/>
      <w:start w:val="4"/>
    </w:lvl>
    <w:lvl w:ilvl="1">
      <w:lvlJc w:val="left"/>
      <w:lvlText w:val="(%2)"/>
      <w:numFmt w:val="lowerRoman"/>
      <w:start w:val="6"/>
    </w:lvl>
  </w:abstractNum>
  <w:abstractNum w:abstractNumId="22">
    <w:nsid w:val="B03E0C6"/>
    <w:multiLevelType w:val="hybridMultilevel"/>
    <w:lvl w:ilvl="0">
      <w:lvlJc w:val="left"/>
      <w:lvlText w:val="%1"/>
      <w:numFmt w:val="lowerRoman"/>
      <w:start w:val="1"/>
    </w:lvl>
    <w:lvl w:ilvl="1">
      <w:lvlJc w:val="left"/>
      <w:lvlText w:val="(%2)"/>
      <w:numFmt w:val="lowerRoman"/>
      <w:start w:val="8"/>
    </w:lvl>
  </w:abstractNum>
  <w:abstractNum w:abstractNumId="23">
    <w:nsid w:val="189A769B"/>
    <w:multiLevelType w:val="hybridMultilevel"/>
    <w:lvl w:ilvl="0">
      <w:lvlJc w:val="left"/>
      <w:lvlText w:val="%1"/>
      <w:numFmt w:val="lowerLetter"/>
      <w:start w:val="1"/>
    </w:lvl>
    <w:lvl w:ilvl="1">
      <w:lvlJc w:val="left"/>
      <w:lvlText w:val="(%2)"/>
      <w:numFmt w:val="lowerRoman"/>
      <w:start w:val="1"/>
    </w:lvl>
  </w:abstractNum>
  <w:abstractNum w:abstractNumId="24">
    <w:nsid w:val="54E49EB4"/>
    <w:multiLevelType w:val="hybridMultilevel"/>
    <w:lvl w:ilvl="0">
      <w:lvlJc w:val="left"/>
      <w:lvlText w:val="(%1)"/>
      <w:numFmt w:val="lowerLetter"/>
      <w:start w:val="2"/>
    </w:lvl>
    <w:lvl w:ilvl="1">
      <w:lvlJc w:val="left"/>
      <w:lvlText w:val="%2"/>
      <w:numFmt w:val="lowerRoman"/>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5"/>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2019-12-13T07:32:55Z</dcterms:created>
  <dcterms:modified xsi:type="dcterms:W3CDTF">2019-12-13T07:32:55Z</dcterms:modified>
</cp:coreProperties>
</file>