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133350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5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161290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left="520" w:right="400" w:hanging="512"/>
        <w:spacing w:after="0" w:line="256" w:lineRule="auto"/>
        <w:tabs>
          <w:tab w:leader="none" w:pos="5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2016</w:t>
      </w:r>
    </w:p>
    <w:p>
      <w:pPr>
        <w:spacing w:after="0" w:line="162" w:lineRule="exact"/>
        <w:rPr>
          <w:sz w:val="24"/>
          <w:szCs w:val="24"/>
          <w:color w:val="auto"/>
        </w:rPr>
      </w:pPr>
    </w:p>
    <w:p>
      <w:pPr>
        <w:ind w:left="520" w:right="380" w:hanging="512"/>
        <w:spacing w:after="0" w:line="256" w:lineRule="auto"/>
        <w:tabs>
          <w:tab w:leader="none" w:pos="5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18" w:lineRule="exact"/>
        <w:rPr>
          <w:sz w:val="24"/>
          <w:szCs w:val="24"/>
          <w:color w:val="auto"/>
        </w:rPr>
      </w:pPr>
    </w:p>
    <w:p>
      <w:pPr>
        <w:ind w:left="3420"/>
        <w:spacing w:after="0"/>
        <w:rPr>
          <w:sz w:val="20"/>
          <w:szCs w:val="20"/>
          <w:color w:val="auto"/>
        </w:rPr>
      </w:pPr>
      <w:r>
        <w:rPr>
          <w:rFonts w:ascii="Arial" w:cs="Arial" w:eastAsia="Arial" w:hAnsi="Arial"/>
          <w:sz w:val="18"/>
          <w:szCs w:val="18"/>
          <w:b w:val="1"/>
          <w:bCs w:val="1"/>
          <w:color w:val="auto"/>
        </w:rPr>
        <w:t>For the transition period from ___________ to ___________</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001-03761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163195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6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150495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tbl>
      <w:tblPr>
        <w:tblLayout w:type="fixed"/>
        <w:tblInd w:w="1560" w:type="dxa"/>
        <w:tblCellMar>
          <w:top w:w="0" w:type="dxa"/>
          <w:left w:w="0" w:type="dxa"/>
          <w:bottom w:w="0" w:type="dxa"/>
          <w:right w:w="0" w:type="dxa"/>
        </w:tblCellMar>
      </w:tblPr>
      <w:tr>
        <w:trPr>
          <w:trHeight w:val="212"/>
        </w:trPr>
        <w:tc>
          <w:tcPr>
            <w:tcW w:w="4280" w:type="dxa"/>
            <w:vAlign w:val="bottom"/>
          </w:tcPr>
          <w:p>
            <w:pPr>
              <w:jc w:val="center"/>
              <w:ind w:right="1599"/>
              <w:spacing w:after="0"/>
              <w:rPr>
                <w:sz w:val="20"/>
                <w:szCs w:val="20"/>
                <w:color w:val="auto"/>
              </w:rPr>
            </w:pPr>
            <w:r>
              <w:rPr>
                <w:rFonts w:ascii="Arial" w:cs="Arial" w:eastAsia="Arial" w:hAnsi="Arial"/>
                <w:sz w:val="18"/>
                <w:szCs w:val="18"/>
                <w:b w:val="1"/>
                <w:bCs w:val="1"/>
                <w:color w:val="auto"/>
                <w:w w:val="91"/>
              </w:rPr>
              <w:t>Delaware</w:t>
            </w:r>
          </w:p>
        </w:tc>
        <w:tc>
          <w:tcPr>
            <w:tcW w:w="3840" w:type="dxa"/>
            <w:vAlign w:val="bottom"/>
          </w:tcPr>
          <w:p>
            <w:pPr>
              <w:jc w:val="right"/>
              <w:ind w:right="579"/>
              <w:spacing w:after="0"/>
              <w:rPr>
                <w:sz w:val="20"/>
                <w:szCs w:val="20"/>
                <w:color w:val="auto"/>
              </w:rPr>
            </w:pPr>
            <w:r>
              <w:rPr>
                <w:rFonts w:ascii="Arial" w:cs="Arial" w:eastAsia="Arial" w:hAnsi="Arial"/>
                <w:sz w:val="18"/>
                <w:szCs w:val="18"/>
                <w:b w:val="1"/>
                <w:bCs w:val="1"/>
                <w:color w:val="auto"/>
              </w:rPr>
              <w:t>75-0289970</w:t>
            </w:r>
          </w:p>
        </w:tc>
      </w:tr>
      <w:tr>
        <w:trPr>
          <w:trHeight w:val="186"/>
        </w:trPr>
        <w:tc>
          <w:tcPr>
            <w:tcW w:w="4280" w:type="dxa"/>
            <w:vAlign w:val="bottom"/>
          </w:tcPr>
          <w:p>
            <w:pPr>
              <w:jc w:val="center"/>
              <w:ind w:right="1579"/>
              <w:spacing w:after="0"/>
              <w:rPr>
                <w:sz w:val="20"/>
                <w:szCs w:val="20"/>
                <w:color w:val="auto"/>
              </w:rPr>
            </w:pPr>
            <w:r>
              <w:rPr>
                <w:rFonts w:ascii="Arial" w:cs="Arial" w:eastAsia="Arial" w:hAnsi="Arial"/>
                <w:sz w:val="14"/>
                <w:szCs w:val="14"/>
                <w:b w:val="1"/>
                <w:bCs w:val="1"/>
                <w:color w:val="auto"/>
                <w:w w:val="94"/>
              </w:rPr>
              <w:t>(State of Incorporation)</w:t>
            </w:r>
          </w:p>
        </w:tc>
        <w:tc>
          <w:tcPr>
            <w:tcW w:w="3840" w:type="dxa"/>
            <w:vAlign w:val="bottom"/>
          </w:tcPr>
          <w:p>
            <w:pPr>
              <w:jc w:val="center"/>
              <w:ind w:left="1559"/>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381"/>
        </w:trPr>
        <w:tc>
          <w:tcPr>
            <w:tcW w:w="4280" w:type="dxa"/>
            <w:vAlign w:val="bottom"/>
          </w:tcPr>
          <w:p>
            <w:pPr>
              <w:jc w:val="center"/>
              <w:ind w:right="1579"/>
              <w:spacing w:after="0"/>
              <w:rPr>
                <w:sz w:val="20"/>
                <w:szCs w:val="20"/>
                <w:color w:val="auto"/>
              </w:rPr>
            </w:pPr>
            <w:r>
              <w:rPr>
                <w:rFonts w:ascii="Arial" w:cs="Arial" w:eastAsia="Arial" w:hAnsi="Arial"/>
                <w:sz w:val="18"/>
                <w:szCs w:val="18"/>
                <w:b w:val="1"/>
                <w:bCs w:val="1"/>
                <w:color w:val="auto"/>
                <w:w w:val="90"/>
              </w:rPr>
              <w:t>12500 TI Boulevard, Dallas, Texas</w:t>
            </w:r>
          </w:p>
        </w:tc>
        <w:tc>
          <w:tcPr>
            <w:tcW w:w="3840" w:type="dxa"/>
            <w:vAlign w:val="bottom"/>
          </w:tcPr>
          <w:p>
            <w:pPr>
              <w:jc w:val="right"/>
              <w:ind w:right="799"/>
              <w:spacing w:after="0"/>
              <w:rPr>
                <w:sz w:val="20"/>
                <w:szCs w:val="20"/>
                <w:color w:val="auto"/>
              </w:rPr>
            </w:pPr>
            <w:r>
              <w:rPr>
                <w:rFonts w:ascii="Arial" w:cs="Arial" w:eastAsia="Arial" w:hAnsi="Arial"/>
                <w:sz w:val="18"/>
                <w:szCs w:val="18"/>
                <w:b w:val="1"/>
                <w:bCs w:val="1"/>
                <w:color w:val="auto"/>
              </w:rPr>
              <w:t>75243</w:t>
            </w:r>
          </w:p>
        </w:tc>
      </w:tr>
      <w:tr>
        <w:trPr>
          <w:trHeight w:val="186"/>
        </w:trPr>
        <w:tc>
          <w:tcPr>
            <w:tcW w:w="4280" w:type="dxa"/>
            <w:vAlign w:val="bottom"/>
          </w:tcPr>
          <w:p>
            <w:pPr>
              <w:jc w:val="center"/>
              <w:ind w:right="15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840" w:type="dxa"/>
            <w:vAlign w:val="bottom"/>
          </w:tcPr>
          <w:p>
            <w:pPr>
              <w:jc w:val="center"/>
              <w:ind w:left="1579"/>
              <w:spacing w:after="0"/>
              <w:rPr>
                <w:sz w:val="20"/>
                <w:szCs w:val="20"/>
                <w:color w:val="auto"/>
              </w:rPr>
            </w:pPr>
            <w:r>
              <w:rPr>
                <w:rFonts w:ascii="Arial" w:cs="Arial" w:eastAsia="Arial" w:hAnsi="Arial"/>
                <w:sz w:val="14"/>
                <w:szCs w:val="14"/>
                <w:b w:val="1"/>
                <w:bCs w:val="1"/>
                <w:color w:val="auto"/>
                <w:w w:val="95"/>
              </w:rPr>
              <w:t>(Zip Code)</w:t>
            </w:r>
          </w:p>
        </w:tc>
      </w:tr>
    </w:tbl>
    <w:p>
      <w:pPr>
        <w:spacing w:after="0" w:line="12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 214-479-3773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143510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68" w:lineRule="exact"/>
        <w:rPr>
          <w:sz w:val="24"/>
          <w:szCs w:val="24"/>
          <w:color w:val="auto"/>
        </w:rPr>
      </w:pPr>
    </w:p>
    <w:p>
      <w:pPr>
        <w:ind w:right="42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6"/>
          <w:szCs w:val="16"/>
          <w:color w:val="auto"/>
        </w:rPr>
        <w:t>Yes</w:t>
      </w:r>
      <w:r>
        <w:rPr>
          <w:rFonts w:ascii="Arial" w:cs="Arial" w:eastAsia="Arial" w:hAnsi="Arial"/>
          <w:sz w:val="18"/>
          <w:szCs w:val="18"/>
          <w:color w:val="auto"/>
        </w:rPr>
        <w:t xml:space="preserve"> </w:t>
      </w:r>
      <w:r>
        <w:rPr>
          <w:rFonts w:ascii="MS PGothic" w:cs="MS PGothic" w:eastAsia="MS PGothic" w:hAnsi="MS PGothic"/>
          <w:sz w:val="16"/>
          <w:szCs w:val="16"/>
          <w:color w:val="auto"/>
        </w:rPr>
        <w:t>☒</w:t>
      </w:r>
      <w:r>
        <w:rPr>
          <w:rFonts w:ascii="Arial" w:cs="Arial" w:eastAsia="Arial" w:hAnsi="Arial"/>
          <w:sz w:val="18"/>
          <w:szCs w:val="18"/>
          <w:color w:val="auto"/>
        </w:rPr>
        <w:t xml:space="preserve"> </w:t>
      </w:r>
      <w:r>
        <w:rPr>
          <w:rFonts w:ascii="Arial" w:cs="Arial" w:eastAsia="Arial" w:hAnsi="Arial"/>
          <w:sz w:val="16"/>
          <w:szCs w:val="16"/>
          <w:color w:val="auto"/>
        </w:rPr>
        <w:t>No</w:t>
      </w:r>
      <w:r>
        <w:rPr>
          <w:rFonts w:ascii="Arial" w:cs="Arial" w:eastAsia="Arial" w:hAnsi="Arial"/>
          <w:sz w:val="18"/>
          <w:szCs w:val="18"/>
          <w:color w:val="auto"/>
        </w:rPr>
        <w:t xml:space="preserve"> </w:t>
      </w:r>
      <w:r>
        <w:rPr>
          <w:rFonts w:ascii="MS PGothic" w:cs="MS PGothic" w:eastAsia="MS PGothic" w:hAnsi="MS PGothic"/>
          <w:sz w:val="16"/>
          <w:szCs w:val="16"/>
          <w:color w:val="auto"/>
        </w:rPr>
        <w:t>☐</w:t>
      </w:r>
    </w:p>
    <w:p>
      <w:pPr>
        <w:spacing w:after="0" w:line="138"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Arial" w:cs="Arial" w:eastAsia="Arial" w:hAnsi="Arial"/>
          <w:sz w:val="16"/>
          <w:szCs w:val="16"/>
          <w:color w:val="auto"/>
        </w:rPr>
        <w:t>Yes</w:t>
      </w:r>
      <w:r>
        <w:rPr>
          <w:rFonts w:ascii="Arial" w:cs="Arial" w:eastAsia="Arial" w:hAnsi="Arial"/>
          <w:sz w:val="18"/>
          <w:szCs w:val="18"/>
          <w:color w:val="auto"/>
        </w:rPr>
        <w:t xml:space="preserve"> </w:t>
      </w:r>
      <w:r>
        <w:rPr>
          <w:rFonts w:ascii="MS PGothic" w:cs="MS PGothic" w:eastAsia="MS PGothic" w:hAnsi="MS PGothic"/>
          <w:sz w:val="16"/>
          <w:szCs w:val="16"/>
          <w:color w:val="auto"/>
        </w:rPr>
        <w:t>☒</w:t>
      </w:r>
      <w:r>
        <w:rPr>
          <w:rFonts w:ascii="Arial" w:cs="Arial" w:eastAsia="Arial" w:hAnsi="Arial"/>
          <w:sz w:val="18"/>
          <w:szCs w:val="18"/>
          <w:color w:val="auto"/>
        </w:rPr>
        <w:t xml:space="preserve"> </w:t>
      </w:r>
      <w:r>
        <w:rPr>
          <w:rFonts w:ascii="Arial" w:cs="Arial" w:eastAsia="Arial" w:hAnsi="Arial"/>
          <w:sz w:val="16"/>
          <w:szCs w:val="16"/>
          <w:color w:val="auto"/>
        </w:rPr>
        <w:t>No</w:t>
      </w:r>
      <w:r>
        <w:rPr>
          <w:rFonts w:ascii="Arial" w:cs="Arial" w:eastAsia="Arial" w:hAnsi="Arial"/>
          <w:sz w:val="18"/>
          <w:szCs w:val="18"/>
          <w:color w:val="auto"/>
        </w:rPr>
        <w:t xml:space="preserve"> </w:t>
      </w:r>
      <w:r>
        <w:rPr>
          <w:rFonts w:ascii="MS PGothic" w:cs="MS PGothic" w:eastAsia="MS PGothic" w:hAnsi="MS PGothic"/>
          <w:sz w:val="16"/>
          <w:szCs w:val="16"/>
          <w:color w:val="auto"/>
        </w:rPr>
        <w:t>☐</w:t>
      </w:r>
    </w:p>
    <w:p>
      <w:pPr>
        <w:spacing w:after="0" w:line="138"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449" w:right="239" w:bottom="1440" w:gutter="0" w:footer="0" w:header="0"/>
        </w:sectPr>
      </w:pPr>
    </w:p>
    <w:p>
      <w:pPr>
        <w:spacing w:after="0" w:line="133" w:lineRule="exact"/>
        <w:rPr>
          <w:sz w:val="24"/>
          <w:szCs w:val="24"/>
          <w:color w:val="auto"/>
        </w:rPr>
      </w:pPr>
    </w:p>
    <w:p>
      <w:pPr>
        <w:ind w:right="140"/>
        <w:spacing w:after="0" w:line="342" w:lineRule="auto"/>
        <w:rPr>
          <w:sz w:val="20"/>
          <w:szCs w:val="20"/>
          <w:color w:val="auto"/>
        </w:rPr>
      </w:pPr>
      <w:r>
        <w:rPr>
          <w:rFonts w:ascii="Arial" w:cs="Arial" w:eastAsia="Arial" w:hAnsi="Arial"/>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4" w:lineRule="exact"/>
        <w:rPr>
          <w:sz w:val="24"/>
          <w:szCs w:val="24"/>
          <w:color w:val="auto"/>
        </w:rPr>
      </w:pPr>
    </w:p>
    <w:p>
      <w:pPr>
        <w:spacing w:after="0" w:line="184"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6"/>
          <w:szCs w:val="16"/>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13" w:lineRule="exact"/>
        <w:rPr>
          <w:sz w:val="24"/>
          <w:szCs w:val="24"/>
          <w:color w:val="auto"/>
        </w:rPr>
      </w:pPr>
    </w:p>
    <w:p>
      <w:pPr>
        <w:sectPr>
          <w:pgSz w:w="11900" w:h="16838" w:orient="portrait"/>
          <w:cols w:equalWidth="0" w:num="4">
            <w:col w:w="1760" w:space="720"/>
            <w:col w:w="4440" w:space="720"/>
            <w:col w:w="2920" w:space="720"/>
            <w:col w:w="140"/>
          </w:cols>
          <w:pgMar w:left="240" w:top="449" w:right="239" w:bottom="1440" w:gutter="0" w:footer="0" w:header="0"/>
          <w:type w:val="continuous"/>
        </w:sectPr>
      </w:pPr>
    </w:p>
    <w:p>
      <w:pPr>
        <w:spacing w:after="0" w:line="196" w:lineRule="exact"/>
        <w:tabs>
          <w:tab w:leader="none" w:pos="8360" w:val="left"/>
          <w:tab w:leader="none" w:pos="89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95" w:lineRule="exact"/>
        <w:rPr>
          <w:sz w:val="24"/>
          <w:szCs w:val="24"/>
          <w:color w:val="auto"/>
        </w:rPr>
      </w:pPr>
    </w:p>
    <w:p>
      <w:pPr>
        <w:ind w:left="5200"/>
        <w:spacing w:after="0"/>
        <w:rPr>
          <w:sz w:val="20"/>
          <w:szCs w:val="20"/>
          <w:color w:val="auto"/>
        </w:rPr>
      </w:pPr>
      <w:r>
        <w:rPr>
          <w:rFonts w:ascii="Arial" w:cs="Arial" w:eastAsia="Arial" w:hAnsi="Arial"/>
          <w:sz w:val="18"/>
          <w:szCs w:val="18"/>
          <w:color w:val="auto"/>
        </w:rPr>
        <w:t>1,004,226,911</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Number of shares of Registrant’s common stock outstanding as of</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April 27,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842010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Financial Statements.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0" w:type="dxa"/>
            <w:vAlign w:val="bottom"/>
            <w:gridSpan w:val="3"/>
          </w:tcPr>
          <w:p>
            <w:pPr>
              <w:jc w:val="right"/>
              <w:spacing w:after="0"/>
              <w:rPr>
                <w:sz w:val="20"/>
                <w:szCs w:val="20"/>
                <w:color w:val="auto"/>
              </w:rPr>
            </w:pPr>
            <w:r>
              <w:rPr>
                <w:rFonts w:ascii="Arial" w:cs="Arial" w:eastAsia="Arial" w:hAnsi="Arial"/>
                <w:sz w:val="16"/>
                <w:szCs w:val="16"/>
                <w:b w:val="1"/>
                <w:bCs w:val="1"/>
                <w:color w:val="auto"/>
              </w:rPr>
              <w:t>For Three Months Ended</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6940" w:type="dxa"/>
            <w:vAlign w:val="bottom"/>
            <w:gridSpan w:val="3"/>
          </w:tcPr>
          <w:p>
            <w:pPr>
              <w:spacing w:after="0"/>
              <w:rPr>
                <w:sz w:val="20"/>
                <w:szCs w:val="20"/>
                <w:color w:val="auto"/>
              </w:rPr>
            </w:pPr>
            <w:r>
              <w:rPr>
                <w:rFonts w:ascii="Arial" w:cs="Arial" w:eastAsia="Arial" w:hAnsi="Arial"/>
                <w:sz w:val="16"/>
                <w:szCs w:val="16"/>
                <w:b w:val="1"/>
                <w:bCs w:val="1"/>
                <w:color w:val="auto"/>
              </w:rPr>
              <w:t>Consolidated Statements of Income</w:t>
            </w:r>
          </w:p>
        </w:tc>
        <w:tc>
          <w:tcPr>
            <w:tcW w:w="520" w:type="dxa"/>
            <w:vAlign w:val="bottom"/>
          </w:tcPr>
          <w:p>
            <w:pPr>
              <w:spacing w:after="0"/>
              <w:rPr>
                <w:sz w:val="19"/>
                <w:szCs w:val="19"/>
                <w:color w:val="auto"/>
              </w:rPr>
            </w:pPr>
          </w:p>
        </w:tc>
        <w:tc>
          <w:tcPr>
            <w:tcW w:w="2600" w:type="dxa"/>
            <w:vAlign w:val="bottom"/>
            <w:gridSpan w:val="3"/>
          </w:tcPr>
          <w:p>
            <w:pPr>
              <w:jc w:val="right"/>
              <w:ind w:right="499"/>
              <w:spacing w:after="0"/>
              <w:rPr>
                <w:sz w:val="20"/>
                <w:szCs w:val="20"/>
                <w:color w:val="auto"/>
              </w:rPr>
            </w:pPr>
            <w:r>
              <w:rPr>
                <w:rFonts w:ascii="Arial" w:cs="Arial" w:eastAsia="Arial" w:hAnsi="Arial"/>
                <w:sz w:val="16"/>
                <w:szCs w:val="16"/>
                <w:b w:val="1"/>
                <w:bCs w:val="1"/>
                <w:color w:val="auto"/>
              </w:rPr>
              <w:t>March 31,</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6680" w:type="dxa"/>
            <w:vAlign w:val="bottom"/>
            <w:tcBorders>
              <w:top w:val="single" w:sz="8" w:color="auto"/>
              <w:bottom w:val="single" w:sz="8" w:color="CCEEFF"/>
            </w:tcBorders>
          </w:tcPr>
          <w:p>
            <w:pPr>
              <w:spacing w:after="0"/>
              <w:rPr>
                <w:sz w:val="20"/>
                <w:szCs w:val="20"/>
                <w:color w:val="auto"/>
              </w:rPr>
            </w:pPr>
            <w:r>
              <w:rPr>
                <w:rFonts w:ascii="Arial" w:cs="Arial" w:eastAsia="Arial" w:hAnsi="Arial"/>
                <w:sz w:val="16"/>
                <w:szCs w:val="16"/>
                <w:b w:val="1"/>
                <w:bCs w:val="1"/>
                <w:color w:val="auto"/>
              </w:rPr>
              <w:t>(Millions of dollars, except share and per-share amounts)</w:t>
            </w:r>
          </w:p>
        </w:tc>
        <w:tc>
          <w:tcPr>
            <w:tcW w:w="24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2016</w:t>
            </w:r>
          </w:p>
        </w:tc>
        <w:tc>
          <w:tcPr>
            <w:tcW w:w="360" w:type="dxa"/>
            <w:vAlign w:val="bottom"/>
            <w:tcBorders>
              <w:top w:val="single" w:sz="8" w:color="auto"/>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CCEEFF"/>
            </w:tcBorders>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Revenue</w:t>
            </w:r>
          </w:p>
        </w:tc>
        <w:tc>
          <w:tcPr>
            <w:tcW w:w="520" w:type="dxa"/>
            <w:vAlign w:val="bottom"/>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3,008</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3,150</w:t>
            </w:r>
          </w:p>
        </w:tc>
        <w:tc>
          <w:tcPr>
            <w:tcW w:w="120" w:type="dxa"/>
            <w:vAlign w:val="bottom"/>
            <w:shd w:val="clear" w:color="auto" w:fill="CCEEFF"/>
          </w:tcPr>
          <w:p>
            <w:pPr>
              <w:spacing w:after="0"/>
              <w:rPr>
                <w:sz w:val="18"/>
                <w:szCs w:val="18"/>
                <w:color w:val="auto"/>
              </w:rPr>
            </w:pPr>
          </w:p>
        </w:tc>
      </w:tr>
      <w:tr>
        <w:trPr>
          <w:trHeight w:val="213"/>
        </w:trPr>
        <w:tc>
          <w:tcPr>
            <w:tcW w:w="6940" w:type="dxa"/>
            <w:vAlign w:val="bottom"/>
            <w:gridSpan w:val="3"/>
          </w:tcPr>
          <w:p>
            <w:pPr>
              <w:spacing w:after="0"/>
              <w:rPr>
                <w:sz w:val="20"/>
                <w:szCs w:val="20"/>
                <w:color w:val="auto"/>
              </w:rPr>
            </w:pPr>
            <w:r>
              <w:rPr>
                <w:rFonts w:ascii="Arial" w:cs="Arial" w:eastAsia="Arial" w:hAnsi="Arial"/>
                <w:sz w:val="16"/>
                <w:szCs w:val="16"/>
                <w:color w:val="auto"/>
              </w:rPr>
              <w:t>Cost of revenue (COR)</w:t>
            </w:r>
          </w:p>
        </w:tc>
        <w:tc>
          <w:tcPr>
            <w:tcW w:w="5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1,184</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1,334</w:t>
            </w:r>
          </w:p>
        </w:tc>
        <w:tc>
          <w:tcPr>
            <w:tcW w:w="1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9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Gross profit</w:t>
            </w:r>
          </w:p>
        </w:tc>
        <w:tc>
          <w:tcPr>
            <w:tcW w:w="52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1,824</w:t>
            </w:r>
          </w:p>
        </w:tc>
        <w:tc>
          <w:tcPr>
            <w:tcW w:w="3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1,816</w:t>
            </w:r>
          </w:p>
        </w:tc>
        <w:tc>
          <w:tcPr>
            <w:tcW w:w="120" w:type="dxa"/>
            <w:vAlign w:val="bottom"/>
            <w:tcBorders>
              <w:top w:val="single" w:sz="8" w:color="CCEEFF"/>
            </w:tcBorders>
            <w:shd w:val="clear" w:color="auto" w:fill="CCEEFF"/>
          </w:tcPr>
          <w:p>
            <w:pPr>
              <w:spacing w:after="0"/>
              <w:rPr>
                <w:sz w:val="18"/>
                <w:szCs w:val="18"/>
                <w:color w:val="auto"/>
              </w:rPr>
            </w:pPr>
          </w:p>
        </w:tc>
      </w:tr>
      <w:tr>
        <w:trPr>
          <w:trHeight w:val="213"/>
        </w:trPr>
        <w:tc>
          <w:tcPr>
            <w:tcW w:w="6940" w:type="dxa"/>
            <w:vAlign w:val="bottom"/>
            <w:gridSpan w:val="3"/>
          </w:tcPr>
          <w:p>
            <w:pPr>
              <w:spacing w:after="0"/>
              <w:rPr>
                <w:sz w:val="20"/>
                <w:szCs w:val="20"/>
                <w:color w:val="auto"/>
              </w:rPr>
            </w:pPr>
            <w:r>
              <w:rPr>
                <w:rFonts w:ascii="Arial" w:cs="Arial" w:eastAsia="Arial" w:hAnsi="Arial"/>
                <w:sz w:val="16"/>
                <w:szCs w:val="16"/>
                <w:color w:val="auto"/>
              </w:rPr>
              <w:t>Research and development (R&amp;D)</w:t>
            </w:r>
          </w:p>
        </w:tc>
        <w:tc>
          <w:tcPr>
            <w:tcW w:w="5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326</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338</w:t>
            </w:r>
          </w:p>
        </w:tc>
        <w:tc>
          <w:tcPr>
            <w:tcW w:w="12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Selling, general and administrative (SG&amp;A)</w:t>
            </w:r>
          </w:p>
        </w:tc>
        <w:tc>
          <w:tcPr>
            <w:tcW w:w="5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448</w:t>
            </w: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w:t>
            </w:r>
          </w:p>
        </w:tc>
        <w:tc>
          <w:tcPr>
            <w:tcW w:w="120" w:type="dxa"/>
            <w:vAlign w:val="bottom"/>
            <w:shd w:val="clear" w:color="auto" w:fill="CCEEFF"/>
          </w:tcPr>
          <w:p>
            <w:pPr>
              <w:spacing w:after="0"/>
              <w:rPr>
                <w:sz w:val="19"/>
                <w:szCs w:val="19"/>
                <w:color w:val="auto"/>
              </w:rPr>
            </w:pPr>
          </w:p>
        </w:tc>
      </w:tr>
      <w:tr>
        <w:trPr>
          <w:trHeight w:val="213"/>
        </w:trPr>
        <w:tc>
          <w:tcPr>
            <w:tcW w:w="6940" w:type="dxa"/>
            <w:vAlign w:val="bottom"/>
            <w:gridSpan w:val="3"/>
          </w:tcPr>
          <w:p>
            <w:pPr>
              <w:spacing w:after="0"/>
              <w:rPr>
                <w:sz w:val="20"/>
                <w:szCs w:val="20"/>
                <w:color w:val="auto"/>
              </w:rPr>
            </w:pPr>
            <w:r>
              <w:rPr>
                <w:rFonts w:ascii="Arial" w:cs="Arial" w:eastAsia="Arial" w:hAnsi="Arial"/>
                <w:sz w:val="16"/>
                <w:szCs w:val="16"/>
                <w:color w:val="auto"/>
              </w:rPr>
              <w:t>Acquisition charges</w:t>
            </w:r>
          </w:p>
        </w:tc>
        <w:tc>
          <w:tcPr>
            <w:tcW w:w="5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80</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Restructuring charges/other</w:t>
            </w:r>
          </w:p>
        </w:tc>
        <w:tc>
          <w:tcPr>
            <w:tcW w:w="5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w:t>
            </w: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w:t>
            </w:r>
          </w:p>
        </w:tc>
      </w:tr>
      <w:tr>
        <w:trPr>
          <w:trHeight w:val="207"/>
        </w:trPr>
        <w:tc>
          <w:tcPr>
            <w:tcW w:w="6940" w:type="dxa"/>
            <w:vAlign w:val="bottom"/>
            <w:gridSpan w:val="3"/>
          </w:tcPr>
          <w:p>
            <w:pPr>
              <w:spacing w:after="0"/>
              <w:rPr>
                <w:sz w:val="20"/>
                <w:szCs w:val="20"/>
                <w:color w:val="auto"/>
              </w:rPr>
            </w:pPr>
            <w:r>
              <w:rPr>
                <w:rFonts w:ascii="Arial" w:cs="Arial" w:eastAsia="Arial" w:hAnsi="Arial"/>
                <w:sz w:val="16"/>
                <w:szCs w:val="16"/>
                <w:color w:val="auto"/>
              </w:rPr>
              <w:t>Operating profit</w:t>
            </w:r>
          </w:p>
        </w:tc>
        <w:tc>
          <w:tcPr>
            <w:tcW w:w="52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968</w:t>
            </w:r>
          </w:p>
        </w:tc>
        <w:tc>
          <w:tcPr>
            <w:tcW w:w="36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958</w:t>
            </w:r>
          </w:p>
        </w:tc>
        <w:tc>
          <w:tcPr>
            <w:tcW w:w="120" w:type="dxa"/>
            <w:vAlign w:val="bottom"/>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income (expense), net (OI&amp;E)</w:t>
            </w:r>
          </w:p>
        </w:tc>
        <w:tc>
          <w:tcPr>
            <w:tcW w:w="5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w:t>
            </w: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9"/>
                <w:szCs w:val="19"/>
                <w:color w:val="auto"/>
              </w:rPr>
            </w:pPr>
          </w:p>
        </w:tc>
      </w:tr>
      <w:tr>
        <w:trPr>
          <w:trHeight w:val="213"/>
        </w:trPr>
        <w:tc>
          <w:tcPr>
            <w:tcW w:w="6940" w:type="dxa"/>
            <w:vAlign w:val="bottom"/>
            <w:gridSpan w:val="3"/>
          </w:tcPr>
          <w:p>
            <w:pPr>
              <w:spacing w:after="0"/>
              <w:rPr>
                <w:sz w:val="20"/>
                <w:szCs w:val="20"/>
                <w:color w:val="auto"/>
              </w:rPr>
            </w:pPr>
            <w:r>
              <w:rPr>
                <w:rFonts w:ascii="Arial" w:cs="Arial" w:eastAsia="Arial" w:hAnsi="Arial"/>
                <w:sz w:val="16"/>
                <w:szCs w:val="16"/>
                <w:color w:val="auto"/>
              </w:rPr>
              <w:t>Interest and debt expense</w:t>
            </w:r>
          </w:p>
        </w:tc>
        <w:tc>
          <w:tcPr>
            <w:tcW w:w="5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22</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9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Income before income taxes</w:t>
            </w:r>
          </w:p>
        </w:tc>
        <w:tc>
          <w:tcPr>
            <w:tcW w:w="52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950</w:t>
            </w:r>
          </w:p>
        </w:tc>
        <w:tc>
          <w:tcPr>
            <w:tcW w:w="3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3"/>
        </w:trPr>
        <w:tc>
          <w:tcPr>
            <w:tcW w:w="6940" w:type="dxa"/>
            <w:vAlign w:val="bottom"/>
            <w:gridSpan w:val="3"/>
          </w:tcPr>
          <w:p>
            <w:pPr>
              <w:spacing w:after="0"/>
              <w:rPr>
                <w:sz w:val="20"/>
                <w:szCs w:val="20"/>
                <w:color w:val="auto"/>
              </w:rPr>
            </w:pPr>
            <w:r>
              <w:rPr>
                <w:rFonts w:ascii="Arial" w:cs="Arial" w:eastAsia="Arial" w:hAnsi="Arial"/>
                <w:sz w:val="16"/>
                <w:szCs w:val="16"/>
                <w:color w:val="auto"/>
              </w:rPr>
              <w:t>Provision for income taxes</w:t>
            </w:r>
          </w:p>
        </w:tc>
        <w:tc>
          <w:tcPr>
            <w:tcW w:w="5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282</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284</w:t>
            </w:r>
          </w:p>
        </w:tc>
        <w:tc>
          <w:tcPr>
            <w:tcW w:w="1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9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Net income</w:t>
            </w:r>
          </w:p>
        </w:tc>
        <w:tc>
          <w:tcPr>
            <w:tcW w:w="52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668</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7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6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Earnings per common share (EPS):</w:t>
            </w:r>
          </w:p>
        </w:tc>
        <w:tc>
          <w:tcPr>
            <w:tcW w:w="5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53"/>
        </w:trPr>
        <w:tc>
          <w:tcPr>
            <w:tcW w:w="20" w:type="dxa"/>
            <w:vAlign w:val="bottom"/>
          </w:tcPr>
          <w:p>
            <w:pPr>
              <w:spacing w:after="0"/>
              <w:rPr>
                <w:sz w:val="22"/>
                <w:szCs w:val="22"/>
                <w:color w:val="auto"/>
              </w:rPr>
            </w:pPr>
          </w:p>
        </w:tc>
        <w:tc>
          <w:tcPr>
            <w:tcW w:w="692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Basic</w:t>
            </w:r>
          </w:p>
        </w:tc>
        <w:tc>
          <w:tcPr>
            <w:tcW w:w="5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.65</w:t>
            </w:r>
          </w:p>
        </w:tc>
        <w:tc>
          <w:tcPr>
            <w:tcW w:w="36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120" w:type="dxa"/>
            <w:vAlign w:val="bottom"/>
            <w:tcBorders>
              <w:bottom w:val="single" w:sz="8" w:color="CCEEFF"/>
            </w:tcBorders>
          </w:tcPr>
          <w:p>
            <w:pPr>
              <w:spacing w:after="0"/>
              <w:rPr>
                <w:sz w:val="22"/>
                <w:szCs w:val="22"/>
                <w:color w:val="auto"/>
              </w:rPr>
            </w:pPr>
          </w:p>
        </w:tc>
      </w:tr>
      <w:tr>
        <w:trPr>
          <w:trHeight w:val="197"/>
        </w:trPr>
        <w:tc>
          <w:tcPr>
            <w:tcW w:w="20" w:type="dxa"/>
            <w:vAlign w:val="bottom"/>
          </w:tcPr>
          <w:p>
            <w:pPr>
              <w:spacing w:after="0"/>
              <w:rPr>
                <w:sz w:val="17"/>
                <w:szCs w:val="17"/>
                <w:color w:val="auto"/>
              </w:rPr>
            </w:pPr>
          </w:p>
        </w:tc>
        <w:tc>
          <w:tcPr>
            <w:tcW w:w="69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Diluted</w:t>
            </w:r>
          </w:p>
        </w:tc>
        <w:tc>
          <w:tcPr>
            <w:tcW w:w="52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.65</w:t>
            </w:r>
          </w:p>
        </w:tc>
        <w:tc>
          <w:tcPr>
            <w:tcW w:w="3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20"/>
        </w:trPr>
        <w:tc>
          <w:tcPr>
            <w:tcW w:w="67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6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Average shares outstanding (millions):</w:t>
            </w:r>
          </w:p>
        </w:tc>
        <w:tc>
          <w:tcPr>
            <w:tcW w:w="5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53"/>
        </w:trPr>
        <w:tc>
          <w:tcPr>
            <w:tcW w:w="20" w:type="dxa"/>
            <w:vAlign w:val="bottom"/>
          </w:tcPr>
          <w:p>
            <w:pPr>
              <w:spacing w:after="0"/>
              <w:rPr>
                <w:sz w:val="22"/>
                <w:szCs w:val="22"/>
                <w:color w:val="auto"/>
              </w:rPr>
            </w:pPr>
          </w:p>
        </w:tc>
        <w:tc>
          <w:tcPr>
            <w:tcW w:w="692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Basic</w:t>
            </w:r>
          </w:p>
        </w:tc>
        <w:tc>
          <w:tcPr>
            <w:tcW w:w="5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1,007</w:t>
            </w:r>
          </w:p>
        </w:tc>
        <w:tc>
          <w:tcPr>
            <w:tcW w:w="36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1,046</w:t>
            </w:r>
          </w:p>
        </w:tc>
        <w:tc>
          <w:tcPr>
            <w:tcW w:w="120" w:type="dxa"/>
            <w:vAlign w:val="bottom"/>
            <w:tcBorders>
              <w:bottom w:val="single" w:sz="8" w:color="CCEEFF"/>
            </w:tcBorders>
          </w:tcPr>
          <w:p>
            <w:pPr>
              <w:spacing w:after="0"/>
              <w:rPr>
                <w:sz w:val="22"/>
                <w:szCs w:val="22"/>
                <w:color w:val="auto"/>
              </w:rPr>
            </w:pPr>
          </w:p>
        </w:tc>
      </w:tr>
      <w:tr>
        <w:trPr>
          <w:trHeight w:val="197"/>
        </w:trPr>
        <w:tc>
          <w:tcPr>
            <w:tcW w:w="20" w:type="dxa"/>
            <w:vAlign w:val="bottom"/>
          </w:tcPr>
          <w:p>
            <w:pPr>
              <w:spacing w:after="0"/>
              <w:rPr>
                <w:sz w:val="17"/>
                <w:szCs w:val="17"/>
                <w:color w:val="auto"/>
              </w:rPr>
            </w:pPr>
          </w:p>
        </w:tc>
        <w:tc>
          <w:tcPr>
            <w:tcW w:w="69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Diluted</w:t>
            </w:r>
          </w:p>
        </w:tc>
        <w:tc>
          <w:tcPr>
            <w:tcW w:w="52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1,018</w:t>
            </w:r>
          </w:p>
        </w:tc>
        <w:tc>
          <w:tcPr>
            <w:tcW w:w="3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1,061</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20"/>
        </w:trPr>
        <w:tc>
          <w:tcPr>
            <w:tcW w:w="67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6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6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Cash dividends declared per common share</w:t>
            </w:r>
          </w:p>
        </w:tc>
        <w:tc>
          <w:tcPr>
            <w:tcW w:w="52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w:t>
            </w:r>
          </w:p>
        </w:tc>
        <w:tc>
          <w:tcPr>
            <w:tcW w:w="3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0" w:lineRule="exact"/>
        <w:rPr>
          <w:sz w:val="20"/>
          <w:szCs w:val="20"/>
          <w:color w:val="auto"/>
        </w:rPr>
      </w:pPr>
    </w:p>
    <w:p>
      <w:pPr>
        <w:ind w:right="800"/>
        <w:spacing w:after="0" w:line="293" w:lineRule="auto"/>
        <w:rPr>
          <w:sz w:val="20"/>
          <w:szCs w:val="20"/>
          <w:color w:val="auto"/>
        </w:rPr>
      </w:pPr>
      <w:r>
        <w:rPr>
          <w:rFonts w:ascii="Arial" w:cs="Arial" w:eastAsia="Arial" w:hAnsi="Arial"/>
          <w:sz w:val="16"/>
          <w:szCs w:val="16"/>
          <w:color w:val="auto"/>
        </w:rPr>
        <w:t>As a result of accounting rule ASC 260, which requires a portion of Net income to be allocated to unvested restricted stock units (RSUs) on which we pay dividend equivalents, diluted EPS is calculated using the following:</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960" w:type="dxa"/>
            <w:vAlign w:val="bottom"/>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668</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w:t>
            </w:r>
          </w:p>
        </w:tc>
        <w:tc>
          <w:tcPr>
            <w:tcW w:w="120" w:type="dxa"/>
            <w:vAlign w:val="bottom"/>
            <w:shd w:val="clear" w:color="auto" w:fill="CCEEFF"/>
          </w:tcPr>
          <w:p>
            <w:pPr>
              <w:spacing w:after="0"/>
              <w:rPr>
                <w:sz w:val="18"/>
                <w:szCs w:val="18"/>
                <w:color w:val="auto"/>
              </w:rPr>
            </w:pPr>
          </w:p>
        </w:tc>
      </w:tr>
      <w:tr>
        <w:trPr>
          <w:trHeight w:val="213"/>
        </w:trPr>
        <w:tc>
          <w:tcPr>
            <w:tcW w:w="6940" w:type="dxa"/>
            <w:vAlign w:val="bottom"/>
          </w:tcPr>
          <w:p>
            <w:pPr>
              <w:spacing w:after="0"/>
              <w:rPr>
                <w:sz w:val="20"/>
                <w:szCs w:val="20"/>
                <w:color w:val="auto"/>
              </w:rPr>
            </w:pPr>
            <w:r>
              <w:rPr>
                <w:rFonts w:ascii="Arial" w:cs="Arial" w:eastAsia="Arial" w:hAnsi="Arial"/>
                <w:sz w:val="16"/>
                <w:szCs w:val="16"/>
                <w:color w:val="auto"/>
              </w:rPr>
              <w:t>Income allocated to RSUs</w:t>
            </w:r>
          </w:p>
        </w:tc>
        <w:tc>
          <w:tcPr>
            <w:tcW w:w="9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(9)</w:t>
            </w:r>
          </w:p>
        </w:tc>
        <w:tc>
          <w:tcPr>
            <w:tcW w:w="96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(9)</w:t>
            </w:r>
          </w:p>
        </w:tc>
      </w:tr>
      <w:tr>
        <w:trPr>
          <w:trHeight w:val="210"/>
        </w:trPr>
        <w:tc>
          <w:tcPr>
            <w:tcW w:w="6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Income allocated to common stock for diluted EPS</w:t>
            </w:r>
          </w:p>
        </w:tc>
        <w:tc>
          <w:tcPr>
            <w:tcW w:w="960" w:type="dxa"/>
            <w:vAlign w:val="bottom"/>
            <w:tcBorders>
              <w:top w:val="single" w:sz="8" w:color="auto"/>
              <w:bottom w:val="single" w:sz="8" w:color="auto"/>
            </w:tcBorders>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659</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69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9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8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5"/>
          </w:tcPr>
          <w:p>
            <w:pPr>
              <w:jc w:val="right"/>
              <w:ind w:right="260"/>
              <w:spacing w:after="0"/>
              <w:rPr>
                <w:sz w:val="20"/>
                <w:szCs w:val="20"/>
                <w:color w:val="auto"/>
              </w:rPr>
            </w:pPr>
            <w:r>
              <w:rPr>
                <w:rFonts w:ascii="Arial" w:cs="Arial" w:eastAsia="Arial" w:hAnsi="Arial"/>
                <w:sz w:val="16"/>
                <w:szCs w:val="16"/>
                <w:b w:val="1"/>
                <w:bCs w:val="1"/>
                <w:color w:val="auto"/>
                <w:w w:val="93"/>
              </w:rPr>
              <w:t>For Three Months Ended</w:t>
            </w:r>
          </w:p>
        </w:tc>
      </w:tr>
      <w:tr>
        <w:trPr>
          <w:trHeight w:val="219"/>
        </w:trPr>
        <w:tc>
          <w:tcPr>
            <w:tcW w:w="9260" w:type="dxa"/>
            <w:vAlign w:val="bottom"/>
            <w:gridSpan w:val="3"/>
          </w:tcPr>
          <w:p>
            <w:pPr>
              <w:spacing w:after="0"/>
              <w:rPr>
                <w:sz w:val="20"/>
                <w:szCs w:val="20"/>
                <w:color w:val="auto"/>
              </w:rPr>
            </w:pPr>
            <w:r>
              <w:rPr>
                <w:rFonts w:ascii="Arial" w:cs="Arial" w:eastAsia="Arial" w:hAnsi="Arial"/>
                <w:sz w:val="16"/>
                <w:szCs w:val="16"/>
                <w:b w:val="1"/>
                <w:bCs w:val="1"/>
                <w:color w:val="auto"/>
              </w:rPr>
              <w:t>Consolidated Statements of Comprehensive Income</w:t>
            </w:r>
          </w:p>
        </w:tc>
        <w:tc>
          <w:tcPr>
            <w:tcW w:w="120" w:type="dxa"/>
            <w:vAlign w:val="bottom"/>
          </w:tcPr>
          <w:p>
            <w:pPr>
              <w:spacing w:after="0"/>
              <w:rPr>
                <w:sz w:val="19"/>
                <w:szCs w:val="19"/>
                <w:color w:val="auto"/>
              </w:rPr>
            </w:pPr>
          </w:p>
        </w:tc>
        <w:tc>
          <w:tcPr>
            <w:tcW w:w="1300" w:type="dxa"/>
            <w:vAlign w:val="bottom"/>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8920" w:type="dxa"/>
            <w:vAlign w:val="bottom"/>
            <w:tcBorders>
              <w:top w:val="single" w:sz="8" w:color="auto"/>
              <w:bottom w:val="single" w:sz="8" w:color="CCEEFF"/>
            </w:tcBorders>
          </w:tcPr>
          <w:p>
            <w:pPr>
              <w:spacing w:after="0"/>
              <w:rPr>
                <w:sz w:val="20"/>
                <w:szCs w:val="20"/>
                <w:color w:val="auto"/>
              </w:rPr>
            </w:pPr>
            <w:r>
              <w:rPr>
                <w:rFonts w:ascii="Arial" w:cs="Arial" w:eastAsia="Arial" w:hAnsi="Arial"/>
                <w:sz w:val="16"/>
                <w:szCs w:val="16"/>
                <w:b w:val="1"/>
                <w:bCs w:val="1"/>
                <w:color w:val="auto"/>
              </w:rPr>
              <w:t>(Millions of dollars)</w:t>
            </w:r>
          </w:p>
        </w:tc>
        <w:tc>
          <w:tcPr>
            <w:tcW w:w="3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2016</w:t>
            </w:r>
          </w:p>
        </w:tc>
        <w:tc>
          <w:tcPr>
            <w:tcW w:w="34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95"/>
              </w:rPr>
              <w:t>2015</w:t>
            </w:r>
          </w:p>
        </w:tc>
        <w:tc>
          <w:tcPr>
            <w:tcW w:w="100" w:type="dxa"/>
            <w:vAlign w:val="bottom"/>
            <w:tcBorders>
              <w:bottom w:val="single" w:sz="8" w:color="CCEEFF"/>
            </w:tcBorders>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9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668</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w:t>
            </w:r>
          </w:p>
        </w:tc>
        <w:tc>
          <w:tcPr>
            <w:tcW w:w="100" w:type="dxa"/>
            <w:vAlign w:val="bottom"/>
            <w:shd w:val="clear" w:color="auto" w:fill="CCEEFF"/>
          </w:tcPr>
          <w:p>
            <w:pPr>
              <w:spacing w:after="0"/>
              <w:rPr>
                <w:sz w:val="18"/>
                <w:szCs w:val="18"/>
                <w:color w:val="auto"/>
              </w:rPr>
            </w:pPr>
          </w:p>
        </w:tc>
      </w:tr>
      <w:tr>
        <w:trPr>
          <w:trHeight w:val="213"/>
        </w:trPr>
        <w:tc>
          <w:tcPr>
            <w:tcW w:w="9260" w:type="dxa"/>
            <w:vAlign w:val="bottom"/>
            <w:gridSpan w:val="3"/>
          </w:tcPr>
          <w:p>
            <w:pPr>
              <w:spacing w:after="0"/>
              <w:rPr>
                <w:sz w:val="20"/>
                <w:szCs w:val="20"/>
                <w:color w:val="auto"/>
              </w:rPr>
            </w:pPr>
            <w:r>
              <w:rPr>
                <w:rFonts w:ascii="Arial" w:cs="Arial" w:eastAsia="Arial" w:hAnsi="Arial"/>
                <w:sz w:val="16"/>
                <w:szCs w:val="16"/>
                <w:color w:val="auto"/>
              </w:rPr>
              <w:t>Other comprehensive income (loss), net of taxes:</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92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Net actuarial gains (losses) of defined benefit plans: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9240" w:type="dxa"/>
            <w:vAlign w:val="bottom"/>
            <w:gridSpan w:val="2"/>
          </w:tcPr>
          <w:p>
            <w:pPr>
              <w:ind w:left="240"/>
              <w:spacing w:after="0"/>
              <w:rPr>
                <w:sz w:val="20"/>
                <w:szCs w:val="20"/>
                <w:color w:val="auto"/>
              </w:rPr>
            </w:pPr>
            <w:r>
              <w:rPr>
                <w:rFonts w:ascii="Arial" w:cs="Arial" w:eastAsia="Arial" w:hAnsi="Arial"/>
                <w:sz w:val="16"/>
                <w:szCs w:val="16"/>
                <w:color w:val="auto"/>
              </w:rPr>
              <w:t>Adjustments</w:t>
            </w:r>
          </w:p>
        </w:tc>
        <w:tc>
          <w:tcPr>
            <w:tcW w:w="1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(12)</w:t>
            </w:r>
          </w:p>
        </w:tc>
        <w:tc>
          <w:tcPr>
            <w:tcW w:w="2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(10)</w:t>
            </w:r>
          </w:p>
        </w:tc>
      </w:tr>
      <w:tr>
        <w:trPr>
          <w:trHeight w:val="219"/>
        </w:trPr>
        <w:tc>
          <w:tcPr>
            <w:tcW w:w="20" w:type="dxa"/>
            <w:vAlign w:val="bottom"/>
          </w:tcPr>
          <w:p>
            <w:pPr>
              <w:spacing w:after="0"/>
              <w:rPr>
                <w:sz w:val="19"/>
                <w:szCs w:val="19"/>
                <w:color w:val="auto"/>
              </w:rPr>
            </w:pPr>
          </w:p>
        </w:tc>
        <w:tc>
          <w:tcPr>
            <w:tcW w:w="92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Recognized within Net income</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9240" w:type="dxa"/>
            <w:vAlign w:val="bottom"/>
            <w:gridSpan w:val="2"/>
          </w:tcPr>
          <w:p>
            <w:pPr>
              <w:ind w:left="120"/>
              <w:spacing w:after="0"/>
              <w:rPr>
                <w:sz w:val="20"/>
                <w:szCs w:val="20"/>
                <w:color w:val="auto"/>
              </w:rPr>
            </w:pPr>
            <w:r>
              <w:rPr>
                <w:rFonts w:ascii="Arial" w:cs="Arial" w:eastAsia="Arial" w:hAnsi="Arial"/>
                <w:sz w:val="16"/>
                <w:szCs w:val="16"/>
                <w:color w:val="auto"/>
              </w:rPr>
              <w:t>Prior service (cost) credit of defined benefit plans:</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92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Recognized within Net income</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(1)</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r>
      <w:tr>
        <w:trPr>
          <w:trHeight w:val="207"/>
        </w:trPr>
        <w:tc>
          <w:tcPr>
            <w:tcW w:w="20" w:type="dxa"/>
            <w:vAlign w:val="bottom"/>
          </w:tcPr>
          <w:p>
            <w:pPr>
              <w:spacing w:after="0"/>
              <w:rPr>
                <w:sz w:val="17"/>
                <w:szCs w:val="17"/>
                <w:color w:val="auto"/>
              </w:rPr>
            </w:pPr>
          </w:p>
        </w:tc>
        <w:tc>
          <w:tcPr>
            <w:tcW w:w="924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Other comprehensive income (loss)</w:t>
            </w:r>
          </w:p>
        </w:tc>
        <w:tc>
          <w:tcPr>
            <w:tcW w:w="1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34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9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comprehensive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669</w:t>
            </w:r>
          </w:p>
        </w:tc>
        <w:tc>
          <w:tcPr>
            <w:tcW w:w="3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760" w:type="dxa"/>
            <w:vAlign w:val="bottom"/>
            <w:gridSpan w:val="3"/>
          </w:tcPr>
          <w:p>
            <w:pPr>
              <w:spacing w:after="0"/>
              <w:rPr>
                <w:sz w:val="20"/>
                <w:szCs w:val="20"/>
                <w:color w:val="auto"/>
              </w:rPr>
            </w:pPr>
            <w:r>
              <w:rPr>
                <w:rFonts w:ascii="Arial" w:cs="Arial" w:eastAsia="Arial" w:hAnsi="Arial"/>
                <w:sz w:val="16"/>
                <w:szCs w:val="16"/>
                <w:b w:val="1"/>
                <w:bCs w:val="1"/>
                <w:color w:val="auto"/>
              </w:rPr>
              <w:t>Consolidated Balance Sheets</w:t>
            </w:r>
          </w:p>
        </w:tc>
        <w:tc>
          <w:tcPr>
            <w:tcW w:w="320" w:type="dxa"/>
            <w:vAlign w:val="bottom"/>
          </w:tcPr>
          <w:p>
            <w:pPr>
              <w:spacing w:after="0"/>
              <w:rPr>
                <w:sz w:val="18"/>
                <w:szCs w:val="18"/>
                <w:color w:val="auto"/>
              </w:rPr>
            </w:pPr>
          </w:p>
        </w:tc>
        <w:tc>
          <w:tcPr>
            <w:tcW w:w="1640" w:type="dxa"/>
            <w:vAlign w:val="bottom"/>
            <w:gridSpan w:val="2"/>
          </w:tcPr>
          <w:p>
            <w:pPr>
              <w:jc w:val="right"/>
              <w:ind w:right="820"/>
              <w:spacing w:after="0"/>
              <w:rPr>
                <w:sz w:val="20"/>
                <w:szCs w:val="20"/>
                <w:color w:val="auto"/>
              </w:rPr>
            </w:pPr>
            <w:r>
              <w:rPr>
                <w:rFonts w:ascii="Arial" w:cs="Arial" w:eastAsia="Arial" w:hAnsi="Arial"/>
                <w:sz w:val="16"/>
                <w:szCs w:val="16"/>
                <w:b w:val="1"/>
                <w:bCs w:val="1"/>
                <w:color w:val="auto"/>
              </w:rPr>
              <w:t>March 31,</w:t>
            </w:r>
          </w:p>
        </w:tc>
        <w:tc>
          <w:tcPr>
            <w:tcW w:w="260" w:type="dxa"/>
            <w:vAlign w:val="bottom"/>
          </w:tcPr>
          <w:p>
            <w:pPr>
              <w:spacing w:after="0"/>
              <w:rPr>
                <w:sz w:val="18"/>
                <w:szCs w:val="18"/>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w w:val="94"/>
              </w:rPr>
              <w:t>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auto"/>
              <w:bottom w:val="single" w:sz="8" w:color="CCEEFF"/>
            </w:tcBorders>
          </w:tcPr>
          <w:p>
            <w:pPr>
              <w:spacing w:after="0"/>
              <w:rPr>
                <w:sz w:val="20"/>
                <w:szCs w:val="20"/>
                <w:color w:val="auto"/>
              </w:rPr>
            </w:pPr>
            <w:r>
              <w:rPr>
                <w:rFonts w:ascii="Arial" w:cs="Arial" w:eastAsia="Arial" w:hAnsi="Arial"/>
                <w:sz w:val="16"/>
                <w:szCs w:val="16"/>
                <w:b w:val="1"/>
                <w:bCs w:val="1"/>
                <w:color w:val="auto"/>
              </w:rPr>
              <w:t>(Millions of dollars, except share amounts)</w:t>
            </w:r>
          </w:p>
        </w:tc>
        <w:tc>
          <w:tcPr>
            <w:tcW w:w="3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2016</w:t>
            </w:r>
          </w:p>
        </w:tc>
        <w:tc>
          <w:tcPr>
            <w:tcW w:w="3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60" w:type="dxa"/>
            <w:vAlign w:val="bottom"/>
            <w:gridSpan w:val="3"/>
          </w:tcPr>
          <w:p>
            <w:pPr>
              <w:spacing w:after="0"/>
              <w:rPr>
                <w:sz w:val="20"/>
                <w:szCs w:val="20"/>
                <w:color w:val="auto"/>
              </w:rPr>
            </w:pPr>
            <w:r>
              <w:rPr>
                <w:rFonts w:ascii="Arial" w:cs="Arial" w:eastAsia="Arial" w:hAnsi="Arial"/>
                <w:sz w:val="16"/>
                <w:szCs w:val="16"/>
                <w:color w:val="auto"/>
              </w:rPr>
              <w:t>Current assets:</w:t>
            </w: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7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32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1,281</w:t>
            </w: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40" w:type="dxa"/>
            <w:vAlign w:val="bottom"/>
            <w:gridSpan w:val="2"/>
          </w:tcPr>
          <w:p>
            <w:pPr>
              <w:ind w:left="120"/>
              <w:spacing w:after="0"/>
              <w:rPr>
                <w:sz w:val="20"/>
                <w:szCs w:val="20"/>
                <w:color w:val="auto"/>
              </w:rPr>
            </w:pPr>
            <w:r>
              <w:rPr>
                <w:rFonts w:ascii="Arial" w:cs="Arial" w:eastAsia="Arial" w:hAnsi="Arial"/>
                <w:sz w:val="16"/>
                <w:szCs w:val="16"/>
                <w:color w:val="auto"/>
              </w:rPr>
              <w:t>Short-term investments</w:t>
            </w: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1,519</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2,218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7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Accounts receivable, net of allowances of ($11) and ($7)</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1,269</w:t>
            </w: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40" w:type="dxa"/>
            <w:vAlign w:val="bottom"/>
            <w:gridSpan w:val="2"/>
          </w:tcPr>
          <w:p>
            <w:pPr>
              <w:ind w:left="240"/>
              <w:spacing w:after="0"/>
              <w:rPr>
                <w:sz w:val="20"/>
                <w:szCs w:val="20"/>
                <w:color w:val="auto"/>
              </w:rPr>
            </w:pPr>
            <w:r>
              <w:rPr>
                <w:rFonts w:ascii="Arial" w:cs="Arial" w:eastAsia="Arial" w:hAnsi="Arial"/>
                <w:sz w:val="16"/>
                <w:szCs w:val="16"/>
                <w:color w:val="auto"/>
              </w:rPr>
              <w:t>Raw materials</w:t>
            </w: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105</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7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Work in process</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888</w:t>
            </w: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4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Finished goods</w:t>
            </w: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812</w:t>
            </w:r>
          </w:p>
        </w:tc>
        <w:tc>
          <w:tcPr>
            <w:tcW w:w="3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7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Inventories</w:t>
            </w:r>
          </w:p>
        </w:tc>
        <w:tc>
          <w:tcPr>
            <w:tcW w:w="3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1,805</w:t>
            </w:r>
          </w:p>
        </w:tc>
        <w:tc>
          <w:tcPr>
            <w:tcW w:w="3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74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Prepaid expenses and other current assets</w:t>
            </w:r>
          </w:p>
        </w:tc>
        <w:tc>
          <w:tcPr>
            <w:tcW w:w="3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785</w:t>
            </w:r>
          </w:p>
        </w:tc>
        <w:tc>
          <w:tcPr>
            <w:tcW w:w="3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7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Total current assets</w:t>
            </w:r>
          </w:p>
        </w:tc>
        <w:tc>
          <w:tcPr>
            <w:tcW w:w="3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6,659</w:t>
            </w:r>
          </w:p>
        </w:tc>
        <w:tc>
          <w:tcPr>
            <w:tcW w:w="3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760" w:type="dxa"/>
            <w:vAlign w:val="bottom"/>
            <w:gridSpan w:val="3"/>
          </w:tcPr>
          <w:p>
            <w:pPr>
              <w:spacing w:after="0"/>
              <w:rPr>
                <w:sz w:val="20"/>
                <w:szCs w:val="20"/>
                <w:color w:val="auto"/>
              </w:rPr>
            </w:pPr>
            <w:r>
              <w:rPr>
                <w:rFonts w:ascii="Arial" w:cs="Arial" w:eastAsia="Arial" w:hAnsi="Arial"/>
                <w:sz w:val="16"/>
                <w:szCs w:val="16"/>
                <w:color w:val="auto"/>
              </w:rPr>
              <w:t>Property, plant and equipment at cost</w:t>
            </w:r>
          </w:p>
        </w:tc>
        <w:tc>
          <w:tcPr>
            <w:tcW w:w="3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5,290</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5,465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7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Accumulated depreciation</w:t>
            </w:r>
          </w:p>
        </w:tc>
        <w:tc>
          <w:tcPr>
            <w:tcW w:w="3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b w:val="1"/>
                <w:bCs w:val="1"/>
                <w:color w:val="auto"/>
              </w:rPr>
              <w:t>(2,736)</w:t>
            </w:r>
          </w:p>
        </w:tc>
        <w:tc>
          <w:tcPr>
            <w:tcW w:w="2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(2,869)</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74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Property, plant and equipment, net</w:t>
            </w:r>
          </w:p>
        </w:tc>
        <w:tc>
          <w:tcPr>
            <w:tcW w:w="32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2,554</w:t>
            </w:r>
          </w:p>
        </w:tc>
        <w:tc>
          <w:tcPr>
            <w:tcW w:w="36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2,596</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Long-term investments</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220</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60" w:type="dxa"/>
            <w:vAlign w:val="bottom"/>
            <w:gridSpan w:val="3"/>
          </w:tcPr>
          <w:p>
            <w:pPr>
              <w:spacing w:after="0"/>
              <w:rPr>
                <w:sz w:val="20"/>
                <w:szCs w:val="20"/>
                <w:color w:val="auto"/>
              </w:rPr>
            </w:pPr>
            <w:r>
              <w:rPr>
                <w:rFonts w:ascii="Arial" w:cs="Arial" w:eastAsia="Arial" w:hAnsi="Arial"/>
                <w:sz w:val="16"/>
                <w:szCs w:val="16"/>
                <w:color w:val="auto"/>
              </w:rPr>
              <w:t>Goodwill, net</w:t>
            </w: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4,362</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4,362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Acquisition-related intangibles, net</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1,503</w:t>
            </w: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60" w:type="dxa"/>
            <w:vAlign w:val="bottom"/>
            <w:gridSpan w:val="3"/>
          </w:tcPr>
          <w:p>
            <w:pPr>
              <w:spacing w:after="0"/>
              <w:rPr>
                <w:sz w:val="20"/>
                <w:szCs w:val="20"/>
                <w:color w:val="auto"/>
              </w:rPr>
            </w:pPr>
            <w:r>
              <w:rPr>
                <w:rFonts w:ascii="Arial" w:cs="Arial" w:eastAsia="Arial" w:hAnsi="Arial"/>
                <w:sz w:val="16"/>
                <w:szCs w:val="16"/>
                <w:color w:val="auto"/>
              </w:rPr>
              <w:t>Deferred income taxes</w:t>
            </w: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175</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Capitalized software licenses, net</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53</w:t>
            </w: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60" w:type="dxa"/>
            <w:vAlign w:val="bottom"/>
            <w:gridSpan w:val="3"/>
          </w:tcPr>
          <w:p>
            <w:pPr>
              <w:spacing w:after="0"/>
              <w:rPr>
                <w:sz w:val="20"/>
                <w:szCs w:val="20"/>
                <w:color w:val="auto"/>
              </w:rPr>
            </w:pPr>
            <w:r>
              <w:rPr>
                <w:rFonts w:ascii="Arial" w:cs="Arial" w:eastAsia="Arial" w:hAnsi="Arial"/>
                <w:sz w:val="16"/>
                <w:szCs w:val="16"/>
                <w:color w:val="auto"/>
              </w:rPr>
              <w:t>Overfunded retirement plans</w:t>
            </w: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84</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assets</w:t>
            </w:r>
          </w:p>
        </w:tc>
        <w:tc>
          <w:tcPr>
            <w:tcW w:w="3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76</w:t>
            </w:r>
          </w:p>
        </w:tc>
        <w:tc>
          <w:tcPr>
            <w:tcW w:w="3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7760" w:type="dxa"/>
            <w:vAlign w:val="bottom"/>
            <w:gridSpan w:val="3"/>
          </w:tcPr>
          <w:p>
            <w:pPr>
              <w:spacing w:after="0"/>
              <w:rPr>
                <w:sz w:val="20"/>
                <w:szCs w:val="20"/>
                <w:color w:val="auto"/>
              </w:rPr>
            </w:pPr>
            <w:r>
              <w:rPr>
                <w:rFonts w:ascii="Arial" w:cs="Arial" w:eastAsia="Arial" w:hAnsi="Arial"/>
                <w:sz w:val="16"/>
                <w:szCs w:val="16"/>
                <w:color w:val="auto"/>
              </w:rPr>
              <w:t>Total assets</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15,686</w:t>
            </w:r>
          </w:p>
        </w:tc>
        <w:tc>
          <w:tcPr>
            <w:tcW w:w="360" w:type="dxa"/>
            <w:vAlign w:val="bottom"/>
          </w:tcPr>
          <w:p>
            <w:pPr>
              <w:spacing w:after="0"/>
              <w:rPr>
                <w:sz w:val="21"/>
                <w:szCs w:val="21"/>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16,230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74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7740" w:type="dxa"/>
            <w:vAlign w:val="bottom"/>
            <w:gridSpan w:val="2"/>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40" w:type="dxa"/>
            <w:vAlign w:val="bottom"/>
            <w:gridSpan w:val="2"/>
          </w:tcPr>
          <w:p>
            <w:pPr>
              <w:ind w:left="120"/>
              <w:spacing w:after="0"/>
              <w:rPr>
                <w:sz w:val="20"/>
                <w:szCs w:val="20"/>
                <w:color w:val="auto"/>
              </w:rPr>
            </w:pPr>
            <w:r>
              <w:rPr>
                <w:rFonts w:ascii="Arial" w:cs="Arial" w:eastAsia="Arial" w:hAnsi="Arial"/>
                <w:sz w:val="16"/>
                <w:szCs w:val="16"/>
                <w:color w:val="auto"/>
              </w:rPr>
              <w:t>Current portion of long-term debt</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1,249</w:t>
            </w:r>
          </w:p>
        </w:tc>
        <w:tc>
          <w:tcPr>
            <w:tcW w:w="3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7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Accounts payable</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387</w:t>
            </w: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40" w:type="dxa"/>
            <w:vAlign w:val="bottom"/>
            <w:gridSpan w:val="2"/>
          </w:tcPr>
          <w:p>
            <w:pPr>
              <w:ind w:left="120"/>
              <w:spacing w:after="0"/>
              <w:rPr>
                <w:sz w:val="20"/>
                <w:szCs w:val="20"/>
                <w:color w:val="auto"/>
              </w:rPr>
            </w:pPr>
            <w:r>
              <w:rPr>
                <w:rFonts w:ascii="Arial" w:cs="Arial" w:eastAsia="Arial" w:hAnsi="Arial"/>
                <w:sz w:val="16"/>
                <w:szCs w:val="16"/>
                <w:color w:val="auto"/>
              </w:rPr>
              <w:t>Accrued compensation</w:t>
            </w: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340</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7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Income taxes payable</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67</w:t>
            </w: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4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Accrued expenses and other liabilities</w:t>
            </w: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377</w:t>
            </w:r>
          </w:p>
        </w:tc>
        <w:tc>
          <w:tcPr>
            <w:tcW w:w="3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7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Total current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2,420</w:t>
            </w:r>
          </w:p>
        </w:tc>
        <w:tc>
          <w:tcPr>
            <w:tcW w:w="3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760" w:type="dxa"/>
            <w:vAlign w:val="bottom"/>
            <w:gridSpan w:val="3"/>
          </w:tcPr>
          <w:p>
            <w:pPr>
              <w:spacing w:after="0"/>
              <w:rPr>
                <w:sz w:val="20"/>
                <w:szCs w:val="20"/>
                <w:color w:val="auto"/>
              </w:rPr>
            </w:pPr>
            <w:r>
              <w:rPr>
                <w:rFonts w:ascii="Arial" w:cs="Arial" w:eastAsia="Arial" w:hAnsi="Arial"/>
                <w:sz w:val="16"/>
                <w:szCs w:val="16"/>
                <w:color w:val="auto"/>
              </w:rPr>
              <w:t>Long-term debt</w:t>
            </w:r>
          </w:p>
        </w:tc>
        <w:tc>
          <w:tcPr>
            <w:tcW w:w="3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2,869</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3,120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Underfunded retirement plans</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195</w:t>
            </w: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60" w:type="dxa"/>
            <w:vAlign w:val="bottom"/>
            <w:gridSpan w:val="3"/>
          </w:tcPr>
          <w:p>
            <w:pPr>
              <w:spacing w:after="0"/>
              <w:rPr>
                <w:sz w:val="20"/>
                <w:szCs w:val="20"/>
                <w:color w:val="auto"/>
              </w:rPr>
            </w:pPr>
            <w:r>
              <w:rPr>
                <w:rFonts w:ascii="Arial" w:cs="Arial" w:eastAsia="Arial" w:hAnsi="Arial"/>
                <w:sz w:val="16"/>
                <w:szCs w:val="16"/>
                <w:color w:val="auto"/>
              </w:rPr>
              <w:t>Deferred income taxes</w:t>
            </w: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38</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Deferred credits and other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382</w:t>
            </w:r>
          </w:p>
        </w:tc>
        <w:tc>
          <w:tcPr>
            <w:tcW w:w="3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760" w:type="dxa"/>
            <w:vAlign w:val="bottom"/>
            <w:gridSpan w:val="3"/>
          </w:tcPr>
          <w:p>
            <w:pPr>
              <w:spacing w:after="0"/>
              <w:rPr>
                <w:sz w:val="20"/>
                <w:szCs w:val="20"/>
                <w:color w:val="auto"/>
              </w:rPr>
            </w:pPr>
            <w:r>
              <w:rPr>
                <w:rFonts w:ascii="Arial" w:cs="Arial" w:eastAsia="Arial" w:hAnsi="Arial"/>
                <w:sz w:val="16"/>
                <w:szCs w:val="16"/>
                <w:color w:val="auto"/>
              </w:rPr>
              <w:t>Total liabilities</w:t>
            </w:r>
          </w:p>
        </w:tc>
        <w:tc>
          <w:tcPr>
            <w:tcW w:w="3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5,904</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6,284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7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Stockholders’ equity:</w:t>
            </w:r>
          </w:p>
        </w:tc>
        <w:tc>
          <w:tcPr>
            <w:tcW w:w="3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40" w:type="dxa"/>
            <w:vAlign w:val="bottom"/>
            <w:gridSpan w:val="2"/>
          </w:tcPr>
          <w:p>
            <w:pPr>
              <w:ind w:left="120"/>
              <w:spacing w:after="0"/>
              <w:rPr>
                <w:sz w:val="20"/>
                <w:szCs w:val="20"/>
                <w:color w:val="auto"/>
              </w:rPr>
            </w:pPr>
            <w:r>
              <w:rPr>
                <w:rFonts w:ascii="Arial" w:cs="Arial" w:eastAsia="Arial" w:hAnsi="Arial"/>
                <w:sz w:val="16"/>
                <w:szCs w:val="16"/>
                <w:color w:val="auto"/>
              </w:rPr>
              <w:t>Preferred stock, $25 par value. Authorized – 10,000,000 shares</w:t>
            </w: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7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Participating cumulative preferred. None issued.</w:t>
            </w:r>
          </w:p>
        </w:tc>
        <w:tc>
          <w:tcPr>
            <w:tcW w:w="3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40" w:type="dxa"/>
            <w:vAlign w:val="bottom"/>
            <w:gridSpan w:val="2"/>
          </w:tcPr>
          <w:p>
            <w:pPr>
              <w:ind w:left="120"/>
              <w:spacing w:after="0"/>
              <w:rPr>
                <w:sz w:val="20"/>
                <w:szCs w:val="20"/>
                <w:color w:val="auto"/>
              </w:rPr>
            </w:pPr>
            <w:r>
              <w:rPr>
                <w:rFonts w:ascii="Arial" w:cs="Arial" w:eastAsia="Arial" w:hAnsi="Arial"/>
                <w:sz w:val="16"/>
                <w:szCs w:val="16"/>
                <w:color w:val="auto"/>
              </w:rPr>
              <w:t>Common stock, $1 par value. Authorized – 2,400,000,000 shares</w:t>
            </w: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7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Shares issued – 1,740,815,939</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1,741</w:t>
            </w: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40" w:type="dxa"/>
            <w:vAlign w:val="bottom"/>
            <w:gridSpan w:val="2"/>
          </w:tcPr>
          <w:p>
            <w:pPr>
              <w:ind w:left="120"/>
              <w:spacing w:after="0"/>
              <w:rPr>
                <w:sz w:val="20"/>
                <w:szCs w:val="20"/>
                <w:color w:val="auto"/>
              </w:rPr>
            </w:pPr>
            <w:r>
              <w:rPr>
                <w:rFonts w:ascii="Arial" w:cs="Arial" w:eastAsia="Arial" w:hAnsi="Arial"/>
                <w:sz w:val="16"/>
                <w:szCs w:val="16"/>
                <w:color w:val="auto"/>
              </w:rPr>
              <w:t>Paid-in capital</w:t>
            </w: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1,558</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1,629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7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Retained earnings</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31,457</w:t>
            </w: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31,176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40" w:type="dxa"/>
            <w:vAlign w:val="bottom"/>
            <w:gridSpan w:val="2"/>
          </w:tcPr>
          <w:p>
            <w:pPr>
              <w:ind w:left="120"/>
              <w:spacing w:after="0"/>
              <w:rPr>
                <w:sz w:val="20"/>
                <w:szCs w:val="20"/>
                <w:color w:val="auto"/>
              </w:rPr>
            </w:pPr>
            <w:r>
              <w:rPr>
                <w:rFonts w:ascii="Arial" w:cs="Arial" w:eastAsia="Arial" w:hAnsi="Arial"/>
                <w:sz w:val="16"/>
                <w:szCs w:val="16"/>
                <w:color w:val="auto"/>
              </w:rPr>
              <w:t>Treasury common stock at cost</w:t>
            </w: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7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Shares: March 31, 2016 – 734,244,179; December 31, 2015 – 729,547,527</w:t>
            </w:r>
          </w:p>
        </w:tc>
        <w:tc>
          <w:tcPr>
            <w:tcW w:w="3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b w:val="1"/>
                <w:bCs w:val="1"/>
                <w:color w:val="auto"/>
              </w:rPr>
              <w:t>(24,443)</w:t>
            </w:r>
          </w:p>
        </w:tc>
        <w:tc>
          <w:tcPr>
            <w:tcW w:w="2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(24,068)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40" w:type="dxa"/>
            <w:vAlign w:val="bottom"/>
            <w:gridSpan w:val="2"/>
          </w:tcPr>
          <w:p>
            <w:pPr>
              <w:ind w:left="120"/>
              <w:spacing w:after="0"/>
              <w:rPr>
                <w:sz w:val="20"/>
                <w:szCs w:val="20"/>
                <w:color w:val="auto"/>
              </w:rPr>
            </w:pPr>
            <w:r>
              <w:rPr>
                <w:rFonts w:ascii="Arial" w:cs="Arial" w:eastAsia="Arial" w:hAnsi="Arial"/>
                <w:sz w:val="16"/>
                <w:szCs w:val="16"/>
                <w:color w:val="auto"/>
              </w:rPr>
              <w:t>Accumulated other comprehensive income (loss), net of taxes (AOCI)</w:t>
            </w:r>
          </w:p>
        </w:tc>
        <w:tc>
          <w:tcPr>
            <w:tcW w:w="32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(531)</w:t>
            </w:r>
          </w:p>
        </w:tc>
        <w:tc>
          <w:tcPr>
            <w:tcW w:w="2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(532)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74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Total stockholders’ equity</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9,782</w:t>
            </w:r>
          </w:p>
        </w:tc>
        <w:tc>
          <w:tcPr>
            <w:tcW w:w="3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9,946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760" w:type="dxa"/>
            <w:vAlign w:val="bottom"/>
            <w:gridSpan w:val="3"/>
          </w:tcPr>
          <w:p>
            <w:pPr>
              <w:spacing w:after="0"/>
              <w:rPr>
                <w:sz w:val="20"/>
                <w:szCs w:val="20"/>
                <w:color w:val="auto"/>
              </w:rPr>
            </w:pPr>
            <w:r>
              <w:rPr>
                <w:rFonts w:ascii="Arial" w:cs="Arial" w:eastAsia="Arial" w:hAnsi="Arial"/>
                <w:sz w:val="16"/>
                <w:szCs w:val="16"/>
                <w:color w:val="auto"/>
              </w:rPr>
              <w:t>Total liabilities and stockholders’ equity</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15,686</w:t>
            </w:r>
          </w:p>
        </w:tc>
        <w:tc>
          <w:tcPr>
            <w:tcW w:w="360" w:type="dxa"/>
            <w:vAlign w:val="bottom"/>
          </w:tcPr>
          <w:p>
            <w:pPr>
              <w:spacing w:after="0"/>
              <w:rPr>
                <w:sz w:val="17"/>
                <w:szCs w:val="17"/>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540" w:type="dxa"/>
            <w:vAlign w:val="bottom"/>
            <w:gridSpan w:val="5"/>
          </w:tcPr>
          <w:p>
            <w:pPr>
              <w:jc w:val="right"/>
              <w:ind w:right="1140"/>
              <w:spacing w:after="0"/>
              <w:rPr>
                <w:sz w:val="20"/>
                <w:szCs w:val="20"/>
                <w:color w:val="auto"/>
              </w:rPr>
            </w:pPr>
            <w:r>
              <w:rPr>
                <w:rFonts w:ascii="Arial" w:cs="Arial" w:eastAsia="Arial" w:hAnsi="Arial"/>
                <w:sz w:val="16"/>
                <w:szCs w:val="16"/>
                <w:b w:val="1"/>
                <w:bCs w:val="1"/>
                <w:color w:val="auto"/>
              </w:rPr>
              <w:t>For Three Months Ended</w:t>
            </w:r>
          </w:p>
        </w:tc>
        <w:tc>
          <w:tcPr>
            <w:tcW w:w="0" w:type="dxa"/>
            <w:vAlign w:val="bottom"/>
          </w:tcPr>
          <w:p>
            <w:pPr>
              <w:spacing w:after="0"/>
              <w:rPr>
                <w:sz w:val="1"/>
                <w:szCs w:val="1"/>
                <w:color w:val="auto"/>
              </w:rPr>
            </w:pPr>
          </w:p>
        </w:tc>
      </w:tr>
      <w:tr>
        <w:trPr>
          <w:trHeight w:val="219"/>
        </w:trPr>
        <w:tc>
          <w:tcPr>
            <w:tcW w:w="7200" w:type="dxa"/>
            <w:vAlign w:val="bottom"/>
            <w:gridSpan w:val="2"/>
          </w:tcPr>
          <w:p>
            <w:pPr>
              <w:spacing w:after="0"/>
              <w:rPr>
                <w:sz w:val="20"/>
                <w:szCs w:val="20"/>
                <w:color w:val="auto"/>
              </w:rPr>
            </w:pPr>
            <w:r>
              <w:rPr>
                <w:rFonts w:ascii="Arial" w:cs="Arial" w:eastAsia="Arial" w:hAnsi="Arial"/>
                <w:sz w:val="16"/>
                <w:szCs w:val="16"/>
                <w:b w:val="1"/>
                <w:bCs w:val="1"/>
                <w:color w:val="auto"/>
              </w:rPr>
              <w:t>Consolidated Statements of Cash Flows</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140" w:type="dxa"/>
            <w:vAlign w:val="bottom"/>
            <w:gridSpan w:val="3"/>
          </w:tcPr>
          <w:p>
            <w:pPr>
              <w:jc w:val="right"/>
              <w:ind w:right="184"/>
              <w:spacing w:after="0"/>
              <w:rPr>
                <w:sz w:val="20"/>
                <w:szCs w:val="20"/>
                <w:color w:val="auto"/>
              </w:rPr>
            </w:pPr>
            <w:r>
              <w:rPr>
                <w:rFonts w:ascii="Arial" w:cs="Arial" w:eastAsia="Arial" w:hAnsi="Arial"/>
                <w:sz w:val="16"/>
                <w:szCs w:val="16"/>
                <w:b w:val="1"/>
                <w:bCs w:val="1"/>
                <w:color w:val="auto"/>
              </w:rPr>
              <w:t>March 31,</w:t>
            </w: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top w:val="single" w:sz="8" w:color="auto"/>
              <w:bottom w:val="single" w:sz="8" w:color="CCEEFF"/>
            </w:tcBorders>
          </w:tcPr>
          <w:p>
            <w:pPr>
              <w:spacing w:after="0"/>
              <w:rPr>
                <w:sz w:val="20"/>
                <w:szCs w:val="20"/>
                <w:color w:val="auto"/>
              </w:rPr>
            </w:pPr>
            <w:r>
              <w:rPr>
                <w:rFonts w:ascii="Arial" w:cs="Arial" w:eastAsia="Arial" w:hAnsi="Arial"/>
                <w:sz w:val="16"/>
                <w:szCs w:val="16"/>
                <w:b w:val="1"/>
                <w:bCs w:val="1"/>
                <w:color w:val="auto"/>
              </w:rPr>
              <w:t>(Millions of dollars)</w:t>
            </w:r>
          </w:p>
        </w:tc>
        <w:tc>
          <w:tcPr>
            <w:tcW w:w="3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2016</w:t>
            </w:r>
          </w:p>
        </w:tc>
        <w:tc>
          <w:tcPr>
            <w:tcW w:w="360" w:type="dxa"/>
            <w:vAlign w:val="bottom"/>
            <w:tcBorders>
              <w:top w:val="single" w:sz="8" w:color="auto"/>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8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680" w:type="dxa"/>
            <w:vAlign w:val="bottom"/>
            <w:gridSpan w:val="2"/>
          </w:tcPr>
          <w:p>
            <w:pPr>
              <w:jc w:val="right"/>
              <w:ind w:right="224"/>
              <w:spacing w:after="0"/>
              <w:rPr>
                <w:sz w:val="20"/>
                <w:szCs w:val="20"/>
                <w:color w:val="auto"/>
              </w:rPr>
            </w:pPr>
            <w:r>
              <w:rPr>
                <w:rFonts w:ascii="Arial" w:cs="Arial" w:eastAsia="Arial" w:hAnsi="Arial"/>
                <w:sz w:val="16"/>
                <w:szCs w:val="16"/>
                <w:b w:val="1"/>
                <w:bCs w:val="1"/>
                <w:color w:val="auto"/>
              </w:rPr>
              <w:t>$</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668</w:t>
            </w:r>
          </w:p>
        </w:tc>
        <w:tc>
          <w:tcPr>
            <w:tcW w:w="360" w:type="dxa"/>
            <w:vAlign w:val="bottom"/>
          </w:tcPr>
          <w:p>
            <w:pPr>
              <w:spacing w:after="0"/>
              <w:rPr>
                <w:sz w:val="18"/>
                <w:szCs w:val="18"/>
                <w:color w:val="auto"/>
              </w:rPr>
            </w:pPr>
          </w:p>
        </w:tc>
        <w:tc>
          <w:tcPr>
            <w:tcW w:w="440" w:type="dxa"/>
            <w:vAlign w:val="bottom"/>
          </w:tcPr>
          <w:p>
            <w:pPr>
              <w:jc w:val="right"/>
              <w:ind w:right="284"/>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656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Adjustments to Net income:</w:t>
            </w:r>
          </w:p>
        </w:tc>
        <w:tc>
          <w:tcPr>
            <w:tcW w:w="3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80" w:type="dxa"/>
            <w:vAlign w:val="bottom"/>
          </w:tcPr>
          <w:p>
            <w:pPr>
              <w:ind w:left="240"/>
              <w:spacing w:after="0"/>
              <w:rPr>
                <w:sz w:val="20"/>
                <w:szCs w:val="20"/>
                <w:color w:val="auto"/>
              </w:rPr>
            </w:pPr>
            <w:r>
              <w:rPr>
                <w:rFonts w:ascii="Arial" w:cs="Arial" w:eastAsia="Arial" w:hAnsi="Arial"/>
                <w:sz w:val="16"/>
                <w:szCs w:val="16"/>
                <w:color w:val="auto"/>
              </w:rPr>
              <w:t>Depreciation</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161</w:t>
            </w: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1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Amortization of acquisition-related intangibles</w:t>
            </w:r>
          </w:p>
        </w:tc>
        <w:tc>
          <w:tcPr>
            <w:tcW w:w="3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80</w:t>
            </w:r>
          </w:p>
        </w:tc>
        <w:tc>
          <w:tcPr>
            <w:tcW w:w="3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80" w:type="dxa"/>
            <w:vAlign w:val="bottom"/>
          </w:tcPr>
          <w:p>
            <w:pPr>
              <w:ind w:left="240"/>
              <w:spacing w:after="0"/>
              <w:rPr>
                <w:sz w:val="20"/>
                <w:szCs w:val="20"/>
                <w:color w:val="auto"/>
              </w:rPr>
            </w:pPr>
            <w:r>
              <w:rPr>
                <w:rFonts w:ascii="Arial" w:cs="Arial" w:eastAsia="Arial" w:hAnsi="Arial"/>
                <w:sz w:val="16"/>
                <w:szCs w:val="16"/>
                <w:color w:val="auto"/>
              </w:rPr>
              <w:t>Amortization of capitalized software</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8</w:t>
            </w: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1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Stock-based compensation</w:t>
            </w:r>
          </w:p>
        </w:tc>
        <w:tc>
          <w:tcPr>
            <w:tcW w:w="3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72</w:t>
            </w:r>
          </w:p>
        </w:tc>
        <w:tc>
          <w:tcPr>
            <w:tcW w:w="3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80" w:type="dxa"/>
            <w:vAlign w:val="bottom"/>
          </w:tcPr>
          <w:p>
            <w:pPr>
              <w:ind w:left="240"/>
              <w:spacing w:after="0"/>
              <w:rPr>
                <w:sz w:val="20"/>
                <w:szCs w:val="20"/>
                <w:color w:val="auto"/>
              </w:rPr>
            </w:pPr>
            <w:r>
              <w:rPr>
                <w:rFonts w:ascii="Arial" w:cs="Arial" w:eastAsia="Arial" w:hAnsi="Arial"/>
                <w:sz w:val="16"/>
                <w:szCs w:val="16"/>
                <w:color w:val="auto"/>
              </w:rPr>
              <w:t>Gains on sales of assets</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0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1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Deferred income taxes</w:t>
            </w:r>
          </w:p>
        </w:tc>
        <w:tc>
          <w:tcPr>
            <w:tcW w:w="3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w:t>
            </w:r>
          </w:p>
        </w:tc>
        <w:tc>
          <w:tcPr>
            <w:tcW w:w="3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80" w:type="dxa"/>
            <w:vAlign w:val="bottom"/>
          </w:tcPr>
          <w:p>
            <w:pPr>
              <w:ind w:left="120"/>
              <w:spacing w:after="0"/>
              <w:rPr>
                <w:sz w:val="20"/>
                <w:szCs w:val="20"/>
                <w:color w:val="auto"/>
              </w:rPr>
            </w:pPr>
            <w:r>
              <w:rPr>
                <w:rFonts w:ascii="Arial" w:cs="Arial" w:eastAsia="Arial" w:hAnsi="Arial"/>
                <w:sz w:val="16"/>
                <w:szCs w:val="16"/>
                <w:color w:val="auto"/>
              </w:rPr>
              <w:t>Increase (decrease) from changes in:</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1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Accounts receivable</w:t>
            </w:r>
          </w:p>
        </w:tc>
        <w:tc>
          <w:tcPr>
            <w:tcW w:w="3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(100)</w:t>
            </w:r>
          </w:p>
        </w:tc>
        <w:tc>
          <w:tcPr>
            <w:tcW w:w="4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80" w:type="dxa"/>
            <w:vAlign w:val="bottom"/>
          </w:tcPr>
          <w:p>
            <w:pPr>
              <w:ind w:left="240"/>
              <w:spacing w:after="0"/>
              <w:rPr>
                <w:sz w:val="20"/>
                <w:szCs w:val="20"/>
                <w:color w:val="auto"/>
              </w:rPr>
            </w:pPr>
            <w:r>
              <w:rPr>
                <w:rFonts w:ascii="Arial" w:cs="Arial" w:eastAsia="Arial" w:hAnsi="Arial"/>
                <w:sz w:val="16"/>
                <w:szCs w:val="16"/>
                <w:color w:val="auto"/>
              </w:rPr>
              <w:t>Inventories</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0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(114)</w:t>
            </w:r>
          </w:p>
        </w:tc>
        <w:tc>
          <w:tcPr>
            <w:tcW w:w="44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1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3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43</w:t>
            </w:r>
          </w:p>
        </w:tc>
        <w:tc>
          <w:tcPr>
            <w:tcW w:w="3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80" w:type="dxa"/>
            <w:vAlign w:val="bottom"/>
          </w:tcPr>
          <w:p>
            <w:pPr>
              <w:ind w:left="240"/>
              <w:spacing w:after="0"/>
              <w:rPr>
                <w:sz w:val="20"/>
                <w:szCs w:val="20"/>
                <w:color w:val="auto"/>
              </w:rPr>
            </w:pPr>
            <w:r>
              <w:rPr>
                <w:rFonts w:ascii="Arial" w:cs="Arial" w:eastAsia="Arial" w:hAnsi="Arial"/>
                <w:sz w:val="16"/>
                <w:szCs w:val="16"/>
                <w:color w:val="auto"/>
              </w:rPr>
              <w:t>Accounts payable and accrued expenses</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0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(104)</w:t>
            </w:r>
          </w:p>
        </w:tc>
        <w:tc>
          <w:tcPr>
            <w:tcW w:w="44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1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Accrued compensation</w:t>
            </w:r>
          </w:p>
        </w:tc>
        <w:tc>
          <w:tcPr>
            <w:tcW w:w="3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(322)</w:t>
            </w:r>
          </w:p>
        </w:tc>
        <w:tc>
          <w:tcPr>
            <w:tcW w:w="4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(294)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80" w:type="dxa"/>
            <w:vAlign w:val="bottom"/>
          </w:tcPr>
          <w:p>
            <w:pPr>
              <w:ind w:left="240"/>
              <w:spacing w:after="0"/>
              <w:rPr>
                <w:sz w:val="20"/>
                <w:szCs w:val="20"/>
                <w:color w:val="auto"/>
              </w:rPr>
            </w:pPr>
            <w:r>
              <w:rPr>
                <w:rFonts w:ascii="Arial" w:cs="Arial" w:eastAsia="Arial" w:hAnsi="Arial"/>
                <w:sz w:val="16"/>
                <w:szCs w:val="16"/>
                <w:color w:val="auto"/>
              </w:rPr>
              <w:t>Income taxes payable</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131</w:t>
            </w: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Changes in funded status of retirement plans</w:t>
            </w:r>
          </w:p>
        </w:tc>
        <w:tc>
          <w:tcPr>
            <w:tcW w:w="3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w:t>
            </w:r>
          </w:p>
        </w:tc>
        <w:tc>
          <w:tcPr>
            <w:tcW w:w="3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80" w:type="dxa"/>
            <w:vAlign w:val="bottom"/>
          </w:tcPr>
          <w:p>
            <w:pPr>
              <w:ind w:left="120"/>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0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(18)</w:t>
            </w:r>
          </w:p>
        </w:tc>
        <w:tc>
          <w:tcPr>
            <w:tcW w:w="44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3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547</w:t>
            </w:r>
          </w:p>
        </w:tc>
        <w:tc>
          <w:tcPr>
            <w:tcW w:w="3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80" w:type="dxa"/>
            <w:vAlign w:val="bottom"/>
          </w:tcPr>
          <w:p>
            <w:pPr>
              <w:ind w:left="120"/>
              <w:spacing w:after="0"/>
              <w:rPr>
                <w:sz w:val="20"/>
                <w:szCs w:val="20"/>
                <w:color w:val="auto"/>
              </w:rPr>
            </w:pPr>
            <w:r>
              <w:rPr>
                <w:rFonts w:ascii="Arial" w:cs="Arial" w:eastAsia="Arial" w:hAnsi="Arial"/>
                <w:sz w:val="16"/>
                <w:szCs w:val="16"/>
                <w:color w:val="auto"/>
              </w:rPr>
              <w:t>Capital expenditures</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0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(124)</w:t>
            </w:r>
          </w:p>
        </w:tc>
        <w:tc>
          <w:tcPr>
            <w:tcW w:w="44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asset sales</w:t>
            </w:r>
          </w:p>
        </w:tc>
        <w:tc>
          <w:tcPr>
            <w:tcW w:w="3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b w:val="1"/>
                <w:bCs w:val="1"/>
                <w:color w:val="auto"/>
              </w:rPr>
              <w:t>—</w:t>
            </w:r>
          </w:p>
        </w:tc>
        <w:tc>
          <w:tcPr>
            <w:tcW w:w="4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80" w:type="dxa"/>
            <w:vAlign w:val="bottom"/>
          </w:tcPr>
          <w:p>
            <w:pPr>
              <w:ind w:left="120"/>
              <w:spacing w:after="0"/>
              <w:rPr>
                <w:sz w:val="20"/>
                <w:szCs w:val="20"/>
                <w:color w:val="auto"/>
              </w:rPr>
            </w:pPr>
            <w:r>
              <w:rPr>
                <w:rFonts w:ascii="Arial" w:cs="Arial" w:eastAsia="Arial" w:hAnsi="Arial"/>
                <w:sz w:val="16"/>
                <w:szCs w:val="16"/>
                <w:color w:val="auto"/>
              </w:rPr>
              <w:t>Purchases of short-term investments</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0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(200)</w:t>
            </w:r>
          </w:p>
        </w:tc>
        <w:tc>
          <w:tcPr>
            <w:tcW w:w="44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6"/>
                <w:szCs w:val="16"/>
                <w:color w:val="auto"/>
              </w:rPr>
              <w:t>(335)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short-term investments</w:t>
            </w:r>
          </w:p>
        </w:tc>
        <w:tc>
          <w:tcPr>
            <w:tcW w:w="3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900</w:t>
            </w:r>
          </w:p>
        </w:tc>
        <w:tc>
          <w:tcPr>
            <w:tcW w:w="3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80" w:type="dxa"/>
            <w:vAlign w:val="bottom"/>
          </w:tcPr>
          <w:p>
            <w:pPr>
              <w:ind w:left="120"/>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0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(3)</w:t>
            </w:r>
          </w:p>
        </w:tc>
        <w:tc>
          <w:tcPr>
            <w:tcW w:w="44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flows from investing activities</w:t>
            </w:r>
          </w:p>
        </w:tc>
        <w:tc>
          <w:tcPr>
            <w:tcW w:w="3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573</w:t>
            </w:r>
          </w:p>
        </w:tc>
        <w:tc>
          <w:tcPr>
            <w:tcW w:w="3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80" w:type="dxa"/>
            <w:vAlign w:val="bottom"/>
          </w:tcPr>
          <w:p>
            <w:pPr>
              <w:ind w:left="120"/>
              <w:spacing w:after="0"/>
              <w:rPr>
                <w:sz w:val="20"/>
                <w:szCs w:val="20"/>
                <w:color w:val="auto"/>
              </w:rPr>
            </w:pPr>
            <w:r>
              <w:rPr>
                <w:rFonts w:ascii="Arial" w:cs="Arial" w:eastAsia="Arial" w:hAnsi="Arial"/>
                <w:sz w:val="16"/>
                <w:szCs w:val="16"/>
                <w:color w:val="auto"/>
              </w:rPr>
              <w:t>Dividends paid</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0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(383)</w:t>
            </w:r>
          </w:p>
        </w:tc>
        <w:tc>
          <w:tcPr>
            <w:tcW w:w="44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6"/>
                <w:szCs w:val="16"/>
                <w:color w:val="auto"/>
              </w:rPr>
              <w:t>(356)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Stock repurchases</w:t>
            </w:r>
          </w:p>
        </w:tc>
        <w:tc>
          <w:tcPr>
            <w:tcW w:w="3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(630)</w:t>
            </w:r>
          </w:p>
        </w:tc>
        <w:tc>
          <w:tcPr>
            <w:tcW w:w="4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(670)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80" w:type="dxa"/>
            <w:vAlign w:val="bottom"/>
          </w:tcPr>
          <w:p>
            <w:pPr>
              <w:ind w:left="120"/>
              <w:spacing w:after="0"/>
              <w:rPr>
                <w:sz w:val="20"/>
                <w:szCs w:val="20"/>
                <w:color w:val="auto"/>
              </w:rPr>
            </w:pPr>
            <w:r>
              <w:rPr>
                <w:rFonts w:ascii="Arial" w:cs="Arial" w:eastAsia="Arial" w:hAnsi="Arial"/>
                <w:sz w:val="16"/>
                <w:szCs w:val="16"/>
                <w:color w:val="auto"/>
              </w:rPr>
              <w:t>Proceeds from common stock transactions</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131</w:t>
            </w: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Excess tax benefit from share-based payments</w:t>
            </w:r>
          </w:p>
        </w:tc>
        <w:tc>
          <w:tcPr>
            <w:tcW w:w="3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43</w:t>
            </w:r>
          </w:p>
        </w:tc>
        <w:tc>
          <w:tcPr>
            <w:tcW w:w="3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200" w:type="dxa"/>
            <w:vAlign w:val="bottom"/>
            <w:gridSpan w:val="2"/>
          </w:tcPr>
          <w:p>
            <w:pPr>
              <w:spacing w:after="0"/>
              <w:rPr>
                <w:sz w:val="20"/>
                <w:szCs w:val="20"/>
                <w:color w:val="auto"/>
              </w:rPr>
            </w:pPr>
            <w:r>
              <w:rPr>
                <w:rFonts w:ascii="Arial" w:cs="Arial" w:eastAsia="Arial" w:hAnsi="Arial"/>
                <w:sz w:val="16"/>
                <w:szCs w:val="16"/>
                <w:color w:val="auto"/>
              </w:rPr>
              <w:t>Cash flows from financing activities</w:t>
            </w: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(839)</w:t>
            </w: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6"/>
                <w:szCs w:val="16"/>
                <w:color w:val="auto"/>
              </w:rPr>
              <w:t>(724)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200" w:type="dxa"/>
            <w:vAlign w:val="bottom"/>
            <w:gridSpan w:val="2"/>
          </w:tcPr>
          <w:p>
            <w:pPr>
              <w:spacing w:after="0"/>
              <w:rPr>
                <w:sz w:val="20"/>
                <w:szCs w:val="20"/>
                <w:color w:val="auto"/>
              </w:rPr>
            </w:pPr>
            <w:r>
              <w:rPr>
                <w:rFonts w:ascii="Arial" w:cs="Arial" w:eastAsia="Arial" w:hAnsi="Arial"/>
                <w:sz w:val="16"/>
                <w:szCs w:val="16"/>
                <w:color w:val="auto"/>
              </w:rPr>
              <w:t>Net change in Cash and cash equivalents</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281</w:t>
            </w: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at beginning of period</w:t>
            </w:r>
          </w:p>
        </w:tc>
        <w:tc>
          <w:tcPr>
            <w:tcW w:w="3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1,000</w:t>
            </w:r>
          </w:p>
        </w:tc>
        <w:tc>
          <w:tcPr>
            <w:tcW w:w="3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200" w:type="dxa"/>
            <w:vAlign w:val="bottom"/>
            <w:gridSpan w:val="2"/>
          </w:tcPr>
          <w:p>
            <w:pPr>
              <w:spacing w:after="0"/>
              <w:rPr>
                <w:sz w:val="20"/>
                <w:szCs w:val="20"/>
                <w:color w:val="auto"/>
              </w:rPr>
            </w:pPr>
            <w:r>
              <w:rPr>
                <w:rFonts w:ascii="Arial" w:cs="Arial" w:eastAsia="Arial" w:hAnsi="Arial"/>
                <w:sz w:val="16"/>
                <w:szCs w:val="16"/>
                <w:color w:val="auto"/>
              </w:rPr>
              <w:t>Cash and cash equivalents at end of period</w:t>
            </w:r>
          </w:p>
        </w:tc>
        <w:tc>
          <w:tcPr>
            <w:tcW w:w="300" w:type="dxa"/>
            <w:vAlign w:val="bottom"/>
          </w:tcPr>
          <w:p>
            <w:pPr>
              <w:spacing w:after="0"/>
              <w:rPr>
                <w:sz w:val="17"/>
                <w:szCs w:val="17"/>
                <w:color w:val="auto"/>
              </w:rPr>
            </w:pPr>
          </w:p>
        </w:tc>
        <w:tc>
          <w:tcPr>
            <w:tcW w:w="38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b w:val="1"/>
                <w:bCs w:val="1"/>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1,281</w:t>
            </w:r>
          </w:p>
        </w:tc>
        <w:tc>
          <w:tcPr>
            <w:tcW w:w="360" w:type="dxa"/>
            <w:vAlign w:val="bottom"/>
          </w:tcPr>
          <w:p>
            <w:pPr>
              <w:spacing w:after="0"/>
              <w:rPr>
                <w:sz w:val="17"/>
                <w:szCs w:val="17"/>
                <w:color w:val="auto"/>
              </w:rPr>
            </w:pPr>
          </w:p>
        </w:tc>
        <w:tc>
          <w:tcPr>
            <w:tcW w:w="440" w:type="dxa"/>
            <w:vAlign w:val="bottom"/>
            <w:tcBorders>
              <w:bottom w:val="single" w:sz="8" w:color="auto"/>
            </w:tcBorders>
          </w:tcPr>
          <w:p>
            <w:pPr>
              <w:jc w:val="right"/>
              <w:ind w:right="284"/>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including segment information</w:t>
      </w:r>
    </w:p>
    <w:p>
      <w:pPr>
        <w:spacing w:after="0" w:line="12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design, make and sell semiconductors to electronics designers and manufacturers all over the world. We have two reportable segments, which are established along major categories of products as follows:</w:t>
      </w:r>
    </w:p>
    <w:p>
      <w:pPr>
        <w:spacing w:after="0" w:line="62" w:lineRule="exact"/>
        <w:rPr>
          <w:sz w:val="20"/>
          <w:szCs w:val="20"/>
          <w:color w:val="auto"/>
        </w:rPr>
      </w:pPr>
    </w:p>
    <w:p>
      <w:pPr>
        <w:ind w:left="1040" w:right="26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Analog </w:t>
      </w:r>
      <w:r>
        <w:rPr>
          <w:rFonts w:ascii="Arial" w:cs="Arial" w:eastAsia="Arial" w:hAnsi="Arial"/>
          <w:sz w:val="18"/>
          <w:szCs w:val="18"/>
          <w:color w:val="auto"/>
        </w:rPr>
        <w:t>– consists of the following product lines: High Volume Analog &amp; Logic, Power Management, High Performance Analog and Silicon</w:t>
      </w:r>
      <w:r>
        <w:rPr>
          <w:rFonts w:ascii="Arial" w:cs="Arial" w:eastAsia="Arial" w:hAnsi="Arial"/>
          <w:sz w:val="18"/>
          <w:szCs w:val="18"/>
          <w:i w:val="1"/>
          <w:iCs w:val="1"/>
          <w:color w:val="auto"/>
        </w:rPr>
        <w:t xml:space="preserve"> </w:t>
      </w:r>
      <w:r>
        <w:rPr>
          <w:rFonts w:ascii="Arial" w:cs="Arial" w:eastAsia="Arial" w:hAnsi="Arial"/>
          <w:sz w:val="18"/>
          <w:szCs w:val="18"/>
          <w:color w:val="auto"/>
        </w:rPr>
        <w:t>Valley Analog.</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Embedded Processing </w:t>
      </w:r>
      <w:r>
        <w:rPr>
          <w:rFonts w:ascii="Arial" w:cs="Arial" w:eastAsia="Arial" w:hAnsi="Arial"/>
          <w:sz w:val="18"/>
          <w:szCs w:val="18"/>
          <w:color w:val="auto"/>
        </w:rPr>
        <w:t>– consists of the following product lines: Microcontrollers, Processors and Connectivity.</w:t>
      </w:r>
    </w:p>
    <w:p>
      <w:pPr>
        <w:spacing w:after="0" w:line="25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report the results of our remaining business activities in Other. Other includes operating segments that do not meet the quantitative thresholds for individually reportable segments and cannot be aggregated with other operating segments. Other includes DLP® products, calculators, custom ASICs and royalties received from agreements involving license rights to our patent portfolio.</w:t>
      </w:r>
    </w:p>
    <w:p>
      <w:pPr>
        <w:spacing w:after="0" w:line="208"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Our centralized manufacturing and support organizations, such as facilities, procurement and logistics, provide support to our operating segments, including those in Other. Costs incurred by these organizations, including depreciation, are charged to the segments on a per-unit basis. Consequently, depreciation expense is not an independently identifiable component within the segments’ results and, therefore, is not provided.</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information</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3020" w:type="dxa"/>
            <w:vAlign w:val="bottom"/>
            <w:gridSpan w:val="4"/>
          </w:tcPr>
          <w:p>
            <w:pPr>
              <w:jc w:val="right"/>
              <w:ind w:right="323"/>
              <w:spacing w:after="0"/>
              <w:rPr>
                <w:sz w:val="20"/>
                <w:szCs w:val="20"/>
                <w:color w:val="auto"/>
              </w:rPr>
            </w:pPr>
            <w:r>
              <w:rPr>
                <w:rFonts w:ascii="Arial" w:cs="Arial" w:eastAsia="Arial" w:hAnsi="Arial"/>
                <w:sz w:val="16"/>
                <w:szCs w:val="16"/>
                <w:b w:val="1"/>
                <w:bCs w:val="1"/>
                <w:color w:val="auto"/>
              </w:rPr>
              <w:t>For Three Months Ended</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3"/>
          </w:tcPr>
          <w:p>
            <w:pPr>
              <w:jc w:val="right"/>
              <w:ind w:right="843"/>
              <w:spacing w:after="0"/>
              <w:rPr>
                <w:sz w:val="20"/>
                <w:szCs w:val="20"/>
                <w:color w:val="auto"/>
              </w:rPr>
            </w:pPr>
            <w:r>
              <w:rPr>
                <w:rFonts w:ascii="Arial" w:cs="Arial" w:eastAsia="Arial" w:hAnsi="Arial"/>
                <w:sz w:val="16"/>
                <w:szCs w:val="16"/>
                <w:b w:val="1"/>
                <w:bCs w:val="1"/>
                <w:color w:val="auto"/>
              </w:rPr>
              <w:t>March 31,</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9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2016</w:t>
            </w:r>
          </w:p>
        </w:tc>
        <w:tc>
          <w:tcPr>
            <w:tcW w:w="480" w:type="dxa"/>
            <w:vAlign w:val="bottom"/>
            <w:tcBorders>
              <w:bottom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2015</w:t>
            </w:r>
          </w:p>
        </w:tc>
        <w:tc>
          <w:tcPr>
            <w:tcW w:w="4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700" w:type="dxa"/>
            <w:vAlign w:val="bottom"/>
            <w:gridSpan w:val="2"/>
          </w:tcPr>
          <w:p>
            <w:pPr>
              <w:spacing w:after="0"/>
              <w:rPr>
                <w:sz w:val="20"/>
                <w:szCs w:val="20"/>
                <w:color w:val="auto"/>
              </w:rPr>
            </w:pPr>
            <w:r>
              <w:rPr>
                <w:rFonts w:ascii="Arial" w:cs="Arial" w:eastAsia="Arial" w:hAnsi="Arial"/>
                <w:sz w:val="16"/>
                <w:szCs w:val="16"/>
                <w:b w:val="1"/>
                <w:bCs w:val="1"/>
                <w:color w:val="auto"/>
              </w:rPr>
              <w:t>Revenue:</w:t>
            </w:r>
          </w:p>
        </w:tc>
        <w:tc>
          <w:tcPr>
            <w:tcW w:w="3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Analog</w:t>
            </w:r>
          </w:p>
        </w:tc>
        <w:tc>
          <w:tcPr>
            <w:tcW w:w="4100" w:type="dxa"/>
            <w:vAlign w:val="bottom"/>
            <w:gridSpan w:val="2"/>
            <w:shd w:val="clear" w:color="auto" w:fill="CCEEFF"/>
          </w:tcPr>
          <w:p>
            <w:pPr>
              <w:jc w:val="right"/>
              <w:ind w:right="822"/>
              <w:spacing w:after="0"/>
              <w:rPr>
                <w:sz w:val="20"/>
                <w:szCs w:val="20"/>
                <w:color w:val="auto"/>
              </w:rPr>
            </w:pPr>
            <w:r>
              <w:rPr>
                <w:rFonts w:ascii="Arial" w:cs="Arial" w:eastAsia="Arial" w:hAnsi="Arial"/>
                <w:sz w:val="16"/>
                <w:szCs w:val="16"/>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1,879</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43"/>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80" w:type="dxa"/>
            <w:vAlign w:val="bottom"/>
          </w:tcPr>
          <w:p>
            <w:pPr>
              <w:ind w:left="120"/>
              <w:spacing w:after="0"/>
              <w:rPr>
                <w:sz w:val="20"/>
                <w:szCs w:val="20"/>
                <w:color w:val="auto"/>
              </w:rPr>
            </w:pPr>
            <w:r>
              <w:rPr>
                <w:rFonts w:ascii="Arial" w:cs="Arial" w:eastAsia="Arial" w:hAnsi="Arial"/>
                <w:sz w:val="16"/>
                <w:szCs w:val="16"/>
                <w:color w:val="auto"/>
              </w:rPr>
              <w:t>Embedded Processing</w:t>
            </w:r>
          </w:p>
        </w:tc>
        <w:tc>
          <w:tcPr>
            <w:tcW w:w="3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729</w:t>
            </w: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312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400</w:t>
            </w:r>
          </w:p>
        </w:tc>
        <w:tc>
          <w:tcPr>
            <w:tcW w:w="56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700" w:type="dxa"/>
            <w:vAlign w:val="bottom"/>
            <w:gridSpan w:val="2"/>
          </w:tcPr>
          <w:p>
            <w:pPr>
              <w:spacing w:after="0"/>
              <w:rPr>
                <w:sz w:val="20"/>
                <w:szCs w:val="20"/>
                <w:color w:val="auto"/>
              </w:rPr>
            </w:pPr>
            <w:r>
              <w:rPr>
                <w:rFonts w:ascii="Arial" w:cs="Arial" w:eastAsia="Arial" w:hAnsi="Arial"/>
                <w:sz w:val="16"/>
                <w:szCs w:val="16"/>
                <w:color w:val="auto"/>
              </w:rPr>
              <w:t>Total revenue</w:t>
            </w:r>
          </w:p>
        </w:tc>
        <w:tc>
          <w:tcPr>
            <w:tcW w:w="3120" w:type="dxa"/>
            <w:vAlign w:val="bottom"/>
          </w:tcPr>
          <w:p>
            <w:pPr>
              <w:spacing w:after="0"/>
              <w:rPr>
                <w:sz w:val="21"/>
                <w:szCs w:val="21"/>
                <w:color w:val="auto"/>
              </w:rPr>
            </w:pPr>
          </w:p>
        </w:tc>
        <w:tc>
          <w:tcPr>
            <w:tcW w:w="980" w:type="dxa"/>
            <w:vAlign w:val="bottom"/>
            <w:tcBorders>
              <w:bottom w:val="single" w:sz="8" w:color="auto"/>
            </w:tcBorders>
          </w:tcPr>
          <w:p>
            <w:pPr>
              <w:jc w:val="right"/>
              <w:ind w:right="822"/>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3,008</w:t>
            </w:r>
          </w:p>
        </w:tc>
        <w:tc>
          <w:tcPr>
            <w:tcW w:w="560" w:type="dxa"/>
            <w:vAlign w:val="bottom"/>
          </w:tcPr>
          <w:p>
            <w:pPr>
              <w:spacing w:after="0"/>
              <w:rPr>
                <w:sz w:val="21"/>
                <w:szCs w:val="21"/>
                <w:color w:val="auto"/>
              </w:rPr>
            </w:pPr>
          </w:p>
        </w:tc>
        <w:tc>
          <w:tcPr>
            <w:tcW w:w="1000" w:type="dxa"/>
            <w:vAlign w:val="bottom"/>
            <w:tcBorders>
              <w:bottom w:val="single" w:sz="8" w:color="auto"/>
            </w:tcBorders>
          </w:tcPr>
          <w:p>
            <w:pPr>
              <w:jc w:val="right"/>
              <w:ind w:right="843"/>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4680" w:type="dxa"/>
            <w:vAlign w:val="bottom"/>
            <w:tcBorders>
              <w:top w:val="single" w:sz="8" w:color="CCEEFF"/>
            </w:tcBorders>
            <w:shd w:val="clear" w:color="auto" w:fill="CCEEFF"/>
          </w:tcPr>
          <w:p>
            <w:pPr>
              <w:spacing w:after="0"/>
              <w:rPr>
                <w:sz w:val="17"/>
                <w:szCs w:val="17"/>
                <w:color w:val="auto"/>
              </w:rPr>
            </w:pPr>
          </w:p>
        </w:tc>
        <w:tc>
          <w:tcPr>
            <w:tcW w:w="31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6"/>
                <w:szCs w:val="16"/>
                <w:b w:val="1"/>
                <w:bCs w:val="1"/>
                <w:color w:val="auto"/>
              </w:rPr>
              <w:t>Operating profit:</w:t>
            </w:r>
          </w:p>
        </w:tc>
        <w:tc>
          <w:tcPr>
            <w:tcW w:w="3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Analog</w:t>
            </w:r>
          </w:p>
        </w:tc>
        <w:tc>
          <w:tcPr>
            <w:tcW w:w="4100" w:type="dxa"/>
            <w:vAlign w:val="bottom"/>
            <w:gridSpan w:val="2"/>
            <w:shd w:val="clear" w:color="auto" w:fill="CCEEFF"/>
          </w:tcPr>
          <w:p>
            <w:pPr>
              <w:jc w:val="right"/>
              <w:ind w:right="822"/>
              <w:spacing w:after="0"/>
              <w:rPr>
                <w:sz w:val="20"/>
                <w:szCs w:val="20"/>
                <w:color w:val="auto"/>
              </w:rPr>
            </w:pPr>
            <w:r>
              <w:rPr>
                <w:rFonts w:ascii="Arial" w:cs="Arial" w:eastAsia="Arial" w:hAnsi="Arial"/>
                <w:sz w:val="16"/>
                <w:szCs w:val="16"/>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679</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43"/>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80" w:type="dxa"/>
            <w:vAlign w:val="bottom"/>
          </w:tcPr>
          <w:p>
            <w:pPr>
              <w:ind w:left="120"/>
              <w:spacing w:after="0"/>
              <w:rPr>
                <w:sz w:val="20"/>
                <w:szCs w:val="20"/>
                <w:color w:val="auto"/>
              </w:rPr>
            </w:pPr>
            <w:r>
              <w:rPr>
                <w:rFonts w:ascii="Arial" w:cs="Arial" w:eastAsia="Arial" w:hAnsi="Arial"/>
                <w:sz w:val="16"/>
                <w:szCs w:val="16"/>
                <w:color w:val="auto"/>
              </w:rPr>
              <w:t>Embedded Processing</w:t>
            </w:r>
          </w:p>
        </w:tc>
        <w:tc>
          <w:tcPr>
            <w:tcW w:w="3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182</w:t>
            </w: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312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107</w:t>
            </w:r>
          </w:p>
        </w:tc>
        <w:tc>
          <w:tcPr>
            <w:tcW w:w="56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700" w:type="dxa"/>
            <w:vAlign w:val="bottom"/>
            <w:gridSpan w:val="2"/>
          </w:tcPr>
          <w:p>
            <w:pPr>
              <w:spacing w:after="0"/>
              <w:rPr>
                <w:sz w:val="20"/>
                <w:szCs w:val="20"/>
                <w:color w:val="auto"/>
              </w:rPr>
            </w:pPr>
            <w:r>
              <w:rPr>
                <w:rFonts w:ascii="Arial" w:cs="Arial" w:eastAsia="Arial" w:hAnsi="Arial"/>
                <w:sz w:val="16"/>
                <w:szCs w:val="16"/>
                <w:color w:val="auto"/>
              </w:rPr>
              <w:t>Total operating profit</w:t>
            </w:r>
          </w:p>
        </w:tc>
        <w:tc>
          <w:tcPr>
            <w:tcW w:w="3120" w:type="dxa"/>
            <w:vAlign w:val="bottom"/>
          </w:tcPr>
          <w:p>
            <w:pPr>
              <w:spacing w:after="0"/>
              <w:rPr>
                <w:sz w:val="17"/>
                <w:szCs w:val="17"/>
                <w:color w:val="auto"/>
              </w:rPr>
            </w:pPr>
          </w:p>
        </w:tc>
        <w:tc>
          <w:tcPr>
            <w:tcW w:w="980" w:type="dxa"/>
            <w:vAlign w:val="bottom"/>
            <w:tcBorders>
              <w:bottom w:val="single" w:sz="8" w:color="auto"/>
            </w:tcBorders>
          </w:tcPr>
          <w:p>
            <w:pPr>
              <w:jc w:val="right"/>
              <w:ind w:right="822"/>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968</w:t>
            </w:r>
          </w:p>
        </w:tc>
        <w:tc>
          <w:tcPr>
            <w:tcW w:w="560" w:type="dxa"/>
            <w:vAlign w:val="bottom"/>
          </w:tcPr>
          <w:p>
            <w:pPr>
              <w:spacing w:after="0"/>
              <w:rPr>
                <w:sz w:val="17"/>
                <w:szCs w:val="17"/>
                <w:color w:val="auto"/>
              </w:rPr>
            </w:pPr>
          </w:p>
        </w:tc>
        <w:tc>
          <w:tcPr>
            <w:tcW w:w="1000" w:type="dxa"/>
            <w:vAlign w:val="bottom"/>
            <w:tcBorders>
              <w:bottom w:val="single" w:sz="8" w:color="auto"/>
            </w:tcBorders>
          </w:tcPr>
          <w:p>
            <w:pPr>
              <w:jc w:val="right"/>
              <w:ind w:right="843"/>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significant accounting policies and practices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consolidated financial statements have been prepared in accordance with accounting principles generally accepted in the United States (GAAP) and on the same basis as the audited financial statements included in our annual report on Form 10-K for the year ended December 31, 2015. The Consolidated Statements of Income, Comprehensive Income and Cash Flows for the periods ended March 31, 2016 and 2015, and the Consolidated Balance Sheet as of March 31, 2016, are not audited but reflect all adjustments that are of a normal recurring nature and are necessary for a fair statement of the results of the periods shown. Certain information and note disclosures normally included in annual consolidated financial statements have been omitted pursuant to the rules and regulations of the U.S. Securities and Exchange Commission. Because the consolidated interim financial statements do not include all of the information and notes required by GAAP for a complete set of financial statements, they should be read in conjunction with the audited consolidated financial statements and notes included in our annual report on Form 10-K for the year ended December 31, 2015. The results for the three-month periods are not necessarily indicative of a full year’s results.</w:t>
      </w:r>
    </w:p>
    <w:p>
      <w:pPr>
        <w:spacing w:after="0" w:line="18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consolidated financial statements include the accounts of all subsidiaries. All intercompany balances and transactions have been eliminated in consolidation. All dollar amounts in the financial statements and tables in these notes, except per-share amounts, are stated in millions of U.S. dollars unless otherwise indicated.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accounting policies and practices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Earnings per share (EPS)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Unvested share-based payment awards that contain non-forfeitable rights to receive dividends or dividend equivalents, such as our restricted stock units (RSUs), are considered to be participating securities and the two-class method is used for purposes of calculating EPS. Under the two-class method, a portion of Net income is allocated to these participating securities and, therefore, is excluded from the calculation of EPS allocated to common stock, as shown in the table below.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Computation and reconciliation of earnings per common share are as follows (shares in millions):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6"/>
          </w:tcPr>
          <w:p>
            <w:pPr>
              <w:ind w:left="20"/>
              <w:spacing w:after="0"/>
              <w:rPr>
                <w:sz w:val="20"/>
                <w:szCs w:val="20"/>
                <w:color w:val="auto"/>
              </w:rPr>
            </w:pPr>
            <w:r>
              <w:rPr>
                <w:rFonts w:ascii="Arial" w:cs="Arial" w:eastAsia="Arial" w:hAnsi="Arial"/>
                <w:sz w:val="16"/>
                <w:szCs w:val="16"/>
                <w:b w:val="1"/>
                <w:bCs w:val="1"/>
                <w:color w:val="auto"/>
              </w:rPr>
              <w:t>For Three Months Ended March 31,</w:t>
            </w:r>
          </w:p>
        </w:tc>
        <w:tc>
          <w:tcPr>
            <w:tcW w:w="9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2016</w:t>
            </w:r>
          </w:p>
        </w:tc>
        <w:tc>
          <w:tcPr>
            <w:tcW w:w="3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2015</w:t>
            </w:r>
          </w:p>
        </w:tc>
        <w:tc>
          <w:tcPr>
            <w:tcW w:w="3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820" w:type="dxa"/>
            <w:vAlign w:val="bottom"/>
          </w:tcPr>
          <w:p>
            <w:pPr>
              <w:jc w:val="right"/>
              <w:ind w:right="82"/>
              <w:spacing w:after="0"/>
              <w:rPr>
                <w:sz w:val="20"/>
                <w:szCs w:val="20"/>
                <w:color w:val="auto"/>
              </w:rPr>
            </w:pPr>
            <w:r>
              <w:rPr>
                <w:rFonts w:ascii="Arial" w:cs="Arial" w:eastAsia="Arial" w:hAnsi="Arial"/>
                <w:sz w:val="16"/>
                <w:szCs w:val="16"/>
                <w:b w:val="1"/>
                <w:bCs w:val="1"/>
                <w:color w:val="auto"/>
              </w:rPr>
              <w:t>Net</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right"/>
              <w:ind w:right="740"/>
              <w:spacing w:after="0"/>
              <w:rPr>
                <w:sz w:val="20"/>
                <w:szCs w:val="20"/>
                <w:color w:val="auto"/>
              </w:rPr>
            </w:pPr>
            <w:r>
              <w:rPr>
                <w:rFonts w:ascii="Arial" w:cs="Arial" w:eastAsia="Arial" w:hAnsi="Arial"/>
                <w:sz w:val="16"/>
                <w:szCs w:val="16"/>
                <w:b w:val="1"/>
                <w:bCs w:val="1"/>
                <w:color w:val="auto"/>
              </w:rPr>
              <w:t>Net</w:t>
            </w: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Income</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ind w:right="159"/>
              <w:spacing w:after="0"/>
              <w:rPr>
                <w:sz w:val="20"/>
                <w:szCs w:val="20"/>
                <w:color w:val="auto"/>
              </w:rPr>
            </w:pPr>
            <w:r>
              <w:rPr>
                <w:rFonts w:ascii="Arial" w:cs="Arial" w:eastAsia="Arial" w:hAnsi="Arial"/>
                <w:sz w:val="16"/>
                <w:szCs w:val="16"/>
                <w:b w:val="1"/>
                <w:bCs w:val="1"/>
                <w:color w:val="auto"/>
              </w:rPr>
              <w:t>Shares</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ind w:left="160"/>
              <w:spacing w:after="0"/>
              <w:rPr>
                <w:sz w:val="20"/>
                <w:szCs w:val="20"/>
                <w:color w:val="auto"/>
              </w:rPr>
            </w:pPr>
            <w:r>
              <w:rPr>
                <w:rFonts w:ascii="Arial" w:cs="Arial" w:eastAsia="Arial" w:hAnsi="Arial"/>
                <w:sz w:val="16"/>
                <w:szCs w:val="16"/>
                <w:b w:val="1"/>
                <w:bCs w:val="1"/>
                <w:color w:val="auto"/>
              </w:rPr>
              <w:t>EPS</w:t>
            </w:r>
          </w:p>
        </w:tc>
        <w:tc>
          <w:tcPr>
            <w:tcW w:w="180" w:type="dxa"/>
            <w:vAlign w:val="bottom"/>
          </w:tcPr>
          <w:p>
            <w:pPr>
              <w:spacing w:after="0"/>
              <w:rPr>
                <w:sz w:val="19"/>
                <w:szCs w:val="19"/>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6"/>
                <w:szCs w:val="16"/>
                <w:b w:val="1"/>
                <w:bCs w:val="1"/>
                <w:color w:val="auto"/>
              </w:rPr>
              <w:t>Income</w:t>
            </w:r>
          </w:p>
        </w:tc>
        <w:tc>
          <w:tcPr>
            <w:tcW w:w="1240" w:type="dxa"/>
            <w:vAlign w:val="bottom"/>
            <w:gridSpan w:val="2"/>
          </w:tcPr>
          <w:p>
            <w:pPr>
              <w:ind w:left="220"/>
              <w:spacing w:after="0"/>
              <w:rPr>
                <w:sz w:val="20"/>
                <w:szCs w:val="20"/>
                <w:color w:val="auto"/>
              </w:rPr>
            </w:pPr>
            <w:r>
              <w:rPr>
                <w:rFonts w:ascii="Arial" w:cs="Arial" w:eastAsia="Arial" w:hAnsi="Arial"/>
                <w:sz w:val="16"/>
                <w:szCs w:val="16"/>
                <w:b w:val="1"/>
                <w:bCs w:val="1"/>
                <w:color w:val="auto"/>
              </w:rPr>
              <w:t>Shares</w:t>
            </w:r>
          </w:p>
        </w:tc>
        <w:tc>
          <w:tcPr>
            <w:tcW w:w="240" w:type="dxa"/>
            <w:vAlign w:val="bottom"/>
          </w:tcPr>
          <w:p>
            <w:pPr>
              <w:spacing w:after="0"/>
              <w:rPr>
                <w:sz w:val="19"/>
                <w:szCs w:val="19"/>
                <w:color w:val="auto"/>
              </w:rPr>
            </w:pPr>
          </w:p>
        </w:tc>
        <w:tc>
          <w:tcPr>
            <w:tcW w:w="1020" w:type="dxa"/>
            <w:vAlign w:val="bottom"/>
            <w:gridSpan w:val="2"/>
          </w:tcPr>
          <w:p>
            <w:pPr>
              <w:ind w:left="160"/>
              <w:spacing w:after="0"/>
              <w:rPr>
                <w:sz w:val="20"/>
                <w:szCs w:val="20"/>
                <w:color w:val="auto"/>
              </w:rPr>
            </w:pPr>
            <w:r>
              <w:rPr>
                <w:rFonts w:ascii="Arial" w:cs="Arial" w:eastAsia="Arial" w:hAnsi="Arial"/>
                <w:sz w:val="16"/>
                <w:szCs w:val="16"/>
                <w:b w:val="1"/>
                <w:bCs w:val="1"/>
                <w:color w:val="auto"/>
              </w:rPr>
              <w:t>EPS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Basic EPS:</w:t>
            </w:r>
          </w:p>
        </w:tc>
        <w:tc>
          <w:tcPr>
            <w:tcW w:w="8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8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820" w:type="dxa"/>
            <w:vAlign w:val="bottom"/>
          </w:tcPr>
          <w:p>
            <w:pPr>
              <w:jc w:val="right"/>
              <w:ind w:right="662"/>
              <w:spacing w:after="0"/>
              <w:rPr>
                <w:sz w:val="20"/>
                <w:szCs w:val="20"/>
                <w:color w:val="auto"/>
              </w:rPr>
            </w:pPr>
            <w:r>
              <w:rPr>
                <w:rFonts w:ascii="Arial" w:cs="Arial" w:eastAsia="Arial" w:hAnsi="Arial"/>
                <w:sz w:val="15"/>
                <w:szCs w:val="15"/>
                <w:b w:val="1"/>
                <w:bCs w:val="1"/>
                <w:color w:val="auto"/>
                <w:w w:val="71"/>
              </w:rPr>
              <w:t>$</w:t>
            </w: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w w:val="89"/>
              </w:rPr>
              <w:t>668</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656</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4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Income allocated to RSUs</w:t>
            </w:r>
          </w:p>
        </w:tc>
        <w:tc>
          <w:tcPr>
            <w:tcW w:w="8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(9)</w:t>
            </w: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(9)</w:t>
            </w: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3500" w:type="dxa"/>
            <w:vAlign w:val="bottom"/>
            <w:gridSpan w:val="2"/>
          </w:tcPr>
          <w:p>
            <w:pPr>
              <w:spacing w:after="0"/>
              <w:rPr>
                <w:sz w:val="20"/>
                <w:szCs w:val="20"/>
                <w:color w:val="auto"/>
              </w:rPr>
            </w:pPr>
            <w:r>
              <w:rPr>
                <w:rFonts w:ascii="Arial" w:cs="Arial" w:eastAsia="Arial" w:hAnsi="Arial"/>
                <w:sz w:val="16"/>
                <w:szCs w:val="16"/>
                <w:color w:val="auto"/>
              </w:rPr>
              <w:t>Income allocated to common stock</w:t>
            </w:r>
          </w:p>
        </w:tc>
        <w:tc>
          <w:tcPr>
            <w:tcW w:w="8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3480" w:type="dxa"/>
            <w:vAlign w:val="bottom"/>
          </w:tcPr>
          <w:p>
            <w:pPr>
              <w:ind w:left="120"/>
              <w:spacing w:after="0"/>
              <w:rPr>
                <w:sz w:val="20"/>
                <w:szCs w:val="20"/>
                <w:color w:val="auto"/>
              </w:rPr>
            </w:pPr>
            <w:r>
              <w:rPr>
                <w:rFonts w:ascii="Arial" w:cs="Arial" w:eastAsia="Arial" w:hAnsi="Arial"/>
                <w:sz w:val="16"/>
                <w:szCs w:val="16"/>
                <w:color w:val="auto"/>
              </w:rPr>
              <w:t>for basic EPS calculation</w:t>
            </w:r>
          </w:p>
        </w:tc>
        <w:tc>
          <w:tcPr>
            <w:tcW w:w="820" w:type="dxa"/>
            <w:vAlign w:val="bottom"/>
          </w:tcPr>
          <w:p>
            <w:pPr>
              <w:jc w:val="right"/>
              <w:ind w:right="662"/>
              <w:spacing w:after="0"/>
              <w:rPr>
                <w:sz w:val="20"/>
                <w:szCs w:val="20"/>
                <w:color w:val="auto"/>
              </w:rPr>
            </w:pPr>
            <w:r>
              <w:rPr>
                <w:rFonts w:ascii="Arial" w:cs="Arial" w:eastAsia="Arial" w:hAnsi="Arial"/>
                <w:sz w:val="15"/>
                <w:szCs w:val="15"/>
                <w:b w:val="1"/>
                <w:bCs w:val="1"/>
                <w:color w:val="auto"/>
                <w:w w:val="71"/>
              </w:rPr>
              <w:t>$</w:t>
            </w: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w w:val="89"/>
              </w:rPr>
              <w:t>659</w:t>
            </w: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1,007</w:t>
            </w:r>
          </w:p>
        </w:tc>
        <w:tc>
          <w:tcPr>
            <w:tcW w:w="540" w:type="dxa"/>
            <w:vAlign w:val="bottom"/>
            <w:gridSpan w:val="2"/>
          </w:tcPr>
          <w:p>
            <w:pPr>
              <w:ind w:left="300"/>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.65</w:t>
            </w:r>
          </w:p>
        </w:tc>
        <w:tc>
          <w:tcPr>
            <w:tcW w:w="300" w:type="dxa"/>
            <w:vAlign w:val="bottom"/>
          </w:tcPr>
          <w:p>
            <w:pPr>
              <w:spacing w:after="0"/>
              <w:rPr>
                <w:sz w:val="22"/>
                <w:szCs w:val="22"/>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647</w:t>
            </w: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1,046</w:t>
            </w:r>
          </w:p>
        </w:tc>
        <w:tc>
          <w:tcPr>
            <w:tcW w:w="300" w:type="dxa"/>
            <w:vAlign w:val="bottom"/>
          </w:tcPr>
          <w:p>
            <w:pPr>
              <w:spacing w:after="0"/>
              <w:rPr>
                <w:sz w:val="22"/>
                <w:szCs w:val="22"/>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4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500" w:type="dxa"/>
            <w:vAlign w:val="bottom"/>
            <w:gridSpan w:val="2"/>
          </w:tcPr>
          <w:p>
            <w:pPr>
              <w:spacing w:after="0"/>
              <w:rPr>
                <w:sz w:val="20"/>
                <w:szCs w:val="20"/>
                <w:color w:val="auto"/>
              </w:rPr>
            </w:pPr>
            <w:r>
              <w:rPr>
                <w:rFonts w:ascii="Arial" w:cs="Arial" w:eastAsia="Arial" w:hAnsi="Arial"/>
                <w:sz w:val="16"/>
                <w:szCs w:val="16"/>
                <w:color w:val="auto"/>
              </w:rPr>
              <w:t>Adjustment for dilutive shares:</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 plans</w:t>
            </w: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Diluted EPS:</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8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820" w:type="dxa"/>
            <w:vAlign w:val="bottom"/>
          </w:tcPr>
          <w:p>
            <w:pPr>
              <w:jc w:val="right"/>
              <w:ind w:right="662"/>
              <w:spacing w:after="0"/>
              <w:rPr>
                <w:sz w:val="20"/>
                <w:szCs w:val="20"/>
                <w:color w:val="auto"/>
              </w:rPr>
            </w:pPr>
            <w:r>
              <w:rPr>
                <w:rFonts w:ascii="Arial" w:cs="Arial" w:eastAsia="Arial" w:hAnsi="Arial"/>
                <w:sz w:val="15"/>
                <w:szCs w:val="15"/>
                <w:b w:val="1"/>
                <w:bCs w:val="1"/>
                <w:color w:val="auto"/>
                <w:w w:val="71"/>
              </w:rPr>
              <w:t>$</w:t>
            </w: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w w:val="89"/>
              </w:rPr>
              <w:t>668</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656</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4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Income allocated to RSUs</w:t>
            </w:r>
          </w:p>
        </w:tc>
        <w:tc>
          <w:tcPr>
            <w:tcW w:w="8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(9)</w:t>
            </w: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(9)</w:t>
            </w: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3500" w:type="dxa"/>
            <w:vAlign w:val="bottom"/>
            <w:gridSpan w:val="2"/>
          </w:tcPr>
          <w:p>
            <w:pPr>
              <w:spacing w:after="0"/>
              <w:rPr>
                <w:sz w:val="20"/>
                <w:szCs w:val="20"/>
                <w:color w:val="auto"/>
              </w:rPr>
            </w:pPr>
            <w:r>
              <w:rPr>
                <w:rFonts w:ascii="Arial" w:cs="Arial" w:eastAsia="Arial" w:hAnsi="Arial"/>
                <w:sz w:val="16"/>
                <w:szCs w:val="16"/>
                <w:color w:val="auto"/>
              </w:rPr>
              <w:t>Income allocated to common stock</w:t>
            </w:r>
          </w:p>
        </w:tc>
        <w:tc>
          <w:tcPr>
            <w:tcW w:w="8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480" w:type="dxa"/>
            <w:vAlign w:val="bottom"/>
          </w:tcPr>
          <w:p>
            <w:pPr>
              <w:ind w:left="120"/>
              <w:spacing w:after="0"/>
              <w:rPr>
                <w:sz w:val="20"/>
                <w:szCs w:val="20"/>
                <w:color w:val="auto"/>
              </w:rPr>
            </w:pPr>
            <w:r>
              <w:rPr>
                <w:rFonts w:ascii="Arial" w:cs="Arial" w:eastAsia="Arial" w:hAnsi="Arial"/>
                <w:sz w:val="16"/>
                <w:szCs w:val="16"/>
                <w:color w:val="auto"/>
              </w:rPr>
              <w:t>for diluted EPS calculation</w:t>
            </w:r>
          </w:p>
        </w:tc>
        <w:tc>
          <w:tcPr>
            <w:tcW w:w="820" w:type="dxa"/>
            <w:vAlign w:val="bottom"/>
          </w:tcPr>
          <w:p>
            <w:pPr>
              <w:jc w:val="right"/>
              <w:ind w:right="662"/>
              <w:spacing w:after="0"/>
              <w:rPr>
                <w:sz w:val="20"/>
                <w:szCs w:val="20"/>
                <w:color w:val="auto"/>
              </w:rPr>
            </w:pPr>
            <w:r>
              <w:rPr>
                <w:rFonts w:ascii="Arial" w:cs="Arial" w:eastAsia="Arial" w:hAnsi="Arial"/>
                <w:sz w:val="15"/>
                <w:szCs w:val="15"/>
                <w:b w:val="1"/>
                <w:bCs w:val="1"/>
                <w:color w:val="auto"/>
                <w:w w:val="71"/>
              </w:rPr>
              <w:t>$</w:t>
            </w: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w w:val="89"/>
              </w:rPr>
              <w:t>659</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1,018</w:t>
            </w:r>
          </w:p>
        </w:tc>
        <w:tc>
          <w:tcPr>
            <w:tcW w:w="540" w:type="dxa"/>
            <w:vAlign w:val="bottom"/>
            <w:gridSpan w:val="2"/>
          </w:tcPr>
          <w:p>
            <w:pPr>
              <w:ind w:left="300"/>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.65</w:t>
            </w:r>
          </w:p>
        </w:tc>
        <w:tc>
          <w:tcPr>
            <w:tcW w:w="300" w:type="dxa"/>
            <w:vAlign w:val="bottom"/>
          </w:tcPr>
          <w:p>
            <w:pPr>
              <w:spacing w:after="0"/>
              <w:rPr>
                <w:sz w:val="19"/>
                <w:szCs w:val="19"/>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647</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1,061</w:t>
            </w:r>
          </w:p>
        </w:tc>
        <w:tc>
          <w:tcPr>
            <w:tcW w:w="300" w:type="dxa"/>
            <w:vAlign w:val="bottom"/>
          </w:tcPr>
          <w:p>
            <w:pPr>
              <w:spacing w:after="0"/>
              <w:rPr>
                <w:sz w:val="19"/>
                <w:szCs w:val="19"/>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Potentially dilutive securities representing 22 million and 12 million shares of common stock that were outstanding during the first quarters of 2016 and 2015, respectively, were excluded from the computation of diluted earnings per common share for these periods because their effect would have been anti-dilutive.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Derivatives and hedging</w:t>
      </w:r>
    </w:p>
    <w:p>
      <w:pPr>
        <w:spacing w:after="0" w:line="117"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We use derivative financial instruments to manage exposure to foreign currency exchange risk. These instruments are primarily forward foreign currency exchange contracts, which are used as economic hedges to reduce the earnings impact that exchange rate fluctuations may have on our non-U.S. dollar net balance sheet exposures. Gains and losses from changes in the fair value of these forward foreign currency exchange contracts are credited or charged to OI&amp;E. We do not apply hedge accounting to our foreign currency derivative instruments.</w:t>
      </w:r>
    </w:p>
    <w:p>
      <w:pPr>
        <w:spacing w:after="0" w:line="17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In connection with the issuance of long-term debt, we use financial derivatives such as treasury rate lock agreements that are recognized in AOCI and amortized over the life of the related debt. The results of these derivative transactions have not been material.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do not use derivatives for speculative or trading purposes.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values of financial instruments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fair values of our derivative financial instruments were not material as of March 31, 2016. Our investments in cash equivalents, short-term investments and certain long-term investments, as well as our postretirement plan assets and deferred compensation liabilities, are carried at fair value. The carrying values for other current financial assets and liabilities, such as accounts receivable and accounts payable, approximate fair value due to the short maturity of such instruments. The carrying value of our long-term debt approximates the fair value as measured using broker-dealer quotes, which are Level 2 inputs. See Note 5 for the definition of Level 2 inputs.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accounting standards</w:t>
      </w:r>
    </w:p>
    <w:p>
      <w:pPr>
        <w:spacing w:after="0" w:line="11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 xml:space="preserve">In May 2014, the Financial Accounting Standards Board (FASB) issued Accounting Standards Update (ASU) No. 2014-09,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Customers (Topic 606). </w:t>
      </w:r>
      <w:r>
        <w:rPr>
          <w:rFonts w:ascii="Arial" w:cs="Arial" w:eastAsia="Arial" w:hAnsi="Arial"/>
          <w:sz w:val="16"/>
          <w:szCs w:val="16"/>
          <w:color w:val="auto"/>
        </w:rPr>
        <w:t>This standard provides a single set of guidelines for revenue recognition to be used across all industries and requires additional</w:t>
      </w:r>
      <w:r>
        <w:rPr>
          <w:rFonts w:ascii="Arial" w:cs="Arial" w:eastAsia="Arial" w:hAnsi="Arial"/>
          <w:sz w:val="16"/>
          <w:szCs w:val="16"/>
          <w:i w:val="1"/>
          <w:iCs w:val="1"/>
          <w:color w:val="auto"/>
        </w:rPr>
        <w:t xml:space="preserve"> </w:t>
      </w:r>
      <w:r>
        <w:rPr>
          <w:rFonts w:ascii="Arial" w:cs="Arial" w:eastAsia="Arial" w:hAnsi="Arial"/>
          <w:sz w:val="16"/>
          <w:szCs w:val="16"/>
          <w:color w:val="auto"/>
        </w:rPr>
        <w:t>disclosures, and is effective for annual and interim reporting periods beginning after December 15, 2017. This standard permits early adoption, but not before December 15, 2016, and permits the use of either the retrospective or cumulative effect transition method. We are currently evaluating the potential impact of this standard on our financial position and results of operations, as well as our selected transition method. Based on our preliminary assessment, we believe the new standard will not have a material impact on our financial position and results of operations as we do not expect to change the manner or timing of recognizing revenue on a majority of our revenue transactions. We recognize revenue on sales to customers and distributors upon satisfaction of our performance obligations when the goods are shipped. For consignment sales, we recognize revenue when the goods are pulled from consignment inventory.</w:t>
      </w:r>
    </w:p>
    <w:p>
      <w:pPr>
        <w:spacing w:after="0" w:line="16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In January 2016, the FASB issued ASU No. 2016-01, </w:t>
      </w:r>
      <w:r>
        <w:rPr>
          <w:rFonts w:ascii="Arial" w:cs="Arial" w:eastAsia="Arial" w:hAnsi="Arial"/>
          <w:sz w:val="16"/>
          <w:szCs w:val="16"/>
          <w:i w:val="1"/>
          <w:iCs w:val="1"/>
          <w:color w:val="auto"/>
        </w:rPr>
        <w:t>Financial Instruments – Overall (Subtopic 825-10): Recognition and Measurement of Financial Assets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Financial Liabilities. </w:t>
      </w:r>
      <w:r>
        <w:rPr>
          <w:rFonts w:ascii="Arial" w:cs="Arial" w:eastAsia="Arial" w:hAnsi="Arial"/>
          <w:sz w:val="16"/>
          <w:szCs w:val="16"/>
          <w:color w:val="auto"/>
        </w:rPr>
        <w:t>Under this standard, all equity investments except those accounted for under the equity method are required to be measured at fair</w:t>
      </w:r>
      <w:r>
        <w:rPr>
          <w:rFonts w:ascii="Arial" w:cs="Arial" w:eastAsia="Arial" w:hAnsi="Arial"/>
          <w:sz w:val="16"/>
          <w:szCs w:val="16"/>
          <w:i w:val="1"/>
          <w:iCs w:val="1"/>
          <w:color w:val="auto"/>
        </w:rPr>
        <w:t xml:space="preserve"> </w:t>
      </w:r>
      <w:r>
        <w:rPr>
          <w:rFonts w:ascii="Arial" w:cs="Arial" w:eastAsia="Arial" w:hAnsi="Arial"/>
          <w:sz w:val="16"/>
          <w:szCs w:val="16"/>
          <w:color w:val="auto"/>
        </w:rPr>
        <w:t>value. Equity investments that do not have a readily determinable fair value may, as a practical expedient, be measured at cost, adjusted for changes in observable prices minus impairment. This standard is effective for our interim and annual periods beginning January 1, 2018. This standard must be applied using a cumulative-effect adjustment in net income to the beginning of the fiscal year of adoption, except for equity investments without a readily determinable fair value, which are to be applied prospectively to equity investments as of the adoption date. We do not expect this standard to have a material impact on our financial position and results of operations, as nearly all of our equity investments are already recorded at fair value or under the equity method.</w:t>
      </w:r>
    </w:p>
    <w:p>
      <w:pPr>
        <w:spacing w:after="0" w:line="167" w:lineRule="exact"/>
        <w:rPr>
          <w:sz w:val="20"/>
          <w:szCs w:val="20"/>
          <w:color w:val="auto"/>
        </w:rPr>
      </w:pPr>
    </w:p>
    <w:p>
      <w:pPr>
        <w:ind w:right="40"/>
        <w:spacing w:after="0" w:line="312" w:lineRule="auto"/>
        <w:rPr>
          <w:sz w:val="20"/>
          <w:szCs w:val="20"/>
          <w:color w:val="auto"/>
        </w:rPr>
      </w:pPr>
      <w:r>
        <w:rPr>
          <w:rFonts w:ascii="Arial" w:cs="Arial" w:eastAsia="Arial" w:hAnsi="Arial"/>
          <w:sz w:val="15"/>
          <w:szCs w:val="15"/>
          <w:color w:val="auto"/>
        </w:rPr>
        <w:t xml:space="preserve">In February 2016, the FASB issued ASU No. 2016-02, </w:t>
      </w:r>
      <w:r>
        <w:rPr>
          <w:rFonts w:ascii="Arial" w:cs="Arial" w:eastAsia="Arial" w:hAnsi="Arial"/>
          <w:sz w:val="15"/>
          <w:szCs w:val="15"/>
          <w:i w:val="1"/>
          <w:iCs w:val="1"/>
          <w:color w:val="auto"/>
        </w:rPr>
        <w:t>Leases (Topic 842)</w:t>
      </w:r>
      <w:r>
        <w:rPr>
          <w:rFonts w:ascii="Arial" w:cs="Arial" w:eastAsia="Arial" w:hAnsi="Arial"/>
          <w:sz w:val="15"/>
          <w:szCs w:val="15"/>
          <w:color w:val="auto"/>
        </w:rPr>
        <w:t>. This standard requires all leases that have a term of over 12 months to be recognized on the balance sheet with the liability for lease payments and the corresponding right-of-use asset initially measured at the present value of amounts expected to be paid over the term. Recognition of the costs of these leases on the income statement will be dependent upon their classification as either an operating or a financing lease. Costs of an operating lease will continue to be recognized as a single operating expense on a straight-line basis over the lease term. Costs for a financing lease will be disaggregated and recognized as both an operating expense (for the amortization of the right-of-use asset) and interest expense (for interest on the lease liability). This standard will be effective for our interim and annual periods beginning January 1, 2019, and must be applied on a modified retrospective basis to leases existing at, or entered into after, the beginning of the earliest comparative period presented in the financial statements. Early adoption is permitted. We are currently evaluating the timing of adoption and the potential impact of this standard on our financial position and results of operations.</w:t>
      </w:r>
    </w:p>
    <w:p>
      <w:pPr>
        <w:spacing w:after="0" w:line="15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In March 2016, the FASB issued ASU No. 2016-09, </w:t>
      </w:r>
      <w:r>
        <w:rPr>
          <w:rFonts w:ascii="Arial" w:cs="Arial" w:eastAsia="Arial" w:hAnsi="Arial"/>
          <w:sz w:val="18"/>
          <w:szCs w:val="18"/>
          <w:i w:val="1"/>
          <w:iCs w:val="1"/>
          <w:color w:val="auto"/>
        </w:rPr>
        <w:t>Compensation – Stock Compensation (Topic 718): Improvements to 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w:t>
      </w:r>
      <w:r>
        <w:rPr>
          <w:rFonts w:ascii="Arial" w:cs="Arial" w:eastAsia="Arial" w:hAnsi="Arial"/>
          <w:sz w:val="18"/>
          <w:szCs w:val="18"/>
          <w:color w:val="auto"/>
        </w:rPr>
        <w:t>. This standard provides for several changes to the accounting for share-based awards. Among other changes, this standard will require recognition</w:t>
      </w:r>
      <w:r>
        <w:rPr>
          <w:rFonts w:ascii="Arial" w:cs="Arial" w:eastAsia="Arial" w:hAnsi="Arial"/>
          <w:sz w:val="18"/>
          <w:szCs w:val="18"/>
          <w:i w:val="1"/>
          <w:iCs w:val="1"/>
          <w:color w:val="auto"/>
        </w:rPr>
        <w:t xml:space="preserve"> </w:t>
      </w:r>
      <w:r>
        <w:rPr>
          <w:rFonts w:ascii="Arial" w:cs="Arial" w:eastAsia="Arial" w:hAnsi="Arial"/>
          <w:sz w:val="18"/>
          <w:szCs w:val="18"/>
          <w:color w:val="auto"/>
        </w:rPr>
        <w:t>of certain income tax effects of awards in net income in the period in which the awards are settled or vested, rather than through additional paid-in capital in the equity section of the balance sheet. The standard also changes the presentation of excess tax benefits and statutory tax withholdings in the statement of cash flows. This standard will be effective for our interim and annual periods beginning January 1, 2017; however, early adoption is permitted. Each of the various provisions within this standard has its own specified transition method; some will be applied prospectively and others will be applied on a retrospective or modified retrospective basis. We are currently evaluating the timing of adoption and the potential impact of this standard on our financial position and results of operations.</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Restructuring charges/other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Restructuring charges/other are recognized in Other for segment reporting purposes.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w:t>
      </w:r>
    </w:p>
    <w:p>
      <w:pPr>
        <w:spacing w:after="0" w:line="117"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For the three months ended March 31, 2016, we incurred $2 million in restructuring charges related to our plans to phase out a manufacturing facility in Greenock, Scotland, through the end of 2018. These charges were comprised of severance and benefits costs, as well as accelerated depreciation. Total restructuring charges, primarily severance and related benefit costs, are estimated to be about $40 million, of which $19 million has been recognized through March 31, 2016. The remaining charges are expected to be recognized through the end of 2018. As of March 31, 2016, no payments have been made.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balances</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restructuring accrual balances are primarily reported as a component of either Accrued expenses and other liabilities or Deferred credits and other liabilities on our Consolidated Balance Sheets, depending on the expected timing of payment. The $32 million balance as of December 31, 2015, was composed of $17 million related to the Scotland facility and $15 million related to prior actions. The $29 million balance as of March 31, 2016, is composed of $17 million related to the Scotland facility and $12 million related to prior actions.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60" w:type="dxa"/>
            <w:vAlign w:val="bottom"/>
            <w:shd w:val="clear" w:color="auto" w:fill="CCEEFF"/>
          </w:tcPr>
          <w:p>
            <w:pPr>
              <w:spacing w:after="0"/>
              <w:rPr>
                <w:sz w:val="20"/>
                <w:szCs w:val="20"/>
                <w:color w:val="auto"/>
              </w:rPr>
            </w:pPr>
            <w:r>
              <w:rPr>
                <w:rFonts w:ascii="Arial" w:cs="Arial" w:eastAsia="Arial" w:hAnsi="Arial"/>
                <w:sz w:val="16"/>
                <w:szCs w:val="16"/>
                <w:color w:val="auto"/>
              </w:rPr>
              <w:t>Balance, December 31, 2015</w:t>
            </w:r>
          </w:p>
        </w:tc>
        <w:tc>
          <w:tcPr>
            <w:tcW w:w="620" w:type="dxa"/>
            <w:vAlign w:val="bottom"/>
            <w:shd w:val="clear" w:color="auto" w:fill="CCEEFF"/>
          </w:tcPr>
          <w:p>
            <w:pPr>
              <w:jc w:val="right"/>
              <w:ind w:right="46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20" w:type="dxa"/>
            <w:vAlign w:val="bottom"/>
            <w:shd w:val="clear" w:color="auto" w:fill="CCEEFF"/>
          </w:tcPr>
          <w:p>
            <w:pPr>
              <w:spacing w:after="0"/>
              <w:rPr>
                <w:sz w:val="18"/>
                <w:szCs w:val="18"/>
                <w:color w:val="auto"/>
              </w:rPr>
            </w:pPr>
          </w:p>
        </w:tc>
      </w:tr>
      <w:tr>
        <w:trPr>
          <w:trHeight w:val="210"/>
        </w:trPr>
        <w:tc>
          <w:tcPr>
            <w:tcW w:w="9960" w:type="dxa"/>
            <w:vAlign w:val="bottom"/>
          </w:tcPr>
          <w:p>
            <w:pPr>
              <w:spacing w:after="0"/>
              <w:rPr>
                <w:sz w:val="20"/>
                <w:szCs w:val="20"/>
                <w:color w:val="auto"/>
              </w:rPr>
            </w:pPr>
            <w:r>
              <w:rPr>
                <w:rFonts w:ascii="Arial" w:cs="Arial" w:eastAsia="Arial" w:hAnsi="Arial"/>
                <w:sz w:val="16"/>
                <w:szCs w:val="16"/>
                <w:b w:val="1"/>
                <w:bCs w:val="1"/>
                <w:color w:val="auto"/>
              </w:rPr>
              <w:t>Restructuring charges</w:t>
            </w:r>
          </w:p>
        </w:tc>
        <w:tc>
          <w:tcPr>
            <w:tcW w:w="6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120" w:type="dxa"/>
            <w:vAlign w:val="bottom"/>
          </w:tcPr>
          <w:p>
            <w:pPr>
              <w:spacing w:after="0"/>
              <w:rPr>
                <w:sz w:val="18"/>
                <w:szCs w:val="18"/>
                <w:color w:val="auto"/>
              </w:rPr>
            </w:pPr>
          </w:p>
        </w:tc>
      </w:tr>
      <w:tr>
        <w:trPr>
          <w:trHeight w:val="222"/>
        </w:trPr>
        <w:tc>
          <w:tcPr>
            <w:tcW w:w="99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Payments</w:t>
            </w:r>
          </w:p>
        </w:tc>
        <w:tc>
          <w:tcPr>
            <w:tcW w:w="6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(3)</w:t>
            </w:r>
          </w:p>
        </w:tc>
      </w:tr>
      <w:tr>
        <w:trPr>
          <w:trHeight w:val="213"/>
        </w:trPr>
        <w:tc>
          <w:tcPr>
            <w:tcW w:w="9960" w:type="dxa"/>
            <w:vAlign w:val="bottom"/>
          </w:tcPr>
          <w:p>
            <w:pPr>
              <w:spacing w:after="0"/>
              <w:rPr>
                <w:sz w:val="20"/>
                <w:szCs w:val="20"/>
                <w:color w:val="auto"/>
              </w:rPr>
            </w:pPr>
            <w:r>
              <w:rPr>
                <w:rFonts w:ascii="Arial" w:cs="Arial" w:eastAsia="Arial" w:hAnsi="Arial"/>
                <w:sz w:val="16"/>
                <w:szCs w:val="16"/>
                <w:b w:val="1"/>
                <w:bCs w:val="1"/>
                <w:color w:val="auto"/>
              </w:rPr>
              <w:t>Non-cash items (a)</w:t>
            </w:r>
          </w:p>
        </w:tc>
        <w:tc>
          <w:tcPr>
            <w:tcW w:w="6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(2)</w:t>
            </w:r>
          </w:p>
        </w:tc>
      </w:tr>
      <w:tr>
        <w:trPr>
          <w:trHeight w:val="210"/>
        </w:trPr>
        <w:tc>
          <w:tcPr>
            <w:tcW w:w="9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March 31, 2016</w:t>
            </w:r>
          </w:p>
        </w:tc>
        <w:tc>
          <w:tcPr>
            <w:tcW w:w="620" w:type="dxa"/>
            <w:vAlign w:val="bottom"/>
            <w:tcBorders>
              <w:top w:val="single" w:sz="8" w:color="auto"/>
              <w:bottom w:val="single" w:sz="8" w:color="auto"/>
            </w:tcBorders>
            <w:shd w:val="clear" w:color="auto" w:fill="CCEEFF"/>
          </w:tcPr>
          <w:p>
            <w:pPr>
              <w:jc w:val="right"/>
              <w:ind w:right="464"/>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99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(a) Reflects charges for impacts of accelerated depreciation and changes in exchange rates.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Income taxes</w:t>
      </w:r>
    </w:p>
    <w:p>
      <w:pPr>
        <w:spacing w:after="0" w:line="121"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color w:val="auto"/>
        </w:rPr>
        <w:t>Federal income taxes for the interim periods presented have been included in the accompanying financial statements on the basis of an estimated annual effective tax rate. As of March 31, 2016, the estimated annual effective tax rate for 2016 is about 30 percent, which differs from the 35 percent statutory corporate tax rate due to lower statutory tax rates applicable to our operations in many of the jurisdictions in which we operate and from U.S. tax benefits.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Valuation of debt and equity investments and certain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and equity investments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We classify our investments as either available for sale, trading, equity method or cost method. Most of our investments are classified as available for sale.</w:t>
      </w:r>
    </w:p>
    <w:p>
      <w:pPr>
        <w:spacing w:after="0" w:line="248"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Available-for-sale and trading securities are stated at fair value, which is generally based on market prices or broker quotes. See the fair-value discussion below. Unrealized gains and losses on available-for-sale securities are recorded as an increase or decrease, net of taxes, in AOCI on our Consolidated Balance Sheets. We record other-than-temporary impairments on available-for-sale securities in OI&amp;E in our Consolidated Statements of Income.</w:t>
      </w:r>
    </w:p>
    <w:p>
      <w:pPr>
        <w:spacing w:after="0" w:line="14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 classify certain mutual funds as trading securities. These mutual funds hold a variety of debt and equity investments intended to generate returns that offset changes in certain deferred compensation liabilities. We record changes in the fair value of these mutual funds and the related deferred compensation liabilities in SG&amp;A.</w:t>
      </w:r>
    </w:p>
    <w:p>
      <w:pPr>
        <w:spacing w:after="0" w:line="181"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Our other investments are not measured at fair value but are accounted for using either the equity method or cost method. These investments consist of interests in venture capital funds and other non-marketable equity securities. Gains and losses from equity-method investments are reflected in OI&amp;E based on our ownership share of the investee’s financial results. Gains and losses on cost-method investments are recorded in OI&amp;E when realized or when an impairment of the investment’s value is warranted based on our assessment of the recoverability of each investment.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Details of our investments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March 31, 2016</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4"/>
          </w:tcPr>
          <w:p>
            <w:pPr>
              <w:ind w:left="120"/>
              <w:spacing w:after="0"/>
              <w:rPr>
                <w:sz w:val="20"/>
                <w:szCs w:val="20"/>
                <w:color w:val="auto"/>
              </w:rPr>
            </w:pPr>
            <w:r>
              <w:rPr>
                <w:rFonts w:ascii="Arial" w:cs="Arial" w:eastAsia="Arial" w:hAnsi="Arial"/>
                <w:sz w:val="16"/>
                <w:szCs w:val="16"/>
                <w:b w:val="1"/>
                <w:bCs w:val="1"/>
                <w:color w:val="auto"/>
              </w:rPr>
              <w:t>December 31, 2015</w:t>
            </w: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Cash and Cash</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b w:val="1"/>
                <w:bCs w:val="1"/>
                <w:color w:val="auto"/>
                <w:w w:val="95"/>
              </w:rPr>
              <w:t>Short-Term</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ind w:right="19"/>
              <w:spacing w:after="0"/>
              <w:rPr>
                <w:sz w:val="20"/>
                <w:szCs w:val="20"/>
                <w:color w:val="auto"/>
              </w:rPr>
            </w:pPr>
            <w:r>
              <w:rPr>
                <w:rFonts w:ascii="Arial" w:cs="Arial" w:eastAsia="Arial" w:hAnsi="Arial"/>
                <w:sz w:val="16"/>
                <w:szCs w:val="16"/>
                <w:b w:val="1"/>
                <w:bCs w:val="1"/>
                <w:color w:val="auto"/>
                <w:w w:val="93"/>
              </w:rPr>
              <w:t>Long-Term</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w w:val="88"/>
              </w:rPr>
              <w:t>Cash and Cash</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ind w:left="40"/>
              <w:spacing w:after="0"/>
              <w:rPr>
                <w:sz w:val="20"/>
                <w:szCs w:val="20"/>
                <w:color w:val="auto"/>
              </w:rPr>
            </w:pPr>
            <w:r>
              <w:rPr>
                <w:rFonts w:ascii="Arial" w:cs="Arial" w:eastAsia="Arial" w:hAnsi="Arial"/>
                <w:sz w:val="16"/>
                <w:szCs w:val="16"/>
                <w:b w:val="1"/>
                <w:bCs w:val="1"/>
                <w:color w:val="auto"/>
              </w:rPr>
              <w:t>Short-Term</w:t>
            </w:r>
          </w:p>
        </w:tc>
        <w:tc>
          <w:tcPr>
            <w:tcW w:w="100" w:type="dxa"/>
            <w:vAlign w:val="bottom"/>
          </w:tcPr>
          <w:p>
            <w:pPr>
              <w:spacing w:after="0"/>
              <w:rPr>
                <w:sz w:val="17"/>
                <w:szCs w:val="17"/>
                <w:color w:val="auto"/>
              </w:rPr>
            </w:pPr>
          </w:p>
        </w:tc>
        <w:tc>
          <w:tcPr>
            <w:tcW w:w="102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Long-Term</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b w:val="1"/>
                <w:bCs w:val="1"/>
                <w:color w:val="auto"/>
                <w:w w:val="95"/>
              </w:rPr>
              <w:t>Equivalents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Investments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9"/>
              </w:rPr>
              <w:t>Investments</w:t>
            </w:r>
          </w:p>
        </w:tc>
        <w:tc>
          <w:tcPr>
            <w:tcW w:w="100" w:type="dxa"/>
            <w:vAlign w:val="bottom"/>
          </w:tcPr>
          <w:p>
            <w:pPr>
              <w:spacing w:after="0"/>
              <w:rPr>
                <w:sz w:val="19"/>
                <w:szCs w:val="19"/>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b w:val="1"/>
                <w:bCs w:val="1"/>
                <w:color w:val="auto"/>
              </w:rPr>
              <w:t>Equivalents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ind w:left="20"/>
              <w:spacing w:after="0"/>
              <w:rPr>
                <w:sz w:val="20"/>
                <w:szCs w:val="20"/>
                <w:color w:val="auto"/>
              </w:rPr>
            </w:pPr>
            <w:r>
              <w:rPr>
                <w:rFonts w:ascii="Arial" w:cs="Arial" w:eastAsia="Arial" w:hAnsi="Arial"/>
                <w:sz w:val="16"/>
                <w:szCs w:val="16"/>
                <w:b w:val="1"/>
                <w:bCs w:val="1"/>
                <w:color w:val="auto"/>
              </w:rPr>
              <w:t>Investments</w:t>
            </w:r>
          </w:p>
        </w:tc>
        <w:tc>
          <w:tcPr>
            <w:tcW w:w="100" w:type="dxa"/>
            <w:vAlign w:val="bottom"/>
          </w:tcPr>
          <w:p>
            <w:pPr>
              <w:spacing w:after="0"/>
              <w:rPr>
                <w:sz w:val="19"/>
                <w:szCs w:val="19"/>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Investments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Measured at fair value:</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80" w:type="dxa"/>
            <w:vAlign w:val="bottom"/>
            <w:gridSpan w:val="2"/>
          </w:tcPr>
          <w:p>
            <w:pPr>
              <w:spacing w:after="0"/>
              <w:rPr>
                <w:sz w:val="20"/>
                <w:szCs w:val="20"/>
                <w:color w:val="auto"/>
              </w:rPr>
            </w:pPr>
            <w:r>
              <w:rPr>
                <w:rFonts w:ascii="Arial" w:cs="Arial" w:eastAsia="Arial" w:hAnsi="Arial"/>
                <w:sz w:val="16"/>
                <w:szCs w:val="16"/>
                <w:color w:val="auto"/>
              </w:rPr>
              <w:t>Available-for-sale securities: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Money market funds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536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860" w:type="dxa"/>
            <w:vAlign w:val="bottom"/>
          </w:tcPr>
          <w:p>
            <w:pPr>
              <w:ind w:left="120"/>
              <w:spacing w:after="0"/>
              <w:rPr>
                <w:sz w:val="20"/>
                <w:szCs w:val="20"/>
                <w:color w:val="auto"/>
              </w:rPr>
            </w:pPr>
            <w:r>
              <w:rPr>
                <w:rFonts w:ascii="Arial" w:cs="Arial" w:eastAsia="Arial" w:hAnsi="Arial"/>
                <w:sz w:val="16"/>
                <w:szCs w:val="16"/>
                <w:color w:val="auto"/>
              </w:rPr>
              <w:t>Corporate obligations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146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255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6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7"/>
              </w:rPr>
              <w:t>U.S. Government agency and Treasury</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370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1,264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securities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880" w:type="dxa"/>
            <w:vAlign w:val="bottom"/>
            <w:gridSpan w:val="2"/>
          </w:tcPr>
          <w:p>
            <w:pPr>
              <w:spacing w:after="0"/>
              <w:rPr>
                <w:sz w:val="20"/>
                <w:szCs w:val="20"/>
                <w:color w:val="auto"/>
              </w:rPr>
            </w:pPr>
            <w:r>
              <w:rPr>
                <w:rFonts w:ascii="Arial" w:cs="Arial" w:eastAsia="Arial" w:hAnsi="Arial"/>
                <w:sz w:val="16"/>
                <w:szCs w:val="16"/>
                <w:color w:val="auto"/>
              </w:rPr>
              <w:t>Trading securities: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Mutual funds</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186</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880" w:type="dxa"/>
            <w:vAlign w:val="bottom"/>
            <w:gridSpan w:val="2"/>
          </w:tcPr>
          <w:p>
            <w:pPr>
              <w:spacing w:after="0"/>
              <w:rPr>
                <w:sz w:val="20"/>
                <w:szCs w:val="20"/>
                <w:color w:val="auto"/>
              </w:rPr>
            </w:pPr>
            <w:r>
              <w:rPr>
                <w:rFonts w:ascii="Arial" w:cs="Arial" w:eastAsia="Arial" w:hAnsi="Arial"/>
                <w:sz w:val="16"/>
                <w:szCs w:val="16"/>
                <w:color w:val="auto"/>
              </w:rPr>
              <w:t>Total</w:t>
            </w: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1,052</w:t>
            </w:r>
          </w:p>
        </w:tc>
        <w:tc>
          <w:tcPr>
            <w:tcW w:w="2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1,519</w:t>
            </w:r>
          </w:p>
        </w:tc>
        <w:tc>
          <w:tcPr>
            <w:tcW w:w="2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186</w:t>
            </w:r>
          </w:p>
        </w:tc>
        <w:tc>
          <w:tcPr>
            <w:tcW w:w="2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772</w:t>
            </w:r>
          </w:p>
        </w:tc>
        <w:tc>
          <w:tcPr>
            <w:tcW w:w="2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2,218</w:t>
            </w:r>
          </w:p>
        </w:tc>
        <w:tc>
          <w:tcPr>
            <w:tcW w:w="2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2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6"/>
                <w:szCs w:val="16"/>
                <w:b w:val="1"/>
                <w:bCs w:val="1"/>
                <w:color w:val="auto"/>
              </w:rPr>
              <w:t>Other measurement basis: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Equity-method investments</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860" w:type="dxa"/>
            <w:vAlign w:val="bottom"/>
          </w:tcPr>
          <w:p>
            <w:pPr>
              <w:ind w:left="120"/>
              <w:spacing w:after="0"/>
              <w:rPr>
                <w:sz w:val="20"/>
                <w:szCs w:val="20"/>
                <w:color w:val="auto"/>
              </w:rPr>
            </w:pPr>
            <w:r>
              <w:rPr>
                <w:rFonts w:ascii="Arial" w:cs="Arial" w:eastAsia="Arial" w:hAnsi="Arial"/>
                <w:sz w:val="16"/>
                <w:szCs w:val="16"/>
                <w:color w:val="auto"/>
              </w:rPr>
              <w:t>Cost-method investments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on hand</w:t>
            </w:r>
          </w:p>
        </w:tc>
        <w:tc>
          <w:tcPr>
            <w:tcW w:w="2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229</w:t>
            </w:r>
          </w:p>
        </w:tc>
        <w:tc>
          <w:tcPr>
            <w:tcW w:w="2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2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880" w:type="dxa"/>
            <w:vAlign w:val="bottom"/>
            <w:gridSpan w:val="2"/>
          </w:tcPr>
          <w:p>
            <w:pPr>
              <w:spacing w:after="0"/>
              <w:rPr>
                <w:sz w:val="20"/>
                <w:szCs w:val="20"/>
                <w:color w:val="auto"/>
              </w:rPr>
            </w:pPr>
            <w:r>
              <w:rPr>
                <w:rFonts w:ascii="Arial" w:cs="Arial" w:eastAsia="Arial" w:hAnsi="Arial"/>
                <w:sz w:val="16"/>
                <w:szCs w:val="16"/>
                <w:color w:val="auto"/>
              </w:rPr>
              <w:t>Total</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1,281</w:t>
            </w:r>
          </w:p>
        </w:tc>
        <w:tc>
          <w:tcPr>
            <w:tcW w:w="2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1,519</w:t>
            </w:r>
          </w:p>
        </w:tc>
        <w:tc>
          <w:tcPr>
            <w:tcW w:w="2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220</w:t>
            </w:r>
          </w:p>
        </w:tc>
        <w:tc>
          <w:tcPr>
            <w:tcW w:w="2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1,000</w:t>
            </w:r>
          </w:p>
        </w:tc>
        <w:tc>
          <w:tcPr>
            <w:tcW w:w="3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2,218</w:t>
            </w:r>
          </w:p>
        </w:tc>
        <w:tc>
          <w:tcPr>
            <w:tcW w:w="2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221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At March 31, 2016, and December 31, 2015, unrealized gains and losses associated with our available-for-sale investments were not material. We did not recognize any credit losses related to available-for-sale investments for the three months ended March 31, 2016, and March 31, 2015.</w:t>
      </w:r>
    </w:p>
    <w:p>
      <w:pPr>
        <w:spacing w:after="0" w:line="147"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For the three months ended March 31, 2016, and March 31, 2015, the proceeds from sales, redemptions and maturities of short-term available-for-sale investments were $900 million and $615 million, respectively. Gross realized gains and losses from these sales were not material.</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aggregate maturities of investments in debt securities classified as available for sale at March 31, 2016:</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3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Due</w:t>
            </w:r>
          </w:p>
        </w:tc>
        <w:tc>
          <w:tcPr>
            <w:tcW w:w="3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Fair Value</w:t>
            </w:r>
          </w:p>
        </w:tc>
        <w:tc>
          <w:tcPr>
            <w:tcW w:w="100" w:type="dxa"/>
            <w:vAlign w:val="bottom"/>
          </w:tcPr>
          <w:p>
            <w:pPr>
              <w:spacing w:after="0"/>
              <w:rPr>
                <w:sz w:val="18"/>
                <w:szCs w:val="18"/>
                <w:color w:val="auto"/>
              </w:rPr>
            </w:pPr>
          </w:p>
        </w:tc>
      </w:tr>
      <w:tr>
        <w:trPr>
          <w:trHeight w:val="210"/>
        </w:trPr>
        <w:tc>
          <w:tcPr>
            <w:tcW w:w="9680" w:type="dxa"/>
            <w:vAlign w:val="bottom"/>
            <w:gridSpan w:val="2"/>
          </w:tcPr>
          <w:p>
            <w:pPr>
              <w:spacing w:after="0"/>
              <w:rPr>
                <w:sz w:val="20"/>
                <w:szCs w:val="20"/>
                <w:color w:val="auto"/>
              </w:rPr>
            </w:pPr>
            <w:r>
              <w:rPr>
                <w:rFonts w:ascii="Arial" w:cs="Arial" w:eastAsia="Arial" w:hAnsi="Arial"/>
                <w:sz w:val="16"/>
                <w:szCs w:val="16"/>
                <w:color w:val="auto"/>
              </w:rPr>
              <w:t>One year or less</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2,541</w:t>
            </w:r>
          </w:p>
        </w:tc>
        <w:tc>
          <w:tcPr>
            <w:tcW w:w="100" w:type="dxa"/>
            <w:vAlign w:val="bottom"/>
          </w:tcPr>
          <w:p>
            <w:pPr>
              <w:spacing w:after="0"/>
              <w:rPr>
                <w:sz w:val="18"/>
                <w:szCs w:val="18"/>
                <w:color w:val="auto"/>
              </w:rPr>
            </w:pPr>
          </w:p>
        </w:tc>
      </w:tr>
      <w:tr>
        <w:trPr>
          <w:trHeight w:val="219"/>
        </w:trPr>
        <w:tc>
          <w:tcPr>
            <w:tcW w:w="9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One to two years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9"/>
                <w:szCs w:val="19"/>
                <w:color w:val="auto"/>
              </w:rPr>
            </w:pPr>
          </w:p>
        </w:tc>
      </w:tr>
    </w:tbl>
    <w:p>
      <w:pPr>
        <w:spacing w:after="0" w:line="20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Other-than-temporary declines and impairments in the values of long-term investments recognized in OI&amp;E were not material in the three months ended March 31, 2016, and March 31, 2015.</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Fair-value considerations</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measure and report certain financial assets and liabilities at fair value on a recurring basis. Fair value is defined as the price that would be received to sell an asset or paid to transfer a liability (an exit price) in the principal or most advantageous market for the asset or liability in an orderly transaction between market participants on the measurement 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three-level hierarchy discussed below indicates the extent and level of judgment used to estimate fair-value measurements.</w:t>
      </w:r>
    </w:p>
    <w:p>
      <w:pPr>
        <w:spacing w:after="0" w:line="117" w:lineRule="exact"/>
        <w:rPr>
          <w:sz w:val="20"/>
          <w:szCs w:val="20"/>
          <w:color w:val="auto"/>
        </w:rPr>
      </w:pPr>
    </w:p>
    <w:p>
      <w:pPr>
        <w:ind w:left="1040" w:hanging="519"/>
        <w:spacing w:after="0"/>
        <w:tabs>
          <w:tab w:leader="none" w:pos="1040" w:val="left"/>
        </w:tabs>
        <w:numPr>
          <w:ilvl w:val="0"/>
          <w:numId w:val="4"/>
        </w:numPr>
        <w:rPr>
          <w:rFonts w:ascii="Arial" w:cs="Arial" w:eastAsia="Arial" w:hAnsi="Arial"/>
          <w:sz w:val="17"/>
          <w:szCs w:val="17"/>
          <w:color w:val="auto"/>
        </w:rPr>
      </w:pPr>
      <w:r>
        <w:rPr>
          <w:rFonts w:ascii="Arial" w:cs="Arial" w:eastAsia="Arial" w:hAnsi="Arial"/>
          <w:sz w:val="17"/>
          <w:szCs w:val="17"/>
          <w:color w:val="auto"/>
        </w:rPr>
        <w:t>Level 1 – Uses unadjusted quoted prices that are available in active markets for identical assets or liabilities as of the reporting date.</w:t>
      </w:r>
    </w:p>
    <w:p>
      <w:pPr>
        <w:spacing w:after="0" w:line="128" w:lineRule="exact"/>
        <w:rPr>
          <w:rFonts w:ascii="Arial" w:cs="Arial" w:eastAsia="Arial" w:hAnsi="Arial"/>
          <w:sz w:val="17"/>
          <w:szCs w:val="17"/>
          <w:color w:val="auto"/>
        </w:rPr>
      </w:pPr>
    </w:p>
    <w:p>
      <w:pPr>
        <w:ind w:left="1040" w:right="20" w:hanging="519"/>
        <w:spacing w:after="0" w:line="273" w:lineRule="auto"/>
        <w:tabs>
          <w:tab w:leader="none" w:pos="1040" w:val="left"/>
        </w:tabs>
        <w:numPr>
          <w:ilvl w:val="0"/>
          <w:numId w:val="4"/>
        </w:numPr>
        <w:rPr>
          <w:rFonts w:ascii="Arial" w:cs="Arial" w:eastAsia="Arial" w:hAnsi="Arial"/>
          <w:sz w:val="17"/>
          <w:szCs w:val="17"/>
          <w:color w:val="auto"/>
        </w:rPr>
      </w:pPr>
      <w:r>
        <w:rPr>
          <w:rFonts w:ascii="Arial" w:cs="Arial" w:eastAsia="Arial" w:hAnsi="Arial"/>
          <w:sz w:val="17"/>
          <w:szCs w:val="17"/>
          <w:color w:val="auto"/>
        </w:rPr>
        <w:t>Level 2 – Uses inputs other than Level 1 that are either directly or indirectly observable as of the reporting date through correlation 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We utilize a third-party data service to provide Level 2 valuations. We verify these valuations for reasonableness relative to unadjusted quotes obtained from brokers or dealers based on observable prices for similar assets in active markets.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43" w:lineRule="exact"/>
        <w:rPr>
          <w:sz w:val="20"/>
          <w:szCs w:val="20"/>
          <w:color w:val="auto"/>
        </w:rPr>
      </w:pPr>
    </w:p>
    <w:p>
      <w:pPr>
        <w:ind w:left="1040" w:right="80" w:hanging="519"/>
        <w:spacing w:after="0" w:line="312" w:lineRule="auto"/>
        <w:tabs>
          <w:tab w:leader="none" w:pos="1040" w:val="left"/>
        </w:tabs>
        <w:numPr>
          <w:ilvl w:val="0"/>
          <w:numId w:val="5"/>
        </w:numPr>
        <w:rPr>
          <w:rFonts w:ascii="Arial" w:cs="Arial" w:eastAsia="Arial" w:hAnsi="Arial"/>
          <w:sz w:val="16"/>
          <w:szCs w:val="16"/>
          <w:color w:val="auto"/>
        </w:rPr>
      </w:pPr>
      <w:r>
        <w:rPr>
          <w:rFonts w:ascii="Arial" w:cs="Arial" w:eastAsia="Arial" w:hAnsi="Arial"/>
          <w:sz w:val="16"/>
          <w:szCs w:val="16"/>
          <w:color w:val="auto"/>
        </w:rPr>
        <w:t>Level 3 – Uses inputs that are unobservable, supported by little or no market activity and reflect the use of significant management judgment. These values are generally determined using pricing models that utilize management estimates of market participant assumptions. As of March 31, 2016, and December 31, 2015, we had no Level 3 assets or liabilities, other than certain assets held by our postretirement plans.</w:t>
      </w:r>
    </w:p>
    <w:p>
      <w:pPr>
        <w:spacing w:after="0" w:line="14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following are our assets and liabilities that were accounted for at fair value on a recurring basis as of March 31, 2016, and December 31, 2015. These tables do not include cash on hand, assets held by our postretirement plans, or assets and liabilities that are measured at historical cost or any basis other than fair value.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Fair Value</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March 31,</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89"/>
              </w:rPr>
              <w:t>2016</w:t>
            </w: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ind w:right="379"/>
              <w:spacing w:after="0"/>
              <w:rPr>
                <w:sz w:val="20"/>
                <w:szCs w:val="20"/>
                <w:color w:val="auto"/>
              </w:rPr>
            </w:pPr>
            <w:r>
              <w:rPr>
                <w:rFonts w:ascii="Arial" w:cs="Arial" w:eastAsia="Arial" w:hAnsi="Arial"/>
                <w:sz w:val="16"/>
                <w:szCs w:val="16"/>
                <w:b w:val="1"/>
                <w:bCs w:val="1"/>
                <w:color w:val="auto"/>
              </w:rPr>
              <w:t>Level 1</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40" w:type="dxa"/>
            <w:vAlign w:val="bottom"/>
          </w:tcPr>
          <w:p>
            <w:pPr>
              <w:ind w:left="120"/>
              <w:spacing w:after="0"/>
              <w:rPr>
                <w:sz w:val="20"/>
                <w:szCs w:val="20"/>
                <w:color w:val="auto"/>
              </w:rPr>
            </w:pPr>
            <w:r>
              <w:rPr>
                <w:rFonts w:ascii="Arial" w:cs="Arial" w:eastAsia="Arial" w:hAnsi="Arial"/>
                <w:sz w:val="16"/>
                <w:szCs w:val="16"/>
                <w:color w:val="auto"/>
              </w:rPr>
              <w:t>Money market funds</w:t>
            </w:r>
          </w:p>
        </w:tc>
        <w:tc>
          <w:tcPr>
            <w:tcW w:w="18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280" w:type="dxa"/>
            <w:vAlign w:val="bottom"/>
            <w:gridSpan w:val="2"/>
          </w:tcPr>
          <w:p>
            <w:pPr>
              <w:jc w:val="right"/>
              <w:spacing w:after="0"/>
              <w:rPr>
                <w:sz w:val="20"/>
                <w:szCs w:val="20"/>
                <w:color w:val="auto"/>
              </w:rPr>
            </w:pPr>
            <w:r>
              <w:rPr>
                <w:rFonts w:ascii="Arial" w:cs="Arial" w:eastAsia="Arial" w:hAnsi="Arial"/>
                <w:sz w:val="16"/>
                <w:szCs w:val="16"/>
                <w:b w:val="1"/>
                <w:bCs w:val="1"/>
                <w:color w:val="auto"/>
              </w:rPr>
              <w:t>536</w:t>
            </w:r>
          </w:p>
        </w:tc>
        <w:tc>
          <w:tcPr>
            <w:tcW w:w="700" w:type="dxa"/>
            <w:vAlign w:val="bottom"/>
            <w:gridSpan w:val="3"/>
          </w:tcPr>
          <w:p>
            <w:pPr>
              <w:jc w:val="right"/>
              <w:ind w:right="104"/>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536</w:t>
            </w:r>
          </w:p>
        </w:tc>
        <w:tc>
          <w:tcPr>
            <w:tcW w:w="720" w:type="dxa"/>
            <w:vAlign w:val="bottom"/>
            <w:gridSpan w:val="4"/>
          </w:tcPr>
          <w:p>
            <w:pPr>
              <w:jc w:val="right"/>
              <w:ind w:right="124"/>
              <w:spacing w:after="0"/>
              <w:rPr>
                <w:sz w:val="20"/>
                <w:szCs w:val="20"/>
                <w:color w:val="auto"/>
              </w:rPr>
            </w:pPr>
            <w:r>
              <w:rPr>
                <w:rFonts w:ascii="Arial" w:cs="Arial" w:eastAsia="Arial" w:hAnsi="Arial"/>
                <w:sz w:val="16"/>
                <w:szCs w:val="16"/>
                <w:b w:val="1"/>
                <w:bCs w:val="1"/>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1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Corporate obligations</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401</w:t>
            </w:r>
          </w:p>
        </w:tc>
        <w:tc>
          <w:tcPr>
            <w:tcW w:w="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401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40" w:type="dxa"/>
            <w:vAlign w:val="bottom"/>
          </w:tcPr>
          <w:p>
            <w:pPr>
              <w:ind w:left="120"/>
              <w:spacing w:after="0"/>
              <w:rPr>
                <w:sz w:val="20"/>
                <w:szCs w:val="20"/>
                <w:color w:val="auto"/>
              </w:rPr>
            </w:pPr>
            <w:r>
              <w:rPr>
                <w:rFonts w:ascii="Arial" w:cs="Arial" w:eastAsia="Arial" w:hAnsi="Arial"/>
                <w:sz w:val="16"/>
                <w:szCs w:val="16"/>
                <w:color w:val="auto"/>
              </w:rPr>
              <w:t>U.S. Government agency and Treasury securities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b w:val="1"/>
                <w:bCs w:val="1"/>
                <w:color w:val="auto"/>
              </w:rPr>
              <w:t>1,634</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1,104</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530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1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Mutual funds</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186</w:t>
            </w:r>
          </w:p>
        </w:tc>
        <w:tc>
          <w:tcPr>
            <w:tcW w:w="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186</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47"/>
        </w:trPr>
        <w:tc>
          <w:tcPr>
            <w:tcW w:w="6160" w:type="dxa"/>
            <w:vAlign w:val="bottom"/>
            <w:gridSpan w:val="2"/>
          </w:tcPr>
          <w:p>
            <w:pPr>
              <w:spacing w:after="0"/>
              <w:rPr>
                <w:sz w:val="20"/>
                <w:szCs w:val="20"/>
                <w:color w:val="auto"/>
              </w:rPr>
            </w:pPr>
            <w:r>
              <w:rPr>
                <w:rFonts w:ascii="Arial" w:cs="Arial" w:eastAsia="Arial" w:hAnsi="Arial"/>
                <w:sz w:val="16"/>
                <w:szCs w:val="16"/>
                <w:color w:val="auto"/>
              </w:rPr>
              <w:t>Total assets</w:t>
            </w:r>
          </w:p>
        </w:tc>
        <w:tc>
          <w:tcPr>
            <w:tcW w:w="6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2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2,757</w:t>
            </w: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1,826</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0" w:type="dxa"/>
            <w:vAlign w:val="bottom"/>
            <w:tcBorders>
              <w:top w:val="single" w:sz="8" w:color="auto"/>
              <w:bottom w:val="single" w:sz="8" w:color="auto"/>
            </w:tcBorders>
            <w:gridSpan w:val="2"/>
          </w:tcPr>
          <w:p>
            <w:pPr>
              <w:jc w:val="right"/>
              <w:ind w:right="124"/>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931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6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6"/>
                <w:szCs w:val="16"/>
                <w:b w:val="1"/>
                <w:bCs w:val="1"/>
                <w:color w:val="auto"/>
              </w:rPr>
              <w:t>Liabilities: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1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Deferred compensation</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202</w:t>
            </w:r>
          </w:p>
        </w:tc>
        <w:tc>
          <w:tcPr>
            <w:tcW w:w="700" w:type="dxa"/>
            <w:vAlign w:val="bottom"/>
            <w:gridSpan w:val="3"/>
            <w:shd w:val="clear" w:color="auto" w:fill="CCEEFF"/>
          </w:tcPr>
          <w:p>
            <w:pPr>
              <w:jc w:val="right"/>
              <w:ind w:right="104"/>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202</w:t>
            </w:r>
          </w:p>
        </w:tc>
        <w:tc>
          <w:tcPr>
            <w:tcW w:w="720" w:type="dxa"/>
            <w:vAlign w:val="bottom"/>
            <w:gridSpan w:val="4"/>
            <w:shd w:val="clear" w:color="auto" w:fill="CCEEFF"/>
          </w:tcPr>
          <w:p>
            <w:pPr>
              <w:jc w:val="right"/>
              <w:ind w:right="124"/>
              <w:spacing w:after="0"/>
              <w:rPr>
                <w:sz w:val="20"/>
                <w:szCs w:val="20"/>
                <w:color w:val="auto"/>
              </w:rPr>
            </w:pPr>
            <w:r>
              <w:rPr>
                <w:rFonts w:ascii="Arial" w:cs="Arial" w:eastAsia="Arial" w:hAnsi="Arial"/>
                <w:sz w:val="16"/>
                <w:szCs w:val="16"/>
                <w:b w:val="1"/>
                <w:bCs w:val="1"/>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7"/>
        </w:trPr>
        <w:tc>
          <w:tcPr>
            <w:tcW w:w="6160" w:type="dxa"/>
            <w:vAlign w:val="bottom"/>
            <w:gridSpan w:val="2"/>
          </w:tcPr>
          <w:p>
            <w:pPr>
              <w:spacing w:after="0"/>
              <w:rPr>
                <w:sz w:val="20"/>
                <w:szCs w:val="20"/>
                <w:color w:val="auto"/>
              </w:rPr>
            </w:pPr>
            <w:r>
              <w:rPr>
                <w:rFonts w:ascii="Arial" w:cs="Arial" w:eastAsia="Arial" w:hAnsi="Arial"/>
                <w:sz w:val="16"/>
                <w:szCs w:val="16"/>
                <w:color w:val="auto"/>
              </w:rPr>
              <w:t>Total liabilities</w:t>
            </w:r>
          </w:p>
        </w:tc>
        <w:tc>
          <w:tcPr>
            <w:tcW w:w="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2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Borders>
              <w:top w:val="single" w:sz="8" w:color="auto"/>
              <w:bottom w:val="single" w:sz="8" w:color="auto"/>
            </w:tcBorders>
            <w:gridSpan w:val="2"/>
          </w:tcPr>
          <w:p>
            <w:pPr>
              <w:jc w:val="right"/>
              <w:ind w:right="124"/>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2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Fair Value</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December 31,</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center"/>
              <w:ind w:right="119"/>
              <w:spacing w:after="0"/>
              <w:rPr>
                <w:sz w:val="20"/>
                <w:szCs w:val="20"/>
                <w:color w:val="auto"/>
              </w:rPr>
            </w:pPr>
            <w:r>
              <w:rPr>
                <w:rFonts w:ascii="Arial" w:cs="Arial" w:eastAsia="Arial" w:hAnsi="Arial"/>
                <w:sz w:val="16"/>
                <w:szCs w:val="16"/>
                <w:b w:val="1"/>
                <w:bCs w:val="1"/>
                <w:color w:val="auto"/>
                <w:w w:val="89"/>
              </w:rPr>
              <w:t>2015</w:t>
            </w: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ind w:right="379"/>
              <w:spacing w:after="0"/>
              <w:rPr>
                <w:sz w:val="20"/>
                <w:szCs w:val="20"/>
                <w:color w:val="auto"/>
              </w:rPr>
            </w:pPr>
            <w:r>
              <w:rPr>
                <w:rFonts w:ascii="Arial" w:cs="Arial" w:eastAsia="Arial" w:hAnsi="Arial"/>
                <w:sz w:val="16"/>
                <w:szCs w:val="16"/>
                <w:b w:val="1"/>
                <w:bCs w:val="1"/>
                <w:color w:val="auto"/>
              </w:rPr>
              <w:t>Level 1</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40" w:type="dxa"/>
            <w:vAlign w:val="bottom"/>
          </w:tcPr>
          <w:p>
            <w:pPr>
              <w:ind w:left="120"/>
              <w:spacing w:after="0"/>
              <w:rPr>
                <w:sz w:val="20"/>
                <w:szCs w:val="20"/>
                <w:color w:val="auto"/>
              </w:rPr>
            </w:pPr>
            <w:r>
              <w:rPr>
                <w:rFonts w:ascii="Arial" w:cs="Arial" w:eastAsia="Arial" w:hAnsi="Arial"/>
                <w:sz w:val="16"/>
                <w:szCs w:val="16"/>
                <w:color w:val="auto"/>
              </w:rPr>
              <w:t>Money market funds</w:t>
            </w:r>
          </w:p>
        </w:tc>
        <w:tc>
          <w:tcPr>
            <w:tcW w:w="180" w:type="dxa"/>
            <w:vAlign w:val="bottom"/>
            <w:gridSpan w:val="2"/>
          </w:tcPr>
          <w:p>
            <w:pPr>
              <w:jc w:val="right"/>
              <w:ind w:right="24"/>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395</w:t>
            </w:r>
          </w:p>
        </w:tc>
        <w:tc>
          <w:tcPr>
            <w:tcW w:w="40" w:type="dxa"/>
            <w:vAlign w:val="bottom"/>
          </w:tcPr>
          <w:p>
            <w:pPr>
              <w:spacing w:after="0"/>
              <w:rPr>
                <w:sz w:val="18"/>
                <w:szCs w:val="18"/>
                <w:color w:val="auto"/>
              </w:rPr>
            </w:pPr>
          </w:p>
        </w:tc>
        <w:tc>
          <w:tcPr>
            <w:tcW w:w="700" w:type="dxa"/>
            <w:vAlign w:val="bottom"/>
            <w:gridSpan w:val="3"/>
          </w:tcPr>
          <w:p>
            <w:pPr>
              <w:jc w:val="right"/>
              <w:ind w:right="124"/>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395</w:t>
            </w:r>
          </w:p>
        </w:tc>
        <w:tc>
          <w:tcPr>
            <w:tcW w:w="720" w:type="dxa"/>
            <w:vAlign w:val="bottom"/>
            <w:gridSpan w:val="4"/>
          </w:tcPr>
          <w:p>
            <w:pPr>
              <w:jc w:val="right"/>
              <w:ind w:right="104"/>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1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Corporate obligations</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w:t>
            </w: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40" w:type="dxa"/>
            <w:vAlign w:val="bottom"/>
          </w:tcPr>
          <w:p>
            <w:pPr>
              <w:ind w:left="120"/>
              <w:spacing w:after="0"/>
              <w:rPr>
                <w:sz w:val="20"/>
                <w:szCs w:val="20"/>
                <w:color w:val="auto"/>
              </w:rPr>
            </w:pPr>
            <w:r>
              <w:rPr>
                <w:rFonts w:ascii="Arial" w:cs="Arial" w:eastAsia="Arial" w:hAnsi="Arial"/>
                <w:sz w:val="16"/>
                <w:szCs w:val="16"/>
                <w:color w:val="auto"/>
              </w:rPr>
              <w:t>U.S. Government agency and Treasury securities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2,178</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1,828</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1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Mutual funds</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20" w:type="dxa"/>
            <w:vAlign w:val="bottom"/>
            <w:tcBorders>
              <w:bottom w:val="single" w:sz="8" w:color="auto"/>
            </w:tcBorders>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6160" w:type="dxa"/>
            <w:vAlign w:val="bottom"/>
            <w:gridSpan w:val="2"/>
          </w:tcPr>
          <w:p>
            <w:pPr>
              <w:spacing w:after="0"/>
              <w:rPr>
                <w:sz w:val="20"/>
                <w:szCs w:val="20"/>
                <w:color w:val="auto"/>
              </w:rPr>
            </w:pPr>
            <w:r>
              <w:rPr>
                <w:rFonts w:ascii="Arial" w:cs="Arial" w:eastAsia="Arial" w:hAnsi="Arial"/>
                <w:sz w:val="16"/>
                <w:szCs w:val="16"/>
                <w:color w:val="auto"/>
              </w:rPr>
              <w:t>Total assets</w:t>
            </w:r>
          </w:p>
        </w:tc>
        <w:tc>
          <w:tcPr>
            <w:tcW w:w="180" w:type="dxa"/>
            <w:vAlign w:val="bottom"/>
            <w:gridSpan w:val="2"/>
          </w:tcPr>
          <w:p>
            <w:pPr>
              <w:jc w:val="right"/>
              <w:ind w:right="24"/>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3,177</w:t>
            </w:r>
          </w:p>
        </w:tc>
        <w:tc>
          <w:tcPr>
            <w:tcW w:w="40" w:type="dxa"/>
            <w:vAlign w:val="bottom"/>
          </w:tcPr>
          <w:p>
            <w:pPr>
              <w:spacing w:after="0"/>
              <w:rPr>
                <w:sz w:val="21"/>
                <w:szCs w:val="21"/>
                <w:color w:val="auto"/>
              </w:rPr>
            </w:pPr>
          </w:p>
        </w:tc>
        <w:tc>
          <w:tcPr>
            <w:tcW w:w="700" w:type="dxa"/>
            <w:vAlign w:val="bottom"/>
            <w:gridSpan w:val="3"/>
          </w:tcPr>
          <w:p>
            <w:pPr>
              <w:jc w:val="right"/>
              <w:ind w:right="124"/>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2,410</w:t>
            </w:r>
          </w:p>
        </w:tc>
        <w:tc>
          <w:tcPr>
            <w:tcW w:w="720" w:type="dxa"/>
            <w:vAlign w:val="bottom"/>
            <w:gridSpan w:val="4"/>
          </w:tcPr>
          <w:p>
            <w:pPr>
              <w:jc w:val="right"/>
              <w:ind w:right="104"/>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767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6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6"/>
                <w:szCs w:val="16"/>
                <w:b w:val="1"/>
                <w:bCs w:val="1"/>
                <w:color w:val="auto"/>
              </w:rPr>
              <w:t>Liabilities: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1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Deferred compensation</w:t>
            </w:r>
          </w:p>
        </w:tc>
        <w:tc>
          <w:tcPr>
            <w:tcW w:w="180" w:type="dxa"/>
            <w:vAlign w:val="bottom"/>
            <w:tcBorders>
              <w:bottom w:val="single" w:sz="8" w:color="auto"/>
            </w:tcBorders>
            <w:gridSpan w:val="2"/>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80" w:type="dxa"/>
            <w:vAlign w:val="bottom"/>
            <w:tcBorders>
              <w:bottom w:val="single" w:sz="8" w:color="auto"/>
            </w:tcBorders>
            <w:gridSpan w:val="2"/>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20" w:type="dxa"/>
            <w:vAlign w:val="bottom"/>
            <w:tcBorders>
              <w:bottom w:val="single" w:sz="8" w:color="auto"/>
            </w:tcBorders>
            <w:shd w:val="clear" w:color="auto" w:fill="CCEEFF"/>
          </w:tcPr>
          <w:p>
            <w:pPr>
              <w:spacing w:after="0"/>
              <w:rPr>
                <w:sz w:val="19"/>
                <w:szCs w:val="19"/>
                <w:color w:val="auto"/>
              </w:rPr>
            </w:pPr>
          </w:p>
        </w:tc>
        <w:tc>
          <w:tcPr>
            <w:tcW w:w="440" w:type="dxa"/>
            <w:vAlign w:val="bottom"/>
            <w:gridSpan w:val="2"/>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160" w:type="dxa"/>
            <w:vAlign w:val="bottom"/>
            <w:gridSpan w:val="2"/>
          </w:tcPr>
          <w:p>
            <w:pPr>
              <w:spacing w:after="0"/>
              <w:rPr>
                <w:sz w:val="20"/>
                <w:szCs w:val="20"/>
                <w:color w:val="auto"/>
              </w:rPr>
            </w:pPr>
            <w:r>
              <w:rPr>
                <w:rFonts w:ascii="Arial" w:cs="Arial" w:eastAsia="Arial" w:hAnsi="Arial"/>
                <w:sz w:val="16"/>
                <w:szCs w:val="16"/>
                <w:color w:val="auto"/>
              </w:rPr>
              <w:t>Total liabilities</w:t>
            </w:r>
          </w:p>
        </w:tc>
        <w:tc>
          <w:tcPr>
            <w:tcW w:w="180" w:type="dxa"/>
            <w:vAlign w:val="bottom"/>
            <w:gridSpan w:val="2"/>
          </w:tcPr>
          <w:p>
            <w:pPr>
              <w:jc w:val="right"/>
              <w:ind w:right="24"/>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198</w:t>
            </w:r>
          </w:p>
        </w:tc>
        <w:tc>
          <w:tcPr>
            <w:tcW w:w="40" w:type="dxa"/>
            <w:vAlign w:val="bottom"/>
          </w:tcPr>
          <w:p>
            <w:pPr>
              <w:spacing w:after="0"/>
              <w:rPr>
                <w:sz w:val="17"/>
                <w:szCs w:val="17"/>
                <w:color w:val="auto"/>
              </w:rPr>
            </w:pPr>
          </w:p>
        </w:tc>
        <w:tc>
          <w:tcPr>
            <w:tcW w:w="700" w:type="dxa"/>
            <w:vAlign w:val="bottom"/>
            <w:gridSpan w:val="3"/>
          </w:tcPr>
          <w:p>
            <w:pPr>
              <w:jc w:val="right"/>
              <w:ind w:right="124"/>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198</w:t>
            </w:r>
          </w:p>
        </w:tc>
        <w:tc>
          <w:tcPr>
            <w:tcW w:w="720" w:type="dxa"/>
            <w:vAlign w:val="bottom"/>
            <w:gridSpan w:val="4"/>
          </w:tcPr>
          <w:p>
            <w:pPr>
              <w:jc w:val="right"/>
              <w:ind w:right="104"/>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acquisition-related intangibles</w:t>
      </w:r>
    </w:p>
    <w:p>
      <w:pPr>
        <w:spacing w:after="0" w:line="121" w:lineRule="exact"/>
        <w:rPr>
          <w:sz w:val="20"/>
          <w:szCs w:val="20"/>
          <w:color w:val="auto"/>
        </w:rPr>
      </w:pPr>
    </w:p>
    <w:p>
      <w:pPr>
        <w:jc w:val="both"/>
        <w:ind w:right="140"/>
        <w:spacing w:after="0" w:line="277" w:lineRule="auto"/>
        <w:rPr>
          <w:sz w:val="20"/>
          <w:szCs w:val="20"/>
          <w:color w:val="auto"/>
        </w:rPr>
      </w:pPr>
      <w:r>
        <w:rPr>
          <w:rFonts w:ascii="Arial" w:cs="Arial" w:eastAsia="Arial" w:hAnsi="Arial"/>
          <w:sz w:val="18"/>
          <w:szCs w:val="18"/>
          <w:color w:val="auto"/>
        </w:rPr>
        <w:t>Goodwill, net, was $4.36 billion as of March 31, 2016, and December 31, 2015. There was no impairment of goodwill during the three months ended March 31, 2016, and March 31,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Acquisition-related intangibles, net,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200" w:type="dxa"/>
            <w:vAlign w:val="bottom"/>
          </w:tcPr>
          <w:p>
            <w:pPr>
              <w:spacing w:after="0"/>
              <w:rPr>
                <w:sz w:val="18"/>
                <w:szCs w:val="18"/>
                <w:color w:val="auto"/>
              </w:rPr>
            </w:pPr>
          </w:p>
        </w:tc>
        <w:tc>
          <w:tcPr>
            <w:tcW w:w="146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4"/>
              </w:rPr>
              <w:t>Amortization</w:t>
            </w:r>
          </w:p>
        </w:tc>
        <w:tc>
          <w:tcPr>
            <w:tcW w:w="14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5"/>
          </w:tcPr>
          <w:p>
            <w:pPr>
              <w:ind w:left="1180"/>
              <w:spacing w:after="0"/>
              <w:rPr>
                <w:sz w:val="20"/>
                <w:szCs w:val="20"/>
                <w:color w:val="auto"/>
              </w:rPr>
            </w:pPr>
            <w:r>
              <w:rPr>
                <w:rFonts w:ascii="Arial" w:cs="Arial" w:eastAsia="Arial" w:hAnsi="Arial"/>
                <w:sz w:val="16"/>
                <w:szCs w:val="16"/>
                <w:b w:val="1"/>
                <w:bCs w:val="1"/>
                <w:color w:val="auto"/>
              </w:rPr>
              <w:t>March 31, 2016</w:t>
            </w: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5"/>
          </w:tcPr>
          <w:p>
            <w:pPr>
              <w:ind w:left="1100"/>
              <w:spacing w:after="0"/>
              <w:rPr>
                <w:sz w:val="20"/>
                <w:szCs w:val="20"/>
                <w:color w:val="auto"/>
              </w:rPr>
            </w:pPr>
            <w:r>
              <w:rPr>
                <w:rFonts w:ascii="Arial" w:cs="Arial" w:eastAsia="Arial" w:hAnsi="Arial"/>
                <w:sz w:val="16"/>
                <w:szCs w:val="16"/>
                <w:b w:val="1"/>
                <w:bCs w:val="1"/>
                <w:color w:val="auto"/>
              </w:rPr>
              <w:t>December 31, 2015</w:t>
            </w: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2200" w:type="dxa"/>
            <w:vAlign w:val="bottom"/>
          </w:tcPr>
          <w:p>
            <w:pPr>
              <w:spacing w:after="0"/>
              <w:rPr>
                <w:sz w:val="18"/>
                <w:szCs w:val="18"/>
                <w:color w:val="auto"/>
              </w:rPr>
            </w:pPr>
          </w:p>
        </w:tc>
        <w:tc>
          <w:tcPr>
            <w:tcW w:w="146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2"/>
              </w:rPr>
              <w:t>Period</w:t>
            </w:r>
          </w:p>
        </w:tc>
        <w:tc>
          <w:tcPr>
            <w:tcW w:w="14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Gross Carrying</w:t>
            </w:r>
          </w:p>
        </w:tc>
        <w:tc>
          <w:tcPr>
            <w:tcW w:w="120" w:type="dxa"/>
            <w:vAlign w:val="bottom"/>
          </w:tcPr>
          <w:p>
            <w:pPr>
              <w:spacing w:after="0"/>
              <w:rPr>
                <w:sz w:val="18"/>
                <w:szCs w:val="18"/>
                <w:color w:val="auto"/>
              </w:rPr>
            </w:pPr>
          </w:p>
        </w:tc>
        <w:tc>
          <w:tcPr>
            <w:tcW w:w="1280" w:type="dxa"/>
            <w:vAlign w:val="bottom"/>
            <w:gridSpan w:val="2"/>
          </w:tcPr>
          <w:p>
            <w:pPr>
              <w:ind w:left="40"/>
              <w:spacing w:after="0"/>
              <w:rPr>
                <w:sz w:val="20"/>
                <w:szCs w:val="20"/>
                <w:color w:val="auto"/>
              </w:rPr>
            </w:pPr>
            <w:r>
              <w:rPr>
                <w:rFonts w:ascii="Arial" w:cs="Arial" w:eastAsia="Arial" w:hAnsi="Arial"/>
                <w:sz w:val="16"/>
                <w:szCs w:val="16"/>
                <w:b w:val="1"/>
                <w:bCs w:val="1"/>
                <w:color w:val="auto"/>
              </w:rPr>
              <w:t>Accumulated</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Gross Carrying</w:t>
            </w:r>
          </w:p>
        </w:tc>
        <w:tc>
          <w:tcPr>
            <w:tcW w:w="12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Accumulated</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2200" w:type="dxa"/>
            <w:vAlign w:val="bottom"/>
          </w:tcPr>
          <w:p>
            <w:pPr>
              <w:spacing w:after="0"/>
              <w:rPr>
                <w:sz w:val="19"/>
                <w:szCs w:val="19"/>
                <w:color w:val="auto"/>
              </w:rPr>
            </w:pPr>
          </w:p>
        </w:tc>
        <w:tc>
          <w:tcPr>
            <w:tcW w:w="146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2"/>
              </w:rPr>
              <w:t>(Years)</w:t>
            </w:r>
          </w:p>
        </w:tc>
        <w:tc>
          <w:tcPr>
            <w:tcW w:w="140" w:type="dxa"/>
            <w:vAlign w:val="bottom"/>
          </w:tcPr>
          <w:p>
            <w:pPr>
              <w:spacing w:after="0"/>
              <w:rPr>
                <w:sz w:val="19"/>
                <w:szCs w:val="19"/>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Amount</w:t>
            </w:r>
          </w:p>
        </w:tc>
        <w:tc>
          <w:tcPr>
            <w:tcW w:w="120" w:type="dxa"/>
            <w:vAlign w:val="bottom"/>
          </w:tcPr>
          <w:p>
            <w:pPr>
              <w:spacing w:after="0"/>
              <w:rPr>
                <w:sz w:val="19"/>
                <w:szCs w:val="19"/>
                <w:color w:val="auto"/>
              </w:rPr>
            </w:pPr>
          </w:p>
        </w:tc>
        <w:tc>
          <w:tcPr>
            <w:tcW w:w="128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Amortization</w:t>
            </w:r>
          </w:p>
        </w:tc>
        <w:tc>
          <w:tcPr>
            <w:tcW w:w="160" w:type="dxa"/>
            <w:vAlign w:val="bottom"/>
          </w:tcPr>
          <w:p>
            <w:pPr>
              <w:spacing w:after="0"/>
              <w:rPr>
                <w:sz w:val="19"/>
                <w:szCs w:val="19"/>
                <w:color w:val="auto"/>
              </w:rPr>
            </w:pPr>
          </w:p>
        </w:tc>
        <w:tc>
          <w:tcPr>
            <w:tcW w:w="720" w:type="dxa"/>
            <w:vAlign w:val="bottom"/>
            <w:gridSpan w:val="2"/>
          </w:tcPr>
          <w:p>
            <w:pPr>
              <w:ind w:left="80"/>
              <w:spacing w:after="0"/>
              <w:rPr>
                <w:sz w:val="20"/>
                <w:szCs w:val="20"/>
                <w:color w:val="auto"/>
              </w:rPr>
            </w:pPr>
            <w:r>
              <w:rPr>
                <w:rFonts w:ascii="Arial" w:cs="Arial" w:eastAsia="Arial" w:hAnsi="Arial"/>
                <w:sz w:val="16"/>
                <w:szCs w:val="16"/>
                <w:b w:val="1"/>
                <w:bCs w:val="1"/>
                <w:color w:val="auto"/>
              </w:rPr>
              <w:t>Net</w:t>
            </w:r>
          </w:p>
        </w:tc>
        <w:tc>
          <w:tcPr>
            <w:tcW w:w="120" w:type="dxa"/>
            <w:vAlign w:val="bottom"/>
          </w:tcPr>
          <w:p>
            <w:pPr>
              <w:spacing w:after="0"/>
              <w:rPr>
                <w:sz w:val="19"/>
                <w:szCs w:val="19"/>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5"/>
              </w:rPr>
              <w:t>Amount</w:t>
            </w:r>
          </w:p>
        </w:tc>
        <w:tc>
          <w:tcPr>
            <w:tcW w:w="120" w:type="dxa"/>
            <w:vAlign w:val="bottom"/>
          </w:tcPr>
          <w:p>
            <w:pPr>
              <w:spacing w:after="0"/>
              <w:rPr>
                <w:sz w:val="19"/>
                <w:szCs w:val="19"/>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Amortization</w:t>
            </w:r>
          </w:p>
        </w:tc>
        <w:tc>
          <w:tcPr>
            <w:tcW w:w="160" w:type="dxa"/>
            <w:vAlign w:val="bottom"/>
          </w:tcPr>
          <w:p>
            <w:pPr>
              <w:spacing w:after="0"/>
              <w:rPr>
                <w:sz w:val="19"/>
                <w:szCs w:val="19"/>
                <w:color w:val="auto"/>
              </w:rPr>
            </w:pPr>
          </w:p>
        </w:tc>
        <w:tc>
          <w:tcPr>
            <w:tcW w:w="700" w:type="dxa"/>
            <w:vAlign w:val="bottom"/>
            <w:gridSpan w:val="2"/>
          </w:tcPr>
          <w:p>
            <w:pPr>
              <w:ind w:left="80"/>
              <w:spacing w:after="0"/>
              <w:rPr>
                <w:sz w:val="20"/>
                <w:szCs w:val="20"/>
                <w:color w:val="auto"/>
              </w:rPr>
            </w:pPr>
            <w:r>
              <w:rPr>
                <w:rFonts w:ascii="Arial" w:cs="Arial" w:eastAsia="Arial" w:hAnsi="Arial"/>
                <w:sz w:val="16"/>
                <w:szCs w:val="16"/>
                <w:b w:val="1"/>
                <w:bCs w:val="1"/>
                <w:color w:val="auto"/>
              </w:rPr>
              <w:t>Net</w:t>
            </w:r>
          </w:p>
        </w:tc>
      </w:tr>
      <w:tr>
        <w:trPr>
          <w:trHeight w:val="213"/>
        </w:trPr>
        <w:tc>
          <w:tcPr>
            <w:tcW w:w="2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Developed technology</w:t>
            </w:r>
          </w:p>
        </w:tc>
        <w:tc>
          <w:tcPr>
            <w:tcW w:w="1420" w:type="dxa"/>
            <w:vAlign w:val="bottom"/>
            <w:tcBorders>
              <w:top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b w:val="1"/>
                <w:bCs w:val="1"/>
                <w:color w:val="auto"/>
              </w:rPr>
              <w:t>7 - 10</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2,131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982</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1,149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928</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1,203</w:t>
            </w:r>
          </w:p>
        </w:tc>
        <w:tc>
          <w:tcPr>
            <w:tcW w:w="120" w:type="dxa"/>
            <w:vAlign w:val="bottom"/>
            <w:tcBorders>
              <w:top w:val="single" w:sz="8" w:color="CCEEFF"/>
            </w:tcBorders>
            <w:shd w:val="clear" w:color="auto" w:fill="CCEEFF"/>
          </w:tcPr>
          <w:p>
            <w:pPr>
              <w:spacing w:after="0"/>
              <w:rPr>
                <w:sz w:val="18"/>
                <w:szCs w:val="18"/>
                <w:color w:val="auto"/>
              </w:rPr>
            </w:pPr>
          </w:p>
        </w:tc>
      </w:tr>
      <w:tr>
        <w:trPr>
          <w:trHeight w:val="213"/>
        </w:trPr>
        <w:tc>
          <w:tcPr>
            <w:tcW w:w="2200" w:type="dxa"/>
            <w:vAlign w:val="bottom"/>
          </w:tcPr>
          <w:p>
            <w:pPr>
              <w:spacing w:after="0"/>
              <w:rPr>
                <w:sz w:val="20"/>
                <w:szCs w:val="20"/>
                <w:color w:val="auto"/>
              </w:rPr>
            </w:pPr>
            <w:r>
              <w:rPr>
                <w:rFonts w:ascii="Arial" w:cs="Arial" w:eastAsia="Arial" w:hAnsi="Arial"/>
                <w:sz w:val="16"/>
                <w:szCs w:val="16"/>
                <w:color w:val="auto"/>
              </w:rPr>
              <w:t>Customer relationships</w:t>
            </w:r>
          </w:p>
        </w:tc>
        <w:tc>
          <w:tcPr>
            <w:tcW w:w="1420" w:type="dxa"/>
            <w:vAlign w:val="bottom"/>
          </w:tcPr>
          <w:p>
            <w:pPr>
              <w:jc w:val="right"/>
              <w:ind w:right="599"/>
              <w:spacing w:after="0"/>
              <w:rPr>
                <w:sz w:val="20"/>
                <w:szCs w:val="20"/>
                <w:color w:val="auto"/>
              </w:rPr>
            </w:pPr>
            <w:r>
              <w:rPr>
                <w:rFonts w:ascii="Arial" w:cs="Arial" w:eastAsia="Arial" w:hAnsi="Arial"/>
                <w:sz w:val="16"/>
                <w:szCs w:val="16"/>
                <w:b w:val="1"/>
                <w:bCs w:val="1"/>
                <w:color w:val="auto"/>
              </w:rPr>
              <w:t>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810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456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354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431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379</w:t>
            </w:r>
          </w:p>
        </w:tc>
        <w:tc>
          <w:tcPr>
            <w:tcW w:w="120" w:type="dxa"/>
            <w:vAlign w:val="bottom"/>
          </w:tcPr>
          <w:p>
            <w:pPr>
              <w:spacing w:after="0"/>
              <w:rPr>
                <w:sz w:val="18"/>
                <w:szCs w:val="18"/>
                <w:color w:val="auto"/>
              </w:rPr>
            </w:pPr>
          </w:p>
        </w:tc>
      </w:tr>
      <w:tr>
        <w:trPr>
          <w:trHeight w:val="219"/>
        </w:trPr>
        <w:tc>
          <w:tcPr>
            <w:tcW w:w="2200" w:type="dxa"/>
            <w:vAlign w:val="bottom"/>
            <w:shd w:val="clear" w:color="auto" w:fill="CCEEFF"/>
          </w:tcPr>
          <w:p>
            <w:pPr>
              <w:spacing w:after="0"/>
              <w:rPr>
                <w:sz w:val="20"/>
                <w:szCs w:val="20"/>
                <w:color w:val="auto"/>
              </w:rPr>
            </w:pPr>
            <w:r>
              <w:rPr>
                <w:rFonts w:ascii="Arial" w:cs="Arial" w:eastAsia="Arial" w:hAnsi="Arial"/>
                <w:sz w:val="16"/>
                <w:szCs w:val="16"/>
                <w:color w:val="auto"/>
              </w:rPr>
              <w:t>Other intangibles</w:t>
            </w:r>
          </w:p>
        </w:tc>
        <w:tc>
          <w:tcPr>
            <w:tcW w:w="1460" w:type="dxa"/>
            <w:vAlign w:val="bottom"/>
            <w:gridSpan w:val="2"/>
            <w:shd w:val="clear" w:color="auto" w:fill="CCEEFF"/>
          </w:tcPr>
          <w:p>
            <w:pPr>
              <w:jc w:val="center"/>
              <w:ind w:right="40"/>
              <w:spacing w:after="0"/>
              <w:rPr>
                <w:sz w:val="20"/>
                <w:szCs w:val="20"/>
                <w:color w:val="auto"/>
              </w:rPr>
            </w:pPr>
            <w:r>
              <w:rPr>
                <w:rFonts w:ascii="Arial" w:cs="Arial" w:eastAsia="Arial" w:hAnsi="Arial"/>
                <w:sz w:val="16"/>
                <w:szCs w:val="16"/>
                <w:b w:val="1"/>
                <w:bCs w:val="1"/>
                <w:color w:val="auto"/>
                <w:w w:val="94"/>
              </w:rPr>
              <w:t>n/a</w:t>
            </w: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r>
      <w:tr>
        <w:trPr>
          <w:trHeight w:val="207"/>
        </w:trPr>
        <w:tc>
          <w:tcPr>
            <w:tcW w:w="2200" w:type="dxa"/>
            <w:vAlign w:val="bottom"/>
          </w:tcPr>
          <w:p>
            <w:pPr>
              <w:spacing w:after="0"/>
              <w:rPr>
                <w:sz w:val="20"/>
                <w:szCs w:val="20"/>
                <w:color w:val="auto"/>
              </w:rPr>
            </w:pPr>
            <w:r>
              <w:rPr>
                <w:rFonts w:ascii="Arial" w:cs="Arial" w:eastAsia="Arial" w:hAnsi="Arial"/>
                <w:sz w:val="16"/>
                <w:szCs w:val="16"/>
                <w:color w:val="auto"/>
              </w:rPr>
              <w:t>Total</w:t>
            </w:r>
          </w:p>
        </w:tc>
        <w:tc>
          <w:tcPr>
            <w:tcW w:w="1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2,941</w:t>
            </w:r>
          </w:p>
        </w:tc>
        <w:tc>
          <w:tcPr>
            <w:tcW w:w="1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1,438</w:t>
            </w:r>
          </w:p>
        </w:tc>
        <w:tc>
          <w:tcPr>
            <w:tcW w:w="16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1,503</w:t>
            </w:r>
          </w:p>
        </w:tc>
        <w:tc>
          <w:tcPr>
            <w:tcW w:w="1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2,944</w:t>
            </w:r>
          </w:p>
        </w:tc>
        <w:tc>
          <w:tcPr>
            <w:tcW w:w="1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1,361</w:t>
            </w:r>
          </w:p>
        </w:tc>
        <w:tc>
          <w:tcPr>
            <w:tcW w:w="16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1,583</w:t>
            </w:r>
          </w:p>
        </w:tc>
        <w:tc>
          <w:tcPr>
            <w:tcW w:w="120" w:type="dxa"/>
            <w:vAlign w:val="bottom"/>
          </w:tcPr>
          <w:p>
            <w:pPr>
              <w:spacing w:after="0"/>
              <w:rPr>
                <w:sz w:val="17"/>
                <w:szCs w:val="17"/>
                <w:color w:val="auto"/>
              </w:rPr>
            </w:pPr>
          </w:p>
        </w:tc>
      </w:tr>
      <w:tr>
        <w:trPr>
          <w:trHeight w:val="20"/>
        </w:trPr>
        <w:tc>
          <w:tcPr>
            <w:tcW w:w="2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Amortization of acquisition-related intangibles was $80 million for the three months ended March 31, 2016, and March 31, 2015, primarily related to developed technology. Fully amortized assets are written off against accumulated amortization.</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Postretirement benefit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Expense related to defined benefit and retiree health care benefit plans was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b w:val="1"/>
                <w:bCs w:val="1"/>
                <w:color w:val="auto"/>
                <w:w w:val="89"/>
              </w:rPr>
              <w:t>U.S.</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b w:val="1"/>
                <w:bCs w:val="1"/>
                <w:color w:val="auto"/>
              </w:rPr>
              <w:t>U.S.</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6"/>
                <w:szCs w:val="16"/>
                <w:b w:val="1"/>
                <w:bCs w:val="1"/>
                <w:color w:val="auto"/>
              </w:rPr>
              <w:t>Non-U.S.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5"/>
          </w:tcPr>
          <w:p>
            <w:pPr>
              <w:jc w:val="right"/>
              <w:ind w:right="620"/>
              <w:spacing w:after="0"/>
              <w:rPr>
                <w:sz w:val="20"/>
                <w:szCs w:val="20"/>
                <w:color w:val="auto"/>
              </w:rPr>
            </w:pPr>
            <w:r>
              <w:rPr>
                <w:rFonts w:ascii="Arial" w:cs="Arial" w:eastAsia="Arial" w:hAnsi="Arial"/>
                <w:sz w:val="16"/>
                <w:szCs w:val="16"/>
                <w:b w:val="1"/>
                <w:bCs w:val="1"/>
                <w:color w:val="auto"/>
              </w:rPr>
              <w:t>Defined Benefit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4"/>
          </w:tcPr>
          <w:p>
            <w:pPr>
              <w:jc w:val="right"/>
              <w:spacing w:after="0"/>
              <w:rPr>
                <w:sz w:val="20"/>
                <w:szCs w:val="20"/>
                <w:color w:val="auto"/>
              </w:rPr>
            </w:pPr>
            <w:r>
              <w:rPr>
                <w:rFonts w:ascii="Arial" w:cs="Arial" w:eastAsia="Arial" w:hAnsi="Arial"/>
                <w:sz w:val="16"/>
                <w:szCs w:val="16"/>
                <w:b w:val="1"/>
                <w:bCs w:val="1"/>
                <w:color w:val="auto"/>
              </w:rPr>
              <w:t>Retiree Health Care</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5"/>
          </w:tcPr>
          <w:p>
            <w:pPr>
              <w:jc w:val="right"/>
              <w:ind w:right="580"/>
              <w:spacing w:after="0"/>
              <w:rPr>
                <w:sz w:val="20"/>
                <w:szCs w:val="20"/>
                <w:color w:val="auto"/>
              </w:rPr>
            </w:pPr>
            <w:r>
              <w:rPr>
                <w:rFonts w:ascii="Arial" w:cs="Arial" w:eastAsia="Arial" w:hAnsi="Arial"/>
                <w:sz w:val="16"/>
                <w:szCs w:val="16"/>
                <w:b w:val="1"/>
                <w:bCs w:val="1"/>
                <w:color w:val="auto"/>
              </w:rPr>
              <w:t>Defined Benefit</w:t>
            </w:r>
          </w:p>
        </w:tc>
      </w:tr>
      <w:tr>
        <w:trPr>
          <w:trHeight w:val="213"/>
        </w:trPr>
        <w:tc>
          <w:tcPr>
            <w:tcW w:w="374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For Three Months Ended March 31,</w:t>
            </w:r>
          </w:p>
        </w:tc>
        <w:tc>
          <w:tcPr>
            <w:tcW w:w="10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2016</w:t>
            </w:r>
          </w:p>
        </w:tc>
        <w:tc>
          <w:tcPr>
            <w:tcW w:w="30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2015</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2016</w:t>
            </w:r>
          </w:p>
        </w:tc>
        <w:tc>
          <w:tcPr>
            <w:tcW w:w="28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2015</w:t>
            </w:r>
          </w:p>
        </w:tc>
        <w:tc>
          <w:tcPr>
            <w:tcW w:w="220" w:type="dxa"/>
            <w:vAlign w:val="bottom"/>
            <w:tcBorders>
              <w:top w:val="single" w:sz="8" w:color="auto"/>
              <w:bottom w:val="single" w:sz="8" w:color="auto"/>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2016</w:t>
            </w:r>
          </w:p>
        </w:tc>
        <w:tc>
          <w:tcPr>
            <w:tcW w:w="30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95"/>
              </w:rPr>
              <w:t>2015</w:t>
            </w:r>
          </w:p>
        </w:tc>
        <w:tc>
          <w:tcPr>
            <w:tcW w:w="100" w:type="dxa"/>
            <w:vAlign w:val="bottom"/>
            <w:tcBorders>
              <w:bottom w:val="single" w:sz="8" w:color="CCEEFF"/>
            </w:tcBorders>
          </w:tcPr>
          <w:p>
            <w:pPr>
              <w:spacing w:after="0"/>
              <w:rPr>
                <w:sz w:val="18"/>
                <w:szCs w:val="18"/>
                <w:color w:val="auto"/>
              </w:rPr>
            </w:pPr>
          </w:p>
        </w:tc>
      </w:tr>
      <w:tr>
        <w:trPr>
          <w:trHeight w:val="212"/>
        </w:trPr>
        <w:tc>
          <w:tcPr>
            <w:tcW w:w="3740" w:type="dxa"/>
            <w:vAlign w:val="bottom"/>
            <w:shd w:val="clear" w:color="auto" w:fill="CCEEFF"/>
          </w:tcPr>
          <w:p>
            <w:pPr>
              <w:spacing w:after="0"/>
              <w:rPr>
                <w:sz w:val="20"/>
                <w:szCs w:val="20"/>
                <w:color w:val="auto"/>
              </w:rPr>
            </w:pPr>
            <w:r>
              <w:rPr>
                <w:rFonts w:ascii="Arial" w:cs="Arial" w:eastAsia="Arial" w:hAnsi="Arial"/>
                <w:sz w:val="16"/>
                <w:szCs w:val="16"/>
                <w:color w:val="auto"/>
              </w:rPr>
              <w:t>Service cost</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r>
      <w:tr>
        <w:trPr>
          <w:trHeight w:val="213"/>
        </w:trPr>
        <w:tc>
          <w:tcPr>
            <w:tcW w:w="3740" w:type="dxa"/>
            <w:vAlign w:val="bottom"/>
          </w:tcPr>
          <w:p>
            <w:pPr>
              <w:spacing w:after="0"/>
              <w:rPr>
                <w:sz w:val="20"/>
                <w:szCs w:val="20"/>
                <w:color w:val="auto"/>
              </w:rPr>
            </w:pPr>
            <w:r>
              <w:rPr>
                <w:rFonts w:ascii="Arial" w:cs="Arial" w:eastAsia="Arial" w:hAnsi="Arial"/>
                <w:sz w:val="16"/>
                <w:szCs w:val="16"/>
                <w:color w:val="auto"/>
              </w:rPr>
              <w:t>Interest cost</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5</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5</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13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r>
      <w:tr>
        <w:trPr>
          <w:trHeight w:val="219"/>
        </w:trPr>
        <w:tc>
          <w:tcPr>
            <w:tcW w:w="3740" w:type="dxa"/>
            <w:vAlign w:val="bottom"/>
            <w:shd w:val="clear" w:color="auto" w:fill="CCEEFF"/>
          </w:tcPr>
          <w:p>
            <w:pPr>
              <w:spacing w:after="0"/>
              <w:rPr>
                <w:sz w:val="20"/>
                <w:szCs w:val="20"/>
                <w:color w:val="auto"/>
              </w:rPr>
            </w:pPr>
            <w:r>
              <w:rPr>
                <w:rFonts w:ascii="Arial" w:cs="Arial" w:eastAsia="Arial" w:hAnsi="Arial"/>
                <w:sz w:val="16"/>
                <w:szCs w:val="16"/>
                <w:color w:val="auto"/>
              </w:rPr>
              <w:t>Expected return on plan assets</w:t>
            </w: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(10)</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(5)</w:t>
            </w:r>
          </w:p>
        </w:tc>
        <w:tc>
          <w:tcPr>
            <w:tcW w:w="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(17)</w:t>
            </w:r>
          </w:p>
        </w:tc>
        <w:tc>
          <w:tcPr>
            <w:tcW w:w="2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(19)</w:t>
            </w:r>
          </w:p>
        </w:tc>
      </w:tr>
      <w:tr>
        <w:trPr>
          <w:trHeight w:val="213"/>
        </w:trPr>
        <w:tc>
          <w:tcPr>
            <w:tcW w:w="3740" w:type="dxa"/>
            <w:vAlign w:val="bottom"/>
          </w:tcPr>
          <w:p>
            <w:pPr>
              <w:spacing w:after="0"/>
              <w:rPr>
                <w:sz w:val="20"/>
                <w:szCs w:val="20"/>
                <w:color w:val="auto"/>
              </w:rPr>
            </w:pPr>
            <w:r>
              <w:rPr>
                <w:rFonts w:ascii="Arial" w:cs="Arial" w:eastAsia="Arial" w:hAnsi="Arial"/>
                <w:sz w:val="16"/>
                <w:szCs w:val="16"/>
                <w:color w:val="auto"/>
              </w:rPr>
              <w:t>Recognized net actuarial loss</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6</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r>
      <w:tr>
        <w:trPr>
          <w:trHeight w:val="219"/>
        </w:trPr>
        <w:tc>
          <w:tcPr>
            <w:tcW w:w="3740" w:type="dxa"/>
            <w:vAlign w:val="bottom"/>
            <w:shd w:val="clear" w:color="auto" w:fill="CCEEFF"/>
          </w:tcPr>
          <w:p>
            <w:pPr>
              <w:spacing w:after="0"/>
              <w:rPr>
                <w:sz w:val="20"/>
                <w:szCs w:val="20"/>
                <w:color w:val="auto"/>
              </w:rPr>
            </w:pPr>
            <w:r>
              <w:rPr>
                <w:rFonts w:ascii="Arial" w:cs="Arial" w:eastAsia="Arial" w:hAnsi="Arial"/>
                <w:sz w:val="16"/>
                <w:szCs w:val="16"/>
                <w:color w:val="auto"/>
              </w:rPr>
              <w:t>Amortization of prior service cost (credit)</w:t>
            </w: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w:t>
            </w:r>
          </w:p>
        </w:tc>
        <w:tc>
          <w:tcPr>
            <w:tcW w:w="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207"/>
        </w:trPr>
        <w:tc>
          <w:tcPr>
            <w:tcW w:w="3740" w:type="dxa"/>
            <w:vAlign w:val="bottom"/>
          </w:tcPr>
          <w:p>
            <w:pPr>
              <w:spacing w:after="0"/>
              <w:rPr>
                <w:sz w:val="20"/>
                <w:szCs w:val="20"/>
                <w:color w:val="auto"/>
              </w:rPr>
            </w:pPr>
            <w:r>
              <w:rPr>
                <w:rFonts w:ascii="Arial" w:cs="Arial" w:eastAsia="Arial" w:hAnsi="Arial"/>
                <w:sz w:val="16"/>
                <w:szCs w:val="16"/>
                <w:color w:val="auto"/>
              </w:rPr>
              <w:t>Net periodic benefit costs</w:t>
            </w:r>
          </w:p>
        </w:tc>
        <w:tc>
          <w:tcPr>
            <w:tcW w:w="10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w:t>
            </w:r>
          </w:p>
        </w:tc>
        <w:tc>
          <w:tcPr>
            <w:tcW w:w="3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3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w:t>
            </w:r>
          </w:p>
        </w:tc>
        <w:tc>
          <w:tcPr>
            <w:tcW w:w="3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7"/>
                <w:szCs w:val="17"/>
                <w:color w:val="auto"/>
              </w:rPr>
            </w:pPr>
          </w:p>
        </w:tc>
      </w:tr>
      <w:tr>
        <w:trPr>
          <w:trHeight w:val="219"/>
        </w:trPr>
        <w:tc>
          <w:tcPr>
            <w:tcW w:w="3740" w:type="dxa"/>
            <w:vAlign w:val="bottom"/>
            <w:shd w:val="clear" w:color="auto" w:fill="CCEEFF"/>
          </w:tcPr>
          <w:p>
            <w:pPr>
              <w:spacing w:after="0"/>
              <w:rPr>
                <w:sz w:val="20"/>
                <w:szCs w:val="20"/>
                <w:color w:val="auto"/>
              </w:rPr>
            </w:pPr>
            <w:r>
              <w:rPr>
                <w:rFonts w:ascii="Arial" w:cs="Arial" w:eastAsia="Arial" w:hAnsi="Arial"/>
                <w:sz w:val="16"/>
                <w:szCs w:val="16"/>
                <w:color w:val="auto"/>
              </w:rPr>
              <w:t>Settlement losses</w:t>
            </w:r>
          </w:p>
        </w:tc>
        <w:tc>
          <w:tcPr>
            <w:tcW w:w="10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w:t>
            </w:r>
          </w:p>
        </w:tc>
        <w:tc>
          <w:tcPr>
            <w:tcW w:w="3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3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r>
      <w:tr>
        <w:trPr>
          <w:trHeight w:val="207"/>
        </w:trPr>
        <w:tc>
          <w:tcPr>
            <w:tcW w:w="3740" w:type="dxa"/>
            <w:vAlign w:val="bottom"/>
          </w:tcPr>
          <w:p>
            <w:pPr>
              <w:spacing w:after="0"/>
              <w:rPr>
                <w:sz w:val="20"/>
                <w:szCs w:val="20"/>
                <w:color w:val="auto"/>
              </w:rPr>
            </w:pPr>
            <w:r>
              <w:rPr>
                <w:rFonts w:ascii="Arial" w:cs="Arial" w:eastAsia="Arial" w:hAnsi="Arial"/>
                <w:sz w:val="16"/>
                <w:szCs w:val="16"/>
                <w:color w:val="auto"/>
              </w:rPr>
              <w:t>Total</w:t>
            </w:r>
          </w:p>
        </w:tc>
        <w:tc>
          <w:tcPr>
            <w:tcW w:w="102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17</w:t>
            </w:r>
          </w:p>
        </w:tc>
        <w:tc>
          <w:tcPr>
            <w:tcW w:w="30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280" w:type="dxa"/>
            <w:vAlign w:val="bottom"/>
          </w:tcPr>
          <w:p>
            <w:pPr>
              <w:spacing w:after="0"/>
              <w:rPr>
                <w:sz w:val="17"/>
                <w:szCs w:val="17"/>
                <w:color w:val="auto"/>
              </w:rPr>
            </w:pPr>
          </w:p>
        </w:tc>
        <w:tc>
          <w:tcPr>
            <w:tcW w:w="620" w:type="dxa"/>
            <w:vAlign w:val="bottom"/>
            <w:gridSpan w:val="2"/>
          </w:tcPr>
          <w:p>
            <w:pPr>
              <w:jc w:val="right"/>
              <w:ind w:right="439"/>
              <w:spacing w:after="0"/>
              <w:rPr>
                <w:sz w:val="20"/>
                <w:szCs w:val="20"/>
                <w:color w:val="auto"/>
              </w:rPr>
            </w:pPr>
            <w:r>
              <w:rPr>
                <w:rFonts w:ascii="Arial" w:cs="Arial" w:eastAsia="Arial" w:hAnsi="Arial"/>
                <w:sz w:val="16"/>
                <w:szCs w:val="16"/>
                <w:color w:val="auto"/>
                <w:w w:val="89"/>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4</w:t>
            </w:r>
          </w:p>
        </w:tc>
        <w:tc>
          <w:tcPr>
            <w:tcW w:w="30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11</w:t>
            </w:r>
          </w:p>
        </w:tc>
        <w:tc>
          <w:tcPr>
            <w:tcW w:w="300" w:type="dxa"/>
            <w:vAlign w:val="bottom"/>
          </w:tcPr>
          <w:p>
            <w:pPr>
              <w:spacing w:after="0"/>
              <w:rPr>
                <w:sz w:val="17"/>
                <w:szCs w:val="17"/>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7"/>
                <w:szCs w:val="17"/>
                <w:color w:val="auto"/>
              </w:rPr>
            </w:pPr>
          </w:p>
        </w:tc>
      </w:tr>
      <w:tr>
        <w:trPr>
          <w:trHeight w:val="20"/>
        </w:trPr>
        <w:tc>
          <w:tcPr>
            <w:tcW w:w="37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 and lines of credit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borrowings</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maintain a line of credit to support commercial paper borrowings, if any, and to provide additional liquidity through bank loans. As of March 31, 2016, we had a variable-rate revolving credit facility from a consortium of investment-grade banks that allows us to borrow up to $2 billion until March 2021. The interest rate on borrowings under this credit facility, if drawn, is indexed to the applicable London Interbank Offered Rate (LIBOR). As of March 31, 2016, our credit facility was undrawn and we had no commercial paper outstanding.</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Long-term debt outstanding as of March 31, 2016, and December 31, 2015 is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March 31,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w w:val="94"/>
              </w:rPr>
              <w:t>December 31,</w:t>
            </w:r>
          </w:p>
        </w:tc>
      </w:tr>
      <w:tr>
        <w:trPr>
          <w:trHeight w:val="219"/>
        </w:trPr>
        <w:tc>
          <w:tcPr>
            <w:tcW w:w="81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2016</w:t>
            </w:r>
          </w:p>
        </w:tc>
        <w:tc>
          <w:tcPr>
            <w:tcW w:w="24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CCEEFF"/>
            </w:tcBorders>
          </w:tcPr>
          <w:p>
            <w:pPr>
              <w:spacing w:after="0"/>
              <w:rPr>
                <w:sz w:val="19"/>
                <w:szCs w:val="19"/>
                <w:color w:val="auto"/>
              </w:rPr>
            </w:pPr>
          </w:p>
        </w:tc>
      </w:tr>
      <w:tr>
        <w:trPr>
          <w:trHeight w:val="213"/>
        </w:trPr>
        <w:tc>
          <w:tcPr>
            <w:tcW w:w="8180" w:type="dxa"/>
            <w:vAlign w:val="bottom"/>
            <w:shd w:val="clear" w:color="auto" w:fill="CCEEFF"/>
          </w:tcPr>
          <w:p>
            <w:pPr>
              <w:spacing w:after="0"/>
              <w:rPr>
                <w:sz w:val="20"/>
                <w:szCs w:val="20"/>
                <w:color w:val="auto"/>
              </w:rPr>
            </w:pPr>
            <w:r>
              <w:rPr>
                <w:rFonts w:ascii="Arial" w:cs="Arial" w:eastAsia="Arial" w:hAnsi="Arial"/>
                <w:sz w:val="16"/>
                <w:szCs w:val="16"/>
                <w:color w:val="auto"/>
              </w:rPr>
              <w:t>Notes due 2016 at 2.375%</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1,000</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shd w:val="clear" w:color="auto" w:fill="CCEEFF"/>
          </w:tcPr>
          <w:p>
            <w:pPr>
              <w:spacing w:after="0"/>
              <w:rPr>
                <w:sz w:val="18"/>
                <w:szCs w:val="18"/>
                <w:color w:val="auto"/>
              </w:rPr>
            </w:pPr>
          </w:p>
        </w:tc>
      </w:tr>
      <w:tr>
        <w:trPr>
          <w:trHeight w:val="213"/>
        </w:trPr>
        <w:tc>
          <w:tcPr>
            <w:tcW w:w="8180" w:type="dxa"/>
            <w:vAlign w:val="bottom"/>
          </w:tcPr>
          <w:p>
            <w:pPr>
              <w:spacing w:after="0"/>
              <w:rPr>
                <w:sz w:val="20"/>
                <w:szCs w:val="20"/>
                <w:color w:val="auto"/>
              </w:rPr>
            </w:pPr>
            <w:r>
              <w:rPr>
                <w:rFonts w:ascii="Arial" w:cs="Arial" w:eastAsia="Arial" w:hAnsi="Arial"/>
                <w:sz w:val="16"/>
                <w:szCs w:val="16"/>
                <w:color w:val="auto"/>
              </w:rPr>
              <w:t>Notes due 2017 at 0.875%</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250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250</w:t>
            </w:r>
          </w:p>
        </w:tc>
        <w:tc>
          <w:tcPr>
            <w:tcW w:w="120" w:type="dxa"/>
            <w:vAlign w:val="bottom"/>
          </w:tcPr>
          <w:p>
            <w:pPr>
              <w:spacing w:after="0"/>
              <w:rPr>
                <w:sz w:val="18"/>
                <w:szCs w:val="18"/>
                <w:color w:val="auto"/>
              </w:rPr>
            </w:pPr>
          </w:p>
        </w:tc>
      </w:tr>
      <w:tr>
        <w:trPr>
          <w:trHeight w:val="219"/>
        </w:trPr>
        <w:tc>
          <w:tcPr>
            <w:tcW w:w="8180" w:type="dxa"/>
            <w:vAlign w:val="bottom"/>
            <w:shd w:val="clear" w:color="auto" w:fill="CCEEFF"/>
          </w:tcPr>
          <w:p>
            <w:pPr>
              <w:spacing w:after="0"/>
              <w:rPr>
                <w:sz w:val="20"/>
                <w:szCs w:val="20"/>
                <w:color w:val="auto"/>
              </w:rPr>
            </w:pPr>
            <w:r>
              <w:rPr>
                <w:rFonts w:ascii="Arial" w:cs="Arial" w:eastAsia="Arial" w:hAnsi="Arial"/>
                <w:sz w:val="16"/>
                <w:szCs w:val="16"/>
                <w:color w:val="auto"/>
              </w:rPr>
              <w:t>Notes due 2017 at 6.60% (assumed with National acquisition)</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375</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120" w:type="dxa"/>
            <w:vAlign w:val="bottom"/>
            <w:shd w:val="clear" w:color="auto" w:fill="CCEEFF"/>
          </w:tcPr>
          <w:p>
            <w:pPr>
              <w:spacing w:after="0"/>
              <w:rPr>
                <w:sz w:val="19"/>
                <w:szCs w:val="19"/>
                <w:color w:val="auto"/>
              </w:rPr>
            </w:pPr>
          </w:p>
        </w:tc>
      </w:tr>
      <w:tr>
        <w:trPr>
          <w:trHeight w:val="213"/>
        </w:trPr>
        <w:tc>
          <w:tcPr>
            <w:tcW w:w="8180" w:type="dxa"/>
            <w:vAlign w:val="bottom"/>
          </w:tcPr>
          <w:p>
            <w:pPr>
              <w:spacing w:after="0"/>
              <w:rPr>
                <w:sz w:val="20"/>
                <w:szCs w:val="20"/>
                <w:color w:val="auto"/>
              </w:rPr>
            </w:pPr>
            <w:r>
              <w:rPr>
                <w:rFonts w:ascii="Arial" w:cs="Arial" w:eastAsia="Arial" w:hAnsi="Arial"/>
                <w:sz w:val="16"/>
                <w:szCs w:val="16"/>
                <w:color w:val="auto"/>
              </w:rPr>
              <w:t>Notes due 2018 at 1.00%</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500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500</w:t>
            </w:r>
          </w:p>
        </w:tc>
        <w:tc>
          <w:tcPr>
            <w:tcW w:w="120" w:type="dxa"/>
            <w:vAlign w:val="bottom"/>
          </w:tcPr>
          <w:p>
            <w:pPr>
              <w:spacing w:after="0"/>
              <w:rPr>
                <w:sz w:val="18"/>
                <w:szCs w:val="18"/>
                <w:color w:val="auto"/>
              </w:rPr>
            </w:pPr>
          </w:p>
        </w:tc>
      </w:tr>
      <w:tr>
        <w:trPr>
          <w:trHeight w:val="219"/>
        </w:trPr>
        <w:tc>
          <w:tcPr>
            <w:tcW w:w="8180" w:type="dxa"/>
            <w:vAlign w:val="bottom"/>
            <w:shd w:val="clear" w:color="auto" w:fill="CCEEFF"/>
          </w:tcPr>
          <w:p>
            <w:pPr>
              <w:spacing w:after="0"/>
              <w:rPr>
                <w:sz w:val="20"/>
                <w:szCs w:val="20"/>
                <w:color w:val="auto"/>
              </w:rPr>
            </w:pPr>
            <w:r>
              <w:rPr>
                <w:rFonts w:ascii="Arial" w:cs="Arial" w:eastAsia="Arial" w:hAnsi="Arial"/>
                <w:sz w:val="16"/>
                <w:szCs w:val="16"/>
                <w:color w:val="auto"/>
              </w:rPr>
              <w:t>Notes due 2019 at 1.65%</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750</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120" w:type="dxa"/>
            <w:vAlign w:val="bottom"/>
            <w:shd w:val="clear" w:color="auto" w:fill="CCEEFF"/>
          </w:tcPr>
          <w:p>
            <w:pPr>
              <w:spacing w:after="0"/>
              <w:rPr>
                <w:sz w:val="19"/>
                <w:szCs w:val="19"/>
                <w:color w:val="auto"/>
              </w:rPr>
            </w:pPr>
          </w:p>
        </w:tc>
      </w:tr>
      <w:tr>
        <w:trPr>
          <w:trHeight w:val="213"/>
        </w:trPr>
        <w:tc>
          <w:tcPr>
            <w:tcW w:w="8180" w:type="dxa"/>
            <w:vAlign w:val="bottom"/>
          </w:tcPr>
          <w:p>
            <w:pPr>
              <w:spacing w:after="0"/>
              <w:rPr>
                <w:sz w:val="20"/>
                <w:szCs w:val="20"/>
                <w:color w:val="auto"/>
              </w:rPr>
            </w:pPr>
            <w:r>
              <w:rPr>
                <w:rFonts w:ascii="Arial" w:cs="Arial" w:eastAsia="Arial" w:hAnsi="Arial"/>
                <w:sz w:val="16"/>
                <w:szCs w:val="16"/>
                <w:color w:val="auto"/>
              </w:rPr>
              <w:t>Notes due 2020 at 1.75%</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500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500</w:t>
            </w:r>
          </w:p>
        </w:tc>
        <w:tc>
          <w:tcPr>
            <w:tcW w:w="120" w:type="dxa"/>
            <w:vAlign w:val="bottom"/>
          </w:tcPr>
          <w:p>
            <w:pPr>
              <w:spacing w:after="0"/>
              <w:rPr>
                <w:sz w:val="18"/>
                <w:szCs w:val="18"/>
                <w:color w:val="auto"/>
              </w:rPr>
            </w:pPr>
          </w:p>
        </w:tc>
      </w:tr>
      <w:tr>
        <w:trPr>
          <w:trHeight w:val="219"/>
        </w:trPr>
        <w:tc>
          <w:tcPr>
            <w:tcW w:w="8180" w:type="dxa"/>
            <w:vAlign w:val="bottom"/>
            <w:shd w:val="clear" w:color="auto" w:fill="CCEEFF"/>
          </w:tcPr>
          <w:p>
            <w:pPr>
              <w:spacing w:after="0"/>
              <w:rPr>
                <w:sz w:val="20"/>
                <w:szCs w:val="20"/>
                <w:color w:val="auto"/>
              </w:rPr>
            </w:pPr>
            <w:r>
              <w:rPr>
                <w:rFonts w:ascii="Arial" w:cs="Arial" w:eastAsia="Arial" w:hAnsi="Arial"/>
                <w:sz w:val="16"/>
                <w:szCs w:val="16"/>
                <w:color w:val="auto"/>
              </w:rPr>
              <w:t>Notes due 2021 at 2.75%</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250</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20" w:type="dxa"/>
            <w:vAlign w:val="bottom"/>
            <w:shd w:val="clear" w:color="auto" w:fill="CCEEFF"/>
          </w:tcPr>
          <w:p>
            <w:pPr>
              <w:spacing w:after="0"/>
              <w:rPr>
                <w:sz w:val="19"/>
                <w:szCs w:val="19"/>
                <w:color w:val="auto"/>
              </w:rPr>
            </w:pPr>
          </w:p>
        </w:tc>
      </w:tr>
      <w:tr>
        <w:trPr>
          <w:trHeight w:val="213"/>
        </w:trPr>
        <w:tc>
          <w:tcPr>
            <w:tcW w:w="81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Notes due 2023 at 2.25%</w:t>
            </w: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500</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w:t>
            </w:r>
          </w:p>
        </w:tc>
        <w:tc>
          <w:tcPr>
            <w:tcW w:w="120" w:type="dxa"/>
            <w:vAlign w:val="bottom"/>
            <w:tcBorders>
              <w:bottom w:val="single" w:sz="8" w:color="CCEEFF"/>
            </w:tcBorders>
          </w:tcPr>
          <w:p>
            <w:pPr>
              <w:spacing w:after="0"/>
              <w:rPr>
                <w:sz w:val="18"/>
                <w:szCs w:val="18"/>
                <w:color w:val="auto"/>
              </w:rPr>
            </w:pPr>
          </w:p>
        </w:tc>
      </w:tr>
      <w:tr>
        <w:trPr>
          <w:trHeight w:val="212"/>
        </w:trPr>
        <w:tc>
          <w:tcPr>
            <w:tcW w:w="8180" w:type="dxa"/>
            <w:vAlign w:val="bottom"/>
            <w:shd w:val="clear" w:color="auto" w:fill="CCEEFF"/>
          </w:tcPr>
          <w:p>
            <w:pPr>
              <w:spacing w:after="0"/>
              <w:rPr>
                <w:sz w:val="20"/>
                <w:szCs w:val="20"/>
                <w:color w:val="auto"/>
              </w:rPr>
            </w:pPr>
            <w:r>
              <w:rPr>
                <w:rFonts w:ascii="Arial" w:cs="Arial" w:eastAsia="Arial" w:hAnsi="Arial"/>
                <w:sz w:val="16"/>
                <w:szCs w:val="16"/>
                <w:color w:val="auto"/>
              </w:rPr>
              <w:t>Total debt</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4,125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4,125</w:t>
            </w:r>
          </w:p>
        </w:tc>
        <w:tc>
          <w:tcPr>
            <w:tcW w:w="120" w:type="dxa"/>
            <w:vAlign w:val="bottom"/>
            <w:shd w:val="clear" w:color="auto" w:fill="CCEEFF"/>
          </w:tcPr>
          <w:p>
            <w:pPr>
              <w:spacing w:after="0"/>
              <w:rPr>
                <w:sz w:val="18"/>
                <w:szCs w:val="18"/>
                <w:color w:val="auto"/>
              </w:rPr>
            </w:pPr>
          </w:p>
        </w:tc>
      </w:tr>
      <w:tr>
        <w:trPr>
          <w:trHeight w:val="213"/>
        </w:trPr>
        <w:tc>
          <w:tcPr>
            <w:tcW w:w="8180" w:type="dxa"/>
            <w:vAlign w:val="bottom"/>
          </w:tcPr>
          <w:p>
            <w:pPr>
              <w:spacing w:after="0"/>
              <w:rPr>
                <w:sz w:val="20"/>
                <w:szCs w:val="20"/>
                <w:color w:val="auto"/>
              </w:rPr>
            </w:pPr>
            <w:r>
              <w:rPr>
                <w:rFonts w:ascii="Arial" w:cs="Arial" w:eastAsia="Arial" w:hAnsi="Arial"/>
                <w:sz w:val="16"/>
                <w:szCs w:val="16"/>
                <w:color w:val="auto"/>
              </w:rPr>
              <w:t>Net unamortized discounts, premiums and debt issuance costs</w:t>
            </w:r>
          </w:p>
        </w:tc>
        <w:tc>
          <w:tcPr>
            <w:tcW w:w="2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(5)</w:t>
            </w:r>
          </w:p>
        </w:tc>
      </w:tr>
      <w:tr>
        <w:trPr>
          <w:trHeight w:val="212"/>
        </w:trPr>
        <w:tc>
          <w:tcPr>
            <w:tcW w:w="8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debt, including net unamortized discounts, premiums and debt issuance costs</w:t>
            </w:r>
          </w:p>
        </w:tc>
        <w:tc>
          <w:tcPr>
            <w:tcW w:w="2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4,118</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3"/>
        </w:trPr>
        <w:tc>
          <w:tcPr>
            <w:tcW w:w="8180" w:type="dxa"/>
            <w:vAlign w:val="bottom"/>
          </w:tcPr>
          <w:p>
            <w:pPr>
              <w:spacing w:after="0"/>
              <w:rPr>
                <w:sz w:val="20"/>
                <w:szCs w:val="20"/>
                <w:color w:val="auto"/>
              </w:rPr>
            </w:pPr>
            <w:r>
              <w:rPr>
                <w:rFonts w:ascii="Arial" w:cs="Arial" w:eastAsia="Arial" w:hAnsi="Arial"/>
                <w:sz w:val="16"/>
                <w:szCs w:val="16"/>
                <w:color w:val="auto"/>
              </w:rPr>
              <w:t>Current portion of long-term debt</w:t>
            </w:r>
          </w:p>
        </w:tc>
        <w:tc>
          <w:tcPr>
            <w:tcW w:w="2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(1,249)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(1,000)</w:t>
            </w:r>
          </w:p>
        </w:tc>
      </w:tr>
      <w:tr>
        <w:trPr>
          <w:trHeight w:val="210"/>
        </w:trPr>
        <w:tc>
          <w:tcPr>
            <w:tcW w:w="8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Long-term debt</w:t>
            </w: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2,869</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8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Interest and debt expense was $22 million for the three months ended March 31, 2016, and March 31, 2015. This was net of the amortization of the debt discounts, premiums and other debt issuance costs. Capitalized interest was not material.</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 guarantees</w:t>
      </w:r>
    </w:p>
    <w:p>
      <w:pPr>
        <w:spacing w:after="0" w:line="117"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We routinely sell products with an intellectual property indemnification included in the terms of sale. Historically, we have had only minimal, infrequent losses associated with these indemnities. Consequently, we cannot reasonably estimate any future liabilities that may result.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Warranty costs/product liabilities</w:t>
      </w:r>
    </w:p>
    <w:p>
      <w:pPr>
        <w:spacing w:after="0" w:line="117" w:lineRule="exact"/>
        <w:rPr>
          <w:sz w:val="20"/>
          <w:szCs w:val="20"/>
          <w:color w:val="auto"/>
        </w:rPr>
      </w:pPr>
    </w:p>
    <w:p>
      <w:pPr>
        <w:jc w:val="both"/>
        <w:ind w:right="100"/>
        <w:spacing w:after="0" w:line="276" w:lineRule="auto"/>
        <w:rPr>
          <w:sz w:val="20"/>
          <w:szCs w:val="20"/>
          <w:color w:val="auto"/>
        </w:rPr>
      </w:pPr>
      <w:r>
        <w:rPr>
          <w:rFonts w:ascii="Arial" w:cs="Arial" w:eastAsia="Arial" w:hAnsi="Arial"/>
          <w:sz w:val="17"/>
          <w:szCs w:val="17"/>
          <w:color w:val="auto"/>
        </w:rPr>
        <w:t>We accrue for known product-related claims if a loss is probable and can be reasonably estimated. During the periods presented, there have been no material accruals or payments regarding product warranty or product liability. Historically, we have experienced a low rate of payments on product claims. Although we cannot predict the likelihood or amount of any future claims, we do not believe they will have a material adverse effect on our financial condition, results of operations or liquidity. Typically, our warranties for semiconductor products obligate us to repair, replace or credit the purchase price of a covered product back to the buyer. Product claims may exceed the price of our products.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117"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We are subject to various legal and administrative proceedings. Although it is not possible to predict the outcome of these matters, we believe that the results of these proceedings will not have a material adverse effect on our financial condition, results of operations or liquidity.</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Supplemental financial information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charges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incurred various costs as a result of the 2011 acquisition of National Semiconductor Corporation (National) that are included in Other for segment reporting purposes, consistent with how management measures the performance of its segments. For the three months ended March 31, 2016, and March 31, 2015, Acquisition charges were primarily from the ongoing amortization of intangible assets resulting from the National acquisition. See Note 6 for additional information.</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Details on amounts reclassified out of Accumulated other comprehensive income (loss), net of taxes, to Net income</w:t>
      </w:r>
    </w:p>
    <w:p>
      <w:pPr>
        <w:spacing w:after="0" w:line="117"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Our Consolidated Statements of Comprehensive Income include items that have been recognized within Net income during the periods ended March 31, 2016, and March 31, 2015. The table below details where on the Consolidated Statements of Income these transactions are recorded.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940" w:type="dxa"/>
            <w:vAlign w:val="bottom"/>
            <w:gridSpan w:val="5"/>
          </w:tcPr>
          <w:p>
            <w:pPr>
              <w:jc w:val="right"/>
              <w:spacing w:after="0"/>
              <w:rPr>
                <w:sz w:val="20"/>
                <w:szCs w:val="20"/>
                <w:color w:val="auto"/>
              </w:rPr>
            </w:pPr>
            <w:r>
              <w:rPr>
                <w:rFonts w:ascii="Arial" w:cs="Arial" w:eastAsia="Arial" w:hAnsi="Arial"/>
                <w:sz w:val="16"/>
                <w:szCs w:val="16"/>
                <w:b w:val="1"/>
                <w:bCs w:val="1"/>
                <w:color w:val="auto"/>
              </w:rPr>
              <w:t>For Three Months Ended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4"/>
          </w:tcPr>
          <w:p>
            <w:pPr>
              <w:jc w:val="right"/>
              <w:ind w:right="540"/>
              <w:spacing w:after="0"/>
              <w:rPr>
                <w:sz w:val="20"/>
                <w:szCs w:val="20"/>
                <w:color w:val="auto"/>
              </w:rPr>
            </w:pPr>
            <w:r>
              <w:rPr>
                <w:rFonts w:ascii="Arial" w:cs="Arial" w:eastAsia="Arial" w:hAnsi="Arial"/>
                <w:sz w:val="16"/>
                <w:szCs w:val="16"/>
                <w:b w:val="1"/>
                <w:bCs w:val="1"/>
                <w:color w:val="auto"/>
                <w:w w:val="97"/>
              </w:rPr>
              <w:t>March 31,</w:t>
            </w:r>
          </w:p>
        </w:tc>
        <w:tc>
          <w:tcPr>
            <w:tcW w:w="1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100" w:type="dxa"/>
            <w:vAlign w:val="bottom"/>
          </w:tcPr>
          <w:p>
            <w:pPr>
              <w:jc w:val="center"/>
              <w:spacing w:after="0"/>
              <w:rPr>
                <w:sz w:val="20"/>
                <w:szCs w:val="20"/>
                <w:color w:val="auto"/>
              </w:rPr>
            </w:pPr>
            <w:r>
              <w:rPr>
                <w:rFonts w:ascii="Arial" w:cs="Arial" w:eastAsia="Arial" w:hAnsi="Arial"/>
                <w:sz w:val="16"/>
                <w:szCs w:val="16"/>
                <w:b w:val="1"/>
                <w:bCs w:val="1"/>
                <w:color w:val="auto"/>
                <w:w w:val="92"/>
              </w:rPr>
              <w:t>Impact to Related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2015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100" w:type="dxa"/>
            <w:vAlign w:val="bottom"/>
          </w:tcPr>
          <w:p>
            <w:pPr>
              <w:jc w:val="center"/>
              <w:spacing w:after="0"/>
              <w:rPr>
                <w:sz w:val="20"/>
                <w:szCs w:val="20"/>
                <w:color w:val="auto"/>
              </w:rPr>
            </w:pPr>
            <w:r>
              <w:rPr>
                <w:rFonts w:ascii="Arial" w:cs="Arial" w:eastAsia="Arial" w:hAnsi="Arial"/>
                <w:sz w:val="16"/>
                <w:szCs w:val="16"/>
                <w:b w:val="1"/>
                <w:bCs w:val="1"/>
                <w:color w:val="auto"/>
                <w:w w:val="89"/>
              </w:rPr>
              <w:t>Statements of Income Lines</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Net actuarial gains (losses) of defined benefit plans:</w:t>
            </w:r>
          </w:p>
        </w:tc>
        <w:tc>
          <w:tcPr>
            <w:tcW w:w="6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60" w:type="dxa"/>
            <w:vAlign w:val="bottom"/>
          </w:tcPr>
          <w:p>
            <w:pPr>
              <w:ind w:left="120"/>
              <w:spacing w:after="0"/>
              <w:rPr>
                <w:sz w:val="20"/>
                <w:szCs w:val="20"/>
                <w:color w:val="auto"/>
              </w:rPr>
            </w:pPr>
            <w:r>
              <w:rPr>
                <w:rFonts w:ascii="Arial" w:cs="Arial" w:eastAsia="Arial" w:hAnsi="Arial"/>
                <w:sz w:val="16"/>
                <w:szCs w:val="16"/>
                <w:color w:val="auto"/>
              </w:rPr>
              <w:t>Recognized net actuarial loss and Settlement losses (a)</w:t>
            </w:r>
          </w:p>
        </w:tc>
        <w:tc>
          <w:tcPr>
            <w:tcW w:w="660" w:type="dxa"/>
            <w:vAlign w:val="bottom"/>
          </w:tcPr>
          <w:p>
            <w:pPr>
              <w:jc w:val="right"/>
              <w:ind w:right="502"/>
              <w:spacing w:after="0"/>
              <w:rPr>
                <w:sz w:val="20"/>
                <w:szCs w:val="20"/>
                <w:color w:val="auto"/>
              </w:rPr>
            </w:pPr>
            <w:r>
              <w:rPr>
                <w:rFonts w:ascii="Arial" w:cs="Arial" w:eastAsia="Arial" w:hAnsi="Arial"/>
                <w:sz w:val="15"/>
                <w:szCs w:val="15"/>
                <w:b w:val="1"/>
                <w:bCs w:val="1"/>
                <w:color w:val="auto"/>
                <w:w w:val="71"/>
              </w:rPr>
              <w:t>$</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auto"/>
              </w:rPr>
              <w:t>20</w:t>
            </w:r>
          </w:p>
        </w:tc>
        <w:tc>
          <w:tcPr>
            <w:tcW w:w="120" w:type="dxa"/>
            <w:vAlign w:val="bottom"/>
          </w:tcPr>
          <w:p>
            <w:pPr>
              <w:spacing w:after="0"/>
              <w:rPr>
                <w:sz w:val="18"/>
                <w:szCs w:val="18"/>
                <w:color w:val="auto"/>
              </w:rPr>
            </w:pPr>
          </w:p>
        </w:tc>
        <w:tc>
          <w:tcPr>
            <w:tcW w:w="860" w:type="dxa"/>
            <w:vAlign w:val="bottom"/>
            <w:gridSpan w:val="2"/>
          </w:tcPr>
          <w:p>
            <w:pPr>
              <w:jc w:val="right"/>
              <w:ind w:right="7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78"/>
              </w:rPr>
              <w:t>14</w:t>
            </w:r>
          </w:p>
        </w:tc>
        <w:tc>
          <w:tcPr>
            <w:tcW w:w="140" w:type="dxa"/>
            <w:vAlign w:val="bottom"/>
          </w:tcPr>
          <w:p>
            <w:pPr>
              <w:spacing w:after="0"/>
              <w:rPr>
                <w:sz w:val="18"/>
                <w:szCs w:val="18"/>
                <w:color w:val="auto"/>
              </w:rPr>
            </w:pPr>
          </w:p>
        </w:tc>
        <w:tc>
          <w:tcPr>
            <w:tcW w:w="4180" w:type="dxa"/>
            <w:vAlign w:val="bottom"/>
            <w:gridSpan w:val="2"/>
          </w:tcPr>
          <w:p>
            <w:pPr>
              <w:ind w:left="80"/>
              <w:spacing w:after="0"/>
              <w:rPr>
                <w:sz w:val="20"/>
                <w:szCs w:val="20"/>
                <w:color w:val="auto"/>
              </w:rPr>
            </w:pPr>
            <w:r>
              <w:rPr>
                <w:rFonts w:ascii="Arial" w:cs="Arial" w:eastAsia="Arial" w:hAnsi="Arial"/>
                <w:sz w:val="16"/>
                <w:szCs w:val="16"/>
                <w:color w:val="auto"/>
              </w:rPr>
              <w:t>Increase to Pension expense (b)</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9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Tax effect</w:t>
            </w:r>
          </w:p>
        </w:tc>
        <w:tc>
          <w:tcPr>
            <w:tcW w:w="6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(6)</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w:t>
            </w:r>
          </w:p>
        </w:tc>
        <w:tc>
          <w:tcPr>
            <w:tcW w:w="41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Decrease to Provision for income taxes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vMerge w:val="restart"/>
          </w:tcPr>
          <w:p>
            <w:pPr>
              <w:ind w:left="120"/>
              <w:spacing w:after="0"/>
              <w:rPr>
                <w:sz w:val="20"/>
                <w:szCs w:val="20"/>
                <w:color w:val="auto"/>
              </w:rPr>
            </w:pPr>
            <w:r>
              <w:rPr>
                <w:rFonts w:ascii="Arial" w:cs="Arial" w:eastAsia="Arial" w:hAnsi="Arial"/>
                <w:sz w:val="16"/>
                <w:szCs w:val="16"/>
                <w:color w:val="auto"/>
              </w:rPr>
              <w:t>Recognized within Net income, net of taxes</w:t>
            </w:r>
          </w:p>
        </w:tc>
        <w:tc>
          <w:tcPr>
            <w:tcW w:w="6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180" w:type="dxa"/>
            <w:vAlign w:val="bottom"/>
            <w:gridSpan w:val="2"/>
            <w:vMerge w:val="restart"/>
          </w:tcPr>
          <w:p>
            <w:pPr>
              <w:ind w:left="80"/>
              <w:spacing w:after="0"/>
              <w:rPr>
                <w:sz w:val="20"/>
                <w:szCs w:val="20"/>
                <w:color w:val="auto"/>
              </w:rPr>
            </w:pPr>
            <w:r>
              <w:rPr>
                <w:rFonts w:ascii="Arial" w:cs="Arial" w:eastAsia="Arial" w:hAnsi="Arial"/>
                <w:sz w:val="16"/>
                <w:szCs w:val="16"/>
                <w:color w:val="auto"/>
              </w:rPr>
              <w:t>Decrease to Net income</w:t>
            </w:r>
          </w:p>
        </w:tc>
        <w:tc>
          <w:tcPr>
            <w:tcW w:w="0" w:type="dxa"/>
            <w:vAlign w:val="bottom"/>
          </w:tcPr>
          <w:p>
            <w:pPr>
              <w:spacing w:after="0" w:line="20" w:lineRule="exact"/>
              <w:rPr>
                <w:sz w:val="1"/>
                <w:szCs w:val="1"/>
                <w:color w:val="auto"/>
              </w:rPr>
            </w:pPr>
          </w:p>
        </w:tc>
      </w:tr>
      <w:tr>
        <w:trPr>
          <w:trHeight w:val="247"/>
        </w:trPr>
        <w:tc>
          <w:tcPr>
            <w:tcW w:w="20" w:type="dxa"/>
            <w:vAlign w:val="bottom"/>
          </w:tcPr>
          <w:p>
            <w:pPr>
              <w:spacing w:after="0"/>
              <w:rPr>
                <w:sz w:val="21"/>
                <w:szCs w:val="21"/>
                <w:color w:val="auto"/>
              </w:rPr>
            </w:pPr>
          </w:p>
        </w:tc>
        <w:tc>
          <w:tcPr>
            <w:tcW w:w="4960" w:type="dxa"/>
            <w:vAlign w:val="bottom"/>
            <w:vMerge w:val="continue"/>
          </w:tcPr>
          <w:p>
            <w:pPr>
              <w:spacing w:after="0"/>
              <w:rPr>
                <w:sz w:val="21"/>
                <w:szCs w:val="21"/>
                <w:color w:val="auto"/>
              </w:rPr>
            </w:pPr>
          </w:p>
        </w:tc>
        <w:tc>
          <w:tcPr>
            <w:tcW w:w="660" w:type="dxa"/>
            <w:vAlign w:val="bottom"/>
          </w:tcPr>
          <w:p>
            <w:pPr>
              <w:jc w:val="right"/>
              <w:ind w:right="502"/>
              <w:spacing w:after="0"/>
              <w:rPr>
                <w:sz w:val="20"/>
                <w:szCs w:val="20"/>
                <w:color w:val="auto"/>
              </w:rPr>
            </w:pPr>
            <w:r>
              <w:rPr>
                <w:rFonts w:ascii="Arial" w:cs="Arial" w:eastAsia="Arial" w:hAnsi="Arial"/>
                <w:sz w:val="15"/>
                <w:szCs w:val="15"/>
                <w:b w:val="1"/>
                <w:bCs w:val="1"/>
                <w:color w:val="auto"/>
                <w:w w:val="71"/>
              </w:rPr>
              <w:t>$</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auto"/>
              </w:rPr>
              <w:t>14</w:t>
            </w:r>
          </w:p>
        </w:tc>
        <w:tc>
          <w:tcPr>
            <w:tcW w:w="120" w:type="dxa"/>
            <w:vAlign w:val="bottom"/>
          </w:tcPr>
          <w:p>
            <w:pPr>
              <w:spacing w:after="0"/>
              <w:rPr>
                <w:sz w:val="21"/>
                <w:szCs w:val="21"/>
                <w:color w:val="auto"/>
              </w:rPr>
            </w:pPr>
          </w:p>
        </w:tc>
        <w:tc>
          <w:tcPr>
            <w:tcW w:w="860" w:type="dxa"/>
            <w:vAlign w:val="bottom"/>
            <w:gridSpan w:val="2"/>
          </w:tcPr>
          <w:p>
            <w:pPr>
              <w:jc w:val="right"/>
              <w:ind w:right="7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78"/>
              </w:rPr>
              <w:t>10</w:t>
            </w:r>
          </w:p>
        </w:tc>
        <w:tc>
          <w:tcPr>
            <w:tcW w:w="140" w:type="dxa"/>
            <w:vAlign w:val="bottom"/>
          </w:tcPr>
          <w:p>
            <w:pPr>
              <w:spacing w:after="0"/>
              <w:rPr>
                <w:sz w:val="21"/>
                <w:szCs w:val="21"/>
                <w:color w:val="auto"/>
              </w:rPr>
            </w:pPr>
          </w:p>
        </w:tc>
        <w:tc>
          <w:tcPr>
            <w:tcW w:w="41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49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6"/>
                <w:szCs w:val="16"/>
                <w:b w:val="1"/>
                <w:bCs w:val="1"/>
                <w:color w:val="auto"/>
              </w:rPr>
              <w:t>Prior service (cost) credit of defined benefit plans:</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9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Amortization of prior service cost (credit) (a)</w:t>
            </w:r>
          </w:p>
        </w:tc>
        <w:tc>
          <w:tcPr>
            <w:tcW w:w="660" w:type="dxa"/>
            <w:vAlign w:val="bottom"/>
            <w:shd w:val="clear" w:color="auto" w:fill="CCEEFF"/>
          </w:tcPr>
          <w:p>
            <w:pPr>
              <w:jc w:val="right"/>
              <w:ind w:right="502"/>
              <w:spacing w:after="0"/>
              <w:rPr>
                <w:sz w:val="20"/>
                <w:szCs w:val="20"/>
                <w:color w:val="auto"/>
              </w:rPr>
            </w:pPr>
            <w:r>
              <w:rPr>
                <w:rFonts w:ascii="Arial" w:cs="Arial" w:eastAsia="Arial" w:hAnsi="Arial"/>
                <w:sz w:val="15"/>
                <w:szCs w:val="15"/>
                <w:b w:val="1"/>
                <w:bCs w:val="1"/>
                <w:color w:val="auto"/>
                <w:w w:val="71"/>
              </w:rPr>
              <w:t>$</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(1)</w:t>
            </w:r>
          </w:p>
        </w:tc>
        <w:tc>
          <w:tcPr>
            <w:tcW w:w="860" w:type="dxa"/>
            <w:vAlign w:val="bottom"/>
            <w:gridSpan w:val="2"/>
            <w:shd w:val="clear" w:color="auto" w:fill="CCEEFF"/>
          </w:tcPr>
          <w:p>
            <w:pPr>
              <w:jc w:val="right"/>
              <w:ind w:right="7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40" w:type="dxa"/>
            <w:vAlign w:val="bottom"/>
            <w:shd w:val="clear" w:color="auto" w:fill="CCEEFF"/>
          </w:tcPr>
          <w:p>
            <w:pPr>
              <w:spacing w:after="0"/>
              <w:rPr>
                <w:sz w:val="19"/>
                <w:szCs w:val="19"/>
                <w:color w:val="auto"/>
              </w:rPr>
            </w:pPr>
          </w:p>
        </w:tc>
        <w:tc>
          <w:tcPr>
            <w:tcW w:w="41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(Decrease) increase to Pension expense (b)</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6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Tax effect</w:t>
            </w:r>
          </w:p>
        </w:tc>
        <w:tc>
          <w:tcPr>
            <w:tcW w:w="6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7"/>
              </w:rPr>
              <w:t>—</w:t>
            </w:r>
          </w:p>
        </w:tc>
        <w:tc>
          <w:tcPr>
            <w:tcW w:w="140" w:type="dxa"/>
            <w:vAlign w:val="bottom"/>
            <w:tcBorders>
              <w:bottom w:val="single" w:sz="8" w:color="CCEEFF"/>
            </w:tcBorders>
          </w:tcPr>
          <w:p>
            <w:pPr>
              <w:spacing w:after="0"/>
              <w:rPr>
                <w:sz w:val="18"/>
                <w:szCs w:val="18"/>
                <w:color w:val="auto"/>
              </w:rPr>
            </w:pPr>
          </w:p>
        </w:tc>
        <w:tc>
          <w:tcPr>
            <w:tcW w:w="4180" w:type="dxa"/>
            <w:vAlign w:val="bottom"/>
            <w:tcBorders>
              <w:bottom w:val="single" w:sz="8" w:color="CCEEFF"/>
            </w:tcBorders>
            <w:gridSpan w:val="2"/>
          </w:tcPr>
          <w:p>
            <w:pPr>
              <w:ind w:left="80"/>
              <w:spacing w:after="0"/>
              <w:rPr>
                <w:sz w:val="20"/>
                <w:szCs w:val="20"/>
                <w:color w:val="auto"/>
              </w:rPr>
            </w:pPr>
            <w:r>
              <w:rPr>
                <w:rFonts w:ascii="Arial" w:cs="Arial" w:eastAsia="Arial" w:hAnsi="Arial"/>
                <w:sz w:val="16"/>
                <w:szCs w:val="16"/>
                <w:color w:val="auto"/>
              </w:rPr>
              <w:t>Increase (decrease) to Provision for income taxes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Recognized within Net income, net of taxes</w:t>
            </w:r>
          </w:p>
        </w:tc>
        <w:tc>
          <w:tcPr>
            <w:tcW w:w="660" w:type="dxa"/>
            <w:vAlign w:val="bottom"/>
            <w:shd w:val="clear" w:color="auto" w:fill="CCEEFF"/>
          </w:tcPr>
          <w:p>
            <w:pPr>
              <w:jc w:val="right"/>
              <w:ind w:right="502"/>
              <w:spacing w:after="0"/>
              <w:rPr>
                <w:sz w:val="20"/>
                <w:szCs w:val="20"/>
                <w:color w:val="auto"/>
              </w:rPr>
            </w:pPr>
            <w:r>
              <w:rPr>
                <w:rFonts w:ascii="Arial" w:cs="Arial" w:eastAsia="Arial" w:hAnsi="Arial"/>
                <w:sz w:val="15"/>
                <w:szCs w:val="15"/>
                <w:b w:val="1"/>
                <w:bCs w:val="1"/>
                <w:color w:val="auto"/>
                <w:w w:val="71"/>
              </w:rPr>
              <w:t>$</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(1)</w:t>
            </w:r>
          </w:p>
        </w:tc>
        <w:tc>
          <w:tcPr>
            <w:tcW w:w="860" w:type="dxa"/>
            <w:vAlign w:val="bottom"/>
            <w:gridSpan w:val="2"/>
            <w:shd w:val="clear" w:color="auto" w:fill="CCEEFF"/>
          </w:tcPr>
          <w:p>
            <w:pPr>
              <w:jc w:val="right"/>
              <w:ind w:right="7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40" w:type="dxa"/>
            <w:vAlign w:val="bottom"/>
            <w:shd w:val="clear" w:color="auto" w:fill="CCEEFF"/>
          </w:tcPr>
          <w:p>
            <w:pPr>
              <w:spacing w:after="0"/>
              <w:rPr>
                <w:sz w:val="18"/>
                <w:szCs w:val="18"/>
                <w:color w:val="auto"/>
              </w:rPr>
            </w:pPr>
          </w:p>
        </w:tc>
        <w:tc>
          <w:tcPr>
            <w:tcW w:w="41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(Increase) decrease to Net income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ind w:left="520" w:hanging="512"/>
        <w:spacing w:after="0"/>
        <w:tabs>
          <w:tab w:leader="none" w:pos="520" w:val="left"/>
        </w:tabs>
        <w:numPr>
          <w:ilvl w:val="0"/>
          <w:numId w:val="6"/>
        </w:numPr>
        <w:rPr>
          <w:rFonts w:ascii="Arial" w:cs="Arial" w:eastAsia="Arial" w:hAnsi="Arial"/>
          <w:sz w:val="16"/>
          <w:szCs w:val="16"/>
          <w:color w:val="auto"/>
        </w:rPr>
      </w:pPr>
      <w:r>
        <w:rPr>
          <w:rFonts w:ascii="Arial" w:cs="Arial" w:eastAsia="Arial" w:hAnsi="Arial"/>
          <w:sz w:val="16"/>
          <w:szCs w:val="16"/>
          <w:color w:val="auto"/>
        </w:rPr>
        <w:t>Detailed in Note 7.</w:t>
      </w:r>
    </w:p>
    <w:p>
      <w:pPr>
        <w:spacing w:after="0" w:line="22" w:lineRule="exact"/>
        <w:rPr>
          <w:rFonts w:ascii="Arial" w:cs="Arial" w:eastAsia="Arial" w:hAnsi="Arial"/>
          <w:sz w:val="16"/>
          <w:szCs w:val="16"/>
          <w:color w:val="auto"/>
        </w:rPr>
      </w:pPr>
    </w:p>
    <w:p>
      <w:pPr>
        <w:ind w:left="520" w:hanging="512"/>
        <w:spacing w:after="0"/>
        <w:tabs>
          <w:tab w:leader="none" w:pos="520" w:val="left"/>
        </w:tabs>
        <w:numPr>
          <w:ilvl w:val="0"/>
          <w:numId w:val="6"/>
        </w:numPr>
        <w:rPr>
          <w:rFonts w:ascii="Arial" w:cs="Arial" w:eastAsia="Arial" w:hAnsi="Arial"/>
          <w:sz w:val="16"/>
          <w:szCs w:val="16"/>
          <w:color w:val="auto"/>
        </w:rPr>
      </w:pPr>
      <w:r>
        <w:rPr>
          <w:rFonts w:ascii="Arial" w:cs="Arial" w:eastAsia="Arial" w:hAnsi="Arial"/>
          <w:sz w:val="16"/>
          <w:szCs w:val="16"/>
          <w:color w:val="auto"/>
        </w:rPr>
        <w:t>Pension expense is included in COR, R&amp;D and SG&amp;A in the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design, make and sell semiconductors to electronics designers and manufacturers all over the world. Our business model is carefully constructed around the following attributes:</w:t>
      </w:r>
    </w:p>
    <w:p>
      <w:pPr>
        <w:spacing w:after="0" w:line="62" w:lineRule="exact"/>
        <w:rPr>
          <w:sz w:val="20"/>
          <w:szCs w:val="20"/>
          <w:color w:val="auto"/>
        </w:rPr>
      </w:pPr>
    </w:p>
    <w:p>
      <w:pPr>
        <w:ind w:left="1040" w:right="40" w:hanging="519"/>
        <w:spacing w:after="0" w:line="259"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Industry’s broadest portfolio of differentiated analog and embedded processing semiconductors. </w:t>
      </w:r>
      <w:r>
        <w:rPr>
          <w:rFonts w:ascii="Arial" w:cs="Arial" w:eastAsia="Arial" w:hAnsi="Arial"/>
          <w:sz w:val="18"/>
          <w:szCs w:val="18"/>
          <w:color w:val="auto"/>
        </w:rPr>
        <w:t>Our customers’ design engineers need at least</w:t>
      </w:r>
      <w:r>
        <w:rPr>
          <w:rFonts w:ascii="Arial" w:cs="Arial" w:eastAsia="Arial" w:hAnsi="Arial"/>
          <w:sz w:val="18"/>
          <w:szCs w:val="18"/>
          <w:i w:val="1"/>
          <w:iCs w:val="1"/>
          <w:color w:val="auto"/>
        </w:rPr>
        <w:t xml:space="preserve"> </w:t>
      </w:r>
      <w:r>
        <w:rPr>
          <w:rFonts w:ascii="Arial" w:cs="Arial" w:eastAsia="Arial" w:hAnsi="Arial"/>
          <w:sz w:val="18"/>
          <w:szCs w:val="18"/>
          <w:color w:val="auto"/>
        </w:rPr>
        <w:t>one, and most times multiple, chips for their systems. The breadth of our portfolio means we can solve more of these needs than can our competitors, which gives us access to more customers and the opportunity to generate more revenue per system. We invest more than $1 billion each year to develop new products for our portfolio.</w:t>
      </w:r>
    </w:p>
    <w:p>
      <w:pPr>
        <w:spacing w:after="0" w:line="78" w:lineRule="exact"/>
        <w:rPr>
          <w:rFonts w:ascii="Arial" w:cs="Arial" w:eastAsia="Arial" w:hAnsi="Arial"/>
          <w:sz w:val="18"/>
          <w:szCs w:val="18"/>
          <w:color w:val="auto"/>
        </w:rPr>
      </w:pPr>
    </w:p>
    <w:p>
      <w:pPr>
        <w:ind w:left="1040" w:right="100" w:hanging="519"/>
        <w:spacing w:after="0" w:line="253"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A strong foundation of manufacturing technology and low-cost production. </w:t>
      </w:r>
      <w:r>
        <w:rPr>
          <w:rFonts w:ascii="Arial" w:cs="Arial" w:eastAsia="Arial" w:hAnsi="Arial"/>
          <w:sz w:val="18"/>
          <w:szCs w:val="18"/>
          <w:color w:val="auto"/>
        </w:rPr>
        <w:t>We invest in manufacturing technologies that differentiate the</w:t>
      </w:r>
      <w:r>
        <w:rPr>
          <w:rFonts w:ascii="Arial" w:cs="Arial" w:eastAsia="Arial" w:hAnsi="Arial"/>
          <w:sz w:val="18"/>
          <w:szCs w:val="18"/>
          <w:i w:val="1"/>
          <w:iCs w:val="1"/>
          <w:color w:val="auto"/>
        </w:rPr>
        <w:t xml:space="preserve"> </w:t>
      </w:r>
      <w:r>
        <w:rPr>
          <w:rFonts w:ascii="Arial" w:cs="Arial" w:eastAsia="Arial" w:hAnsi="Arial"/>
          <w:sz w:val="18"/>
          <w:szCs w:val="18"/>
          <w:color w:val="auto"/>
        </w:rPr>
        <w:t>features of our semiconductors, and we do most of our own production in-house, as opposed to outsourcing it. This ability to directly control our manufacturing helps ensure a consistent supply of products for our customers. We produce billions of semiconductors each year on a mixture of 150-, 200- and 300-millimeter wafers, and we are able to keep costs low for manufacturing facilities and equipment because our analog and much of our embedded processing semiconductors can be made using mature assets that we acquire ahead of demand when their prices are most attractive. In 2015, we produced approximately 25 percent of our Analog semiconductors on 300-millimeter wafers, the industry’s largest wafers, which have a 40 percent cost advantage per unpackaged chip over 200-millimeter wafers. The majority of our future Analog growth will be produced on 300-millimeter wafers, which will be meaningful to the growth of our margins and cash flow over the long term.</w:t>
      </w:r>
    </w:p>
    <w:p>
      <w:pPr>
        <w:spacing w:after="0" w:line="89" w:lineRule="exact"/>
        <w:rPr>
          <w:rFonts w:ascii="Arial" w:cs="Arial" w:eastAsia="Arial" w:hAnsi="Arial"/>
          <w:sz w:val="18"/>
          <w:szCs w:val="18"/>
          <w:color w:val="auto"/>
        </w:rPr>
      </w:pPr>
    </w:p>
    <w:p>
      <w:pPr>
        <w:ind w:left="1040" w:hanging="519"/>
        <w:spacing w:after="0" w:line="264"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Industry’s largest market channels. </w:t>
      </w:r>
      <w:r>
        <w:rPr>
          <w:rFonts w:ascii="Arial" w:cs="Arial" w:eastAsia="Arial" w:hAnsi="Arial"/>
          <w:sz w:val="18"/>
          <w:szCs w:val="18"/>
          <w:color w:val="auto"/>
        </w:rPr>
        <w:t>Our global sales force is larger than those of our competitors, and the breadth of our portfolio attracts tens of</w:t>
      </w:r>
      <w:r>
        <w:rPr>
          <w:rFonts w:ascii="Arial" w:cs="Arial" w:eastAsia="Arial" w:hAnsi="Arial"/>
          <w:sz w:val="18"/>
          <w:szCs w:val="18"/>
          <w:i w:val="1"/>
          <w:iCs w:val="1"/>
          <w:color w:val="auto"/>
        </w:rPr>
        <w:t xml:space="preserve"> </w:t>
      </w:r>
      <w:r>
        <w:rPr>
          <w:rFonts w:ascii="Arial" w:cs="Arial" w:eastAsia="Arial" w:hAnsi="Arial"/>
          <w:sz w:val="18"/>
          <w:szCs w:val="18"/>
          <w:color w:val="auto"/>
        </w:rPr>
        <w:t>millions of visits to our web site each year where customers often begin their initial product searches and design-in journey. These capabilities combine to provide us unique access to more than 100,000 customers.</w:t>
      </w:r>
    </w:p>
    <w:p>
      <w:pPr>
        <w:spacing w:after="0" w:line="73" w:lineRule="exact"/>
        <w:rPr>
          <w:rFonts w:ascii="Arial" w:cs="Arial" w:eastAsia="Arial" w:hAnsi="Arial"/>
          <w:sz w:val="18"/>
          <w:szCs w:val="18"/>
          <w:color w:val="auto"/>
        </w:rPr>
      </w:pPr>
    </w:p>
    <w:p>
      <w:pPr>
        <w:ind w:left="1040" w:right="180" w:hanging="519"/>
        <w:spacing w:after="0" w:line="259"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Diversity and longevity in our products and in the markets we serve. </w:t>
      </w:r>
      <w:r>
        <w:rPr>
          <w:rFonts w:ascii="Arial" w:cs="Arial" w:eastAsia="Arial" w:hAnsi="Arial"/>
          <w:sz w:val="18"/>
          <w:szCs w:val="18"/>
          <w:color w:val="auto"/>
        </w:rPr>
        <w:t>Together, the attributes above result in diverse and long-lived positions</w:t>
      </w:r>
      <w:r>
        <w:rPr>
          <w:rFonts w:ascii="Arial" w:cs="Arial" w:eastAsia="Arial" w:hAnsi="Arial"/>
          <w:sz w:val="18"/>
          <w:szCs w:val="18"/>
          <w:i w:val="1"/>
          <w:iCs w:val="1"/>
          <w:color w:val="auto"/>
        </w:rPr>
        <w:t xml:space="preserve"> </w:t>
      </w:r>
      <w:r>
        <w:rPr>
          <w:rFonts w:ascii="Arial" w:cs="Arial" w:eastAsia="Arial" w:hAnsi="Arial"/>
          <w:sz w:val="18"/>
          <w:szCs w:val="18"/>
          <w:color w:val="auto"/>
        </w:rPr>
        <w:t>that deliver high terminal value to our shareholders. Because of the breadth of our portfolio we are not dependent on any single product, and because of the breadth of our markets we are not dependent on any single application or customer. Some of our products generate revenue for decades, which strengthens the return on our investments.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combined effect of these attributes is that we have consistently grown free cash flow and gained market share in Analog and Embedded Processing.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attributes put us in a unique class of companies with the ability to grow, generate cash, and return that cash to shareholders.</w:t>
      </w:r>
    </w:p>
    <w:p>
      <w:pPr>
        <w:spacing w:after="0" w:line="21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Management’s discussion and analysis of financial condition and results of operations (MD&amp;A) should be read in conjunction with the financial statements and the related notes that appear elsewhere in this document. In the following discussion of our results of operations:</w:t>
      </w:r>
    </w:p>
    <w:p>
      <w:pPr>
        <w:spacing w:after="0" w:line="62" w:lineRule="exact"/>
        <w:rPr>
          <w:sz w:val="20"/>
          <w:szCs w:val="20"/>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dollar amounts in the tables are stated in millions of U.S. dollars.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When we discuss our results:</w:t>
      </w:r>
    </w:p>
    <w:p>
      <w:pPr>
        <w:spacing w:after="0" w:line="117" w:lineRule="exact"/>
        <w:rPr>
          <w:rFonts w:ascii="Arial" w:cs="Arial" w:eastAsia="Arial" w:hAnsi="Arial"/>
          <w:sz w:val="18"/>
          <w:szCs w:val="18"/>
          <w:color w:val="auto"/>
        </w:rPr>
      </w:pPr>
    </w:p>
    <w:p>
      <w:pPr>
        <w:ind w:left="1540" w:right="120" w:hanging="513"/>
        <w:spacing w:after="0" w:line="277" w:lineRule="auto"/>
        <w:rPr>
          <w:rFonts w:ascii="Arial" w:cs="Arial" w:eastAsia="Arial" w:hAnsi="Arial"/>
          <w:sz w:val="18"/>
          <w:szCs w:val="18"/>
          <w:color w:val="auto"/>
        </w:rPr>
      </w:pPr>
      <w:r>
        <w:rPr>
          <w:rFonts w:ascii="Courier New" w:cs="Courier New" w:eastAsia="Courier New" w:hAnsi="Courier New"/>
          <w:sz w:val="18"/>
          <w:szCs w:val="18"/>
          <w:color w:val="auto"/>
        </w:rPr>
        <w:t>o</w:t>
      </w:r>
      <w:r>
        <w:rPr>
          <w:rFonts w:ascii="Arial" w:cs="Arial" w:eastAsia="Arial" w:hAnsi="Arial"/>
          <w:sz w:val="18"/>
          <w:szCs w:val="18"/>
          <w:color w:val="auto"/>
        </w:rPr>
        <w:t>Unless otherwise noted, changes in our revenue are attributable to changes in customer demand, which are evidenced by fluctuations in shipment volumes.</w:t>
      </w:r>
    </w:p>
    <w:p>
      <w:pPr>
        <w:spacing w:after="0" w:line="60"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Courier New" w:cs="Courier New" w:eastAsia="Courier New" w:hAnsi="Courier New"/>
          <w:sz w:val="18"/>
          <w:szCs w:val="18"/>
          <w:color w:val="auto"/>
        </w:rPr>
        <w:t>o</w:t>
      </w:r>
      <w:r>
        <w:rPr>
          <w:rFonts w:ascii="Arial" w:cs="Arial" w:eastAsia="Arial" w:hAnsi="Arial"/>
          <w:sz w:val="16"/>
          <w:szCs w:val="16"/>
          <w:color w:val="auto"/>
        </w:rPr>
        <w:t>New products tend not to have a significant impact on our revenue in any given period because we sell such a large number of products.</w:t>
      </w:r>
    </w:p>
    <w:p>
      <w:pPr>
        <w:spacing w:after="0" w:line="122" w:lineRule="exact"/>
        <w:rPr>
          <w:rFonts w:ascii="Arial" w:cs="Arial" w:eastAsia="Arial" w:hAnsi="Arial"/>
          <w:sz w:val="18"/>
          <w:szCs w:val="18"/>
          <w:color w:val="auto"/>
        </w:rPr>
      </w:pPr>
    </w:p>
    <w:p>
      <w:pPr>
        <w:ind w:left="1540" w:right="40" w:hanging="513"/>
        <w:spacing w:after="0" w:line="277" w:lineRule="auto"/>
        <w:rPr>
          <w:rFonts w:ascii="Arial" w:cs="Arial" w:eastAsia="Arial" w:hAnsi="Arial"/>
          <w:sz w:val="18"/>
          <w:szCs w:val="18"/>
          <w:color w:val="auto"/>
        </w:rPr>
      </w:pPr>
      <w:r>
        <w:rPr>
          <w:rFonts w:ascii="Courier New" w:cs="Courier New" w:eastAsia="Courier New" w:hAnsi="Courier New"/>
          <w:sz w:val="18"/>
          <w:szCs w:val="18"/>
          <w:color w:val="auto"/>
        </w:rPr>
        <w:t>o</w:t>
      </w:r>
      <w:r>
        <w:rPr>
          <w:rFonts w:ascii="Arial" w:cs="Arial" w:eastAsia="Arial" w:hAnsi="Arial"/>
          <w:sz w:val="18"/>
          <w:szCs w:val="18"/>
          <w:color w:val="auto"/>
        </w:rPr>
        <w:t>From time to time, our revenue and gross profit are affected by changes in demand for higher-priced or lower-priced products, which we refer to as changes in the “mix” of products shipped.</w:t>
      </w:r>
    </w:p>
    <w:p>
      <w:pPr>
        <w:spacing w:after="0" w:line="62" w:lineRule="exact"/>
        <w:rPr>
          <w:rFonts w:ascii="Arial" w:cs="Arial" w:eastAsia="Arial" w:hAnsi="Arial"/>
          <w:sz w:val="18"/>
          <w:szCs w:val="18"/>
          <w:color w:val="auto"/>
        </w:rPr>
      </w:pPr>
    </w:p>
    <w:p>
      <w:pPr>
        <w:ind w:left="1540" w:right="260" w:hanging="513"/>
        <w:spacing w:after="0" w:line="302" w:lineRule="auto"/>
        <w:rPr>
          <w:rFonts w:ascii="Arial" w:cs="Arial" w:eastAsia="Arial" w:hAnsi="Arial"/>
          <w:sz w:val="18"/>
          <w:szCs w:val="18"/>
          <w:color w:val="auto"/>
        </w:rPr>
      </w:pPr>
      <w:r>
        <w:rPr>
          <w:rFonts w:ascii="Courier New" w:cs="Courier New" w:eastAsia="Courier New" w:hAnsi="Courier New"/>
          <w:sz w:val="18"/>
          <w:szCs w:val="18"/>
          <w:color w:val="auto"/>
        </w:rPr>
        <w:t>o</w:t>
      </w:r>
      <w:r>
        <w:rPr>
          <w:rFonts w:ascii="Arial" w:cs="Arial" w:eastAsia="Arial" w:hAnsi="Arial"/>
          <w:sz w:val="16"/>
          <w:szCs w:val="16"/>
          <w:color w:val="auto"/>
        </w:rPr>
        <w:t>Because we own much of our manufacturing capacity, a significant portion of our operating cost is fixed. When factory loadings decrease, our fixed costs are spread over reduced output and, absent other circumstances, our profit margins decrease. Conversely, as factory loadings increase, our fixed costs are spread over increased output and, absent other circumstances, our profit margins increase. Increases and decreases in factory loadings tend to correspond to increases and decreases in demand.</w:t>
      </w:r>
    </w:p>
    <w:p>
      <w:pPr>
        <w:spacing w:after="0" w:line="46" w:lineRule="exact"/>
        <w:rPr>
          <w:rFonts w:ascii="Arial" w:cs="Arial" w:eastAsia="Arial" w:hAnsi="Arial"/>
          <w:sz w:val="18"/>
          <w:szCs w:val="18"/>
          <w:color w:val="auto"/>
        </w:rPr>
      </w:pPr>
    </w:p>
    <w:p>
      <w:pPr>
        <w:ind w:left="1040" w:right="100" w:hanging="519"/>
        <w:spacing w:after="0" w:line="264"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segments represent groups of similar products that are combined on the basis of similar design and development requirements, product characteristics, manufacturing processes and distribution channels, and how management allocates resources and measures results. See Note 1 to the financial statements for more information regarding our segments.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Performance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first-quarter revenue was $3.01 billion, net income was $668 million and earnings per share (EPS) were $0.65.</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Revenue for the quarter was in the upper half of our expected range. Compared with a year ago, notable market activity for our products included continuing strength in automotive, as well as improvement in industrial and communications equipment. Revenue was down 5 percent due to weakness within the personal electronics market, which declined as expected.</w:t>
      </w:r>
    </w:p>
    <w:p>
      <w:pPr>
        <w:spacing w:after="0" w:line="1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core businesses of Analog and Embedded Processing comprised 87 percent of first-quarter revenue. From a year ago, Analog revenue declined 8 percent while Embedded Processing revenue grew 8 percent. Operating margin increased in both businesses.</w:t>
      </w:r>
    </w:p>
    <w:p>
      <w:pPr>
        <w:spacing w:after="0" w:line="17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Gross margin of 60.6 percent was a new record, reflecting the quality of our product portfolio, as well as the efficiency of our manufacturing strategy, including the benefit of 300-millimeter Analog production.</w:t>
      </w:r>
    </w:p>
    <w:p>
      <w:pPr>
        <w:spacing w:after="0" w:line="170"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Our cash flow from operations once again underscored the strength of our business model. Free cash flow for the trailing 12 months was up 1 percent from a year ago to $3.7 billion. This represents 28.4 percent of revenue, up from 27.3 percent a year ago, and is consistent with our targeted range of 20-30 percent of revenue.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have returned $4.2 billion to shareholders in the past 12 months through stock repurchases and dividends.</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Our strategy to return to shareholders 100 percent of free cash flow plus proceeds from exercises of equity compensation minus net debt retirement reflects our confidence in the long-term sustainability of our business model.</w:t>
      </w:r>
    </w:p>
    <w:p>
      <w:pPr>
        <w:spacing w:after="0" w:line="17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Our balance sheet remains strong with $2.8 billion of cash and short-term investments at the end of the quarter, 80 percent of which was owned by the company’s U.S. entities. Inventory ended the quarter at 137 days.</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Free cash flow is a non-GAAP financial measure. For a reconciliation to GAAP and an explanation of the reason for providing this non-GAAP measure, see the Non-GAAP financial information section after the Liquidity and capital resources section.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first-quarter 2016 compared with first-quarter 2015</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Revenue decreased $142 million, or 5 percent, due to lower revenue from Analog, and to a lesser extent, Other. Embedded Processing revenue grew.</w:t>
      </w:r>
    </w:p>
    <w:p>
      <w:pPr>
        <w:spacing w:after="0" w:line="237"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Gross profit of $1.82 billion was about even despite lower revenue primarily due to a combination of lower manufacturing costs and, to a lesser extent, a higher percentage of more profitable products. As a percentage of revenue, gross profit was 60.6 percent compared with 57.7 percent.</w:t>
      </w:r>
    </w:p>
    <w:p>
      <w:pPr>
        <w:spacing w:after="0" w:line="14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Operating expenses were $326 million for R&amp;D and $448 million for SG&amp;A. R&amp;D expense decreased $12 million, or 4 percent, due to savings from ongoing efforts across the company to align costs with growth opportunities, including the completed restructuring action in Embedded Processing. SG&amp;A expense increased $9 million, or 2 percent, due to higher compensation-related costs.</w:t>
      </w:r>
    </w:p>
    <w:p>
      <w:pPr>
        <w:spacing w:after="0" w:line="18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Acquisition charges associated with our 2011 acquisition of National were $80 million compared with $83 million. These non-cash charges were from the ongoing amortization of intangible assets.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 was $968 million, or 32.2 percent of revenue, compared with $958 million, or 30.4 percent of revenue.</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Quarterly income taxes are calculated using the estimated annual effective tax rate. At the end of the first quarter, our estimated annual effective tax rate for 2016 was about 30 percent. Our annual effective tax rate benefits from lower tax rates (compared to the U.S. statutory rate) applicable to our operations in many of the jurisdictions in which we operate and from U.S. tax benefits. These lower non-U.S. tax rates are generally statutory in nature, without expiration and available to companies that operate in those taxing jurisdictions.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Our tax provision was $282 million, about even with the year-ago quarter.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income was $668 million compared with $656 million, and EPS was $0.65 compared with $0.61.</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auto"/>
        </w:rPr>
        <w:t>First-quarter 2016 segment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segment results compared with the year-ago quarter are as follows:</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Analog (includes High Volume Analog &amp; Logic (HVAL), Power Management (Power), High Performance Analog (HPA) and Silicon Valley Analog (SVA)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lines)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40" w:type="dxa"/>
            <w:vAlign w:val="bottom"/>
            <w:tcBorders>
              <w:bottom w:val="single" w:sz="8" w:color="CFF0FC"/>
            </w:tcBorders>
          </w:tcPr>
          <w:p>
            <w:pPr>
              <w:spacing w:after="0"/>
              <w:rPr>
                <w:sz w:val="20"/>
                <w:szCs w:val="20"/>
                <w:color w:val="auto"/>
              </w:rPr>
            </w:pPr>
          </w:p>
        </w:tc>
        <w:tc>
          <w:tcPr>
            <w:tcW w:w="12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1Q16</w:t>
            </w:r>
          </w:p>
        </w:tc>
        <w:tc>
          <w:tcPr>
            <w:tcW w:w="580" w:type="dxa"/>
            <w:vAlign w:val="bottom"/>
            <w:tcBorders>
              <w:bottom w:val="single" w:sz="8" w:color="auto"/>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12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1Q15</w:t>
            </w:r>
          </w:p>
        </w:tc>
        <w:tc>
          <w:tcPr>
            <w:tcW w:w="600" w:type="dxa"/>
            <w:vAlign w:val="bottom"/>
            <w:tcBorders>
              <w:bottom w:val="single" w:sz="8" w:color="auto"/>
            </w:tcBorders>
          </w:tcPr>
          <w:p>
            <w:pPr>
              <w:spacing w:after="0"/>
              <w:rPr>
                <w:sz w:val="20"/>
                <w:szCs w:val="20"/>
                <w:color w:val="auto"/>
              </w:rPr>
            </w:pPr>
          </w:p>
        </w:tc>
        <w:tc>
          <w:tcPr>
            <w:tcW w:w="160" w:type="dxa"/>
            <w:vAlign w:val="bottom"/>
            <w:tcBorders>
              <w:bottom w:val="single" w:sz="8" w:color="CFF0FC"/>
            </w:tcBorders>
          </w:tcPr>
          <w:p>
            <w:pPr>
              <w:spacing w:after="0"/>
              <w:rPr>
                <w:sz w:val="20"/>
                <w:szCs w:val="20"/>
                <w:color w:val="auto"/>
              </w:rPr>
            </w:pPr>
          </w:p>
        </w:tc>
        <w:tc>
          <w:tcPr>
            <w:tcW w:w="18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Change</w:t>
            </w:r>
          </w:p>
        </w:tc>
      </w:tr>
      <w:tr>
        <w:trPr>
          <w:trHeight w:val="210"/>
        </w:trPr>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220" w:type="dxa"/>
            <w:vAlign w:val="bottom"/>
            <w:shd w:val="clear" w:color="auto" w:fill="CFF0FC"/>
          </w:tcPr>
          <w:p>
            <w:pPr>
              <w:jc w:val="right"/>
              <w:ind w:right="1057"/>
              <w:spacing w:after="0"/>
              <w:rPr>
                <w:sz w:val="20"/>
                <w:szCs w:val="20"/>
                <w:color w:val="auto"/>
              </w:rPr>
            </w:pPr>
            <w:r>
              <w:rPr>
                <w:rFonts w:ascii="Arial" w:cs="Arial" w:eastAsia="Arial" w:hAnsi="Arial"/>
                <w:sz w:val="15"/>
                <w:szCs w:val="15"/>
                <w:b w:val="1"/>
                <w:bCs w:val="1"/>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1,879</w:t>
            </w:r>
          </w:p>
        </w:tc>
        <w:tc>
          <w:tcPr>
            <w:tcW w:w="18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105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2,035</w:t>
            </w:r>
          </w:p>
        </w:tc>
        <w:tc>
          <w:tcPr>
            <w:tcW w:w="160" w:type="dxa"/>
            <w:vAlign w:val="bottom"/>
            <w:shd w:val="clear" w:color="auto" w:fill="CFF0FC"/>
          </w:tcPr>
          <w:p>
            <w:pPr>
              <w:spacing w:after="0"/>
              <w:rPr>
                <w:sz w:val="18"/>
                <w:szCs w:val="18"/>
                <w:color w:val="auto"/>
              </w:rPr>
            </w:pPr>
          </w:p>
        </w:tc>
        <w:tc>
          <w:tcPr>
            <w:tcW w:w="1820" w:type="dxa"/>
            <w:vAlign w:val="bottom"/>
            <w:shd w:val="clear" w:color="auto" w:fill="CFF0FC"/>
          </w:tcPr>
          <w:p>
            <w:pPr>
              <w:jc w:val="right"/>
              <w:ind w:right="590"/>
              <w:spacing w:after="0"/>
              <w:rPr>
                <w:sz w:val="20"/>
                <w:szCs w:val="20"/>
                <w:color w:val="auto"/>
              </w:rPr>
            </w:pPr>
            <w:r>
              <w:rPr>
                <w:rFonts w:ascii="Arial" w:cs="Arial" w:eastAsia="Arial" w:hAnsi="Arial"/>
                <w:sz w:val="18"/>
                <w:szCs w:val="18"/>
                <w:color w:val="auto"/>
              </w:rPr>
              <w:t>-8%</w:t>
            </w:r>
          </w:p>
        </w:tc>
      </w:t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Operating profit</w:t>
            </w:r>
          </w:p>
        </w:tc>
        <w:tc>
          <w:tcPr>
            <w:tcW w:w="122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679</w:t>
            </w:r>
          </w:p>
        </w:tc>
        <w:tc>
          <w:tcPr>
            <w:tcW w:w="122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721</w:t>
            </w:r>
          </w:p>
        </w:tc>
        <w:tc>
          <w:tcPr>
            <w:tcW w:w="1820" w:type="dxa"/>
            <w:vAlign w:val="bottom"/>
          </w:tcPr>
          <w:p>
            <w:pPr>
              <w:jc w:val="right"/>
              <w:ind w:right="590"/>
              <w:spacing w:after="0"/>
              <w:rPr>
                <w:sz w:val="20"/>
                <w:szCs w:val="20"/>
                <w:color w:val="auto"/>
              </w:rPr>
            </w:pPr>
            <w:r>
              <w:rPr>
                <w:rFonts w:ascii="Arial" w:cs="Arial" w:eastAsia="Arial" w:hAnsi="Arial"/>
                <w:sz w:val="18"/>
                <w:szCs w:val="18"/>
                <w:color w:val="auto"/>
              </w:rPr>
              <w:t>-6%</w:t>
            </w:r>
          </w:p>
        </w:tc>
      </w:tr>
      <w:tr>
        <w:trPr>
          <w:trHeight w:val="230"/>
        </w:trPr>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Operating profit % of revenue</w:t>
            </w:r>
          </w:p>
        </w:tc>
        <w:tc>
          <w:tcPr>
            <w:tcW w:w="12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36.1%</w:t>
            </w:r>
          </w:p>
        </w:tc>
        <w:tc>
          <w:tcPr>
            <w:tcW w:w="12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35.4%</w:t>
            </w:r>
          </w:p>
        </w:tc>
        <w:tc>
          <w:tcPr>
            <w:tcW w:w="1820" w:type="dxa"/>
            <w:vAlign w:val="bottom"/>
            <w:shd w:val="clear" w:color="auto" w:fill="CFF0FC"/>
          </w:tcPr>
          <w:p>
            <w:pPr>
              <w:spacing w:after="0"/>
              <w:rPr>
                <w:sz w:val="19"/>
                <w:szCs w:val="19"/>
                <w:color w:val="auto"/>
              </w:rPr>
            </w:pPr>
          </w:p>
        </w:tc>
      </w:tr>
    </w:tbl>
    <w:p>
      <w:pPr>
        <w:spacing w:after="0" w:line="24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Analog revenue decreased primarily due to HVAL. Power and HPA also declined, but to a lesser extent. SVA revenue increased due to the mix of products shipped. Operating profit decreased primarily due to lower revenue, which was partially offset by lower manufacturing costs and a higher percentage of more profitable products.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Embedded Processing (includes Microcontrollers, Processors and Connectivity product lines)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80" w:type="dxa"/>
            <w:vAlign w:val="bottom"/>
            <w:tcBorders>
              <w:bottom w:val="single" w:sz="8" w:color="CFF0FC"/>
            </w:tcBorders>
          </w:tcPr>
          <w:p>
            <w:pPr>
              <w:spacing w:after="0"/>
              <w:rPr>
                <w:sz w:val="20"/>
                <w:szCs w:val="20"/>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1Q16</w:t>
            </w:r>
          </w:p>
        </w:tc>
        <w:tc>
          <w:tcPr>
            <w:tcW w:w="600" w:type="dxa"/>
            <w:vAlign w:val="bottom"/>
            <w:tcBorders>
              <w:bottom w:val="single" w:sz="8" w:color="auto"/>
            </w:tcBorders>
          </w:tcPr>
          <w:p>
            <w:pPr>
              <w:spacing w:after="0"/>
              <w:rPr>
                <w:sz w:val="20"/>
                <w:szCs w:val="20"/>
                <w:color w:val="auto"/>
              </w:rPr>
            </w:pPr>
          </w:p>
        </w:tc>
        <w:tc>
          <w:tcPr>
            <w:tcW w:w="160" w:type="dxa"/>
            <w:vAlign w:val="bottom"/>
            <w:tcBorders>
              <w:bottom w:val="single" w:sz="8" w:color="CFF0FC"/>
            </w:tcBorders>
          </w:tcPr>
          <w:p>
            <w:pPr>
              <w:spacing w:after="0"/>
              <w:rPr>
                <w:sz w:val="20"/>
                <w:szCs w:val="20"/>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1Q15</w:t>
            </w:r>
          </w:p>
        </w:tc>
        <w:tc>
          <w:tcPr>
            <w:tcW w:w="580" w:type="dxa"/>
            <w:vAlign w:val="bottom"/>
            <w:tcBorders>
              <w:bottom w:val="single" w:sz="8" w:color="auto"/>
            </w:tcBorders>
          </w:tcPr>
          <w:p>
            <w:pPr>
              <w:spacing w:after="0"/>
              <w:rPr>
                <w:sz w:val="20"/>
                <w:szCs w:val="20"/>
                <w:color w:val="auto"/>
              </w:rPr>
            </w:pPr>
          </w:p>
        </w:tc>
        <w:tc>
          <w:tcPr>
            <w:tcW w:w="160" w:type="dxa"/>
            <w:vAlign w:val="bottom"/>
            <w:tcBorders>
              <w:bottom w:val="single" w:sz="8" w:color="CFF0FC"/>
            </w:tcBorders>
          </w:tcPr>
          <w:p>
            <w:pPr>
              <w:spacing w:after="0"/>
              <w:rPr>
                <w:sz w:val="20"/>
                <w:szCs w:val="20"/>
                <w:color w:val="auto"/>
              </w:rPr>
            </w:pPr>
          </w:p>
        </w:tc>
        <w:tc>
          <w:tcPr>
            <w:tcW w:w="1840" w:type="dxa"/>
            <w:vAlign w:val="bottom"/>
            <w:tcBorders>
              <w:bottom w:val="single" w:sz="8" w:color="auto"/>
            </w:tcBorders>
          </w:tcPr>
          <w:p>
            <w:pPr>
              <w:ind w:left="620"/>
              <w:spacing w:after="0"/>
              <w:rPr>
                <w:sz w:val="20"/>
                <w:szCs w:val="20"/>
                <w:color w:val="auto"/>
              </w:rPr>
            </w:pPr>
            <w:r>
              <w:rPr>
                <w:rFonts w:ascii="Arial" w:cs="Arial" w:eastAsia="Arial" w:hAnsi="Arial"/>
                <w:sz w:val="18"/>
                <w:szCs w:val="18"/>
                <w:b w:val="1"/>
                <w:bCs w:val="1"/>
                <w:color w:val="auto"/>
              </w:rPr>
              <w:t>Change</w:t>
            </w:r>
          </w:p>
        </w:tc>
      </w:tr>
      <w:tr>
        <w:trPr>
          <w:trHeight w:val="21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240" w:type="dxa"/>
            <w:vAlign w:val="bottom"/>
            <w:shd w:val="clear" w:color="auto" w:fill="CFF0FC"/>
          </w:tcPr>
          <w:p>
            <w:pPr>
              <w:jc w:val="right"/>
              <w:ind w:right="1050"/>
              <w:spacing w:after="0"/>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729</w:t>
            </w: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107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672</w:t>
            </w: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630"/>
              <w:spacing w:after="0"/>
              <w:rPr>
                <w:sz w:val="20"/>
                <w:szCs w:val="20"/>
                <w:color w:val="auto"/>
              </w:rPr>
            </w:pPr>
            <w:r>
              <w:rPr>
                <w:rFonts w:ascii="Arial" w:cs="Arial" w:eastAsia="Arial" w:hAnsi="Arial"/>
                <w:sz w:val="18"/>
                <w:szCs w:val="18"/>
                <w:color w:val="auto"/>
              </w:rPr>
              <w:t>8%</w:t>
            </w: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Operating profit</w:t>
            </w:r>
          </w:p>
        </w:tc>
        <w:tc>
          <w:tcPr>
            <w:tcW w:w="124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182</w:t>
            </w:r>
          </w:p>
        </w:tc>
        <w:tc>
          <w:tcPr>
            <w:tcW w:w="126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123</w:t>
            </w:r>
          </w:p>
        </w:tc>
        <w:tc>
          <w:tcPr>
            <w:tcW w:w="1840" w:type="dxa"/>
            <w:vAlign w:val="bottom"/>
          </w:tcPr>
          <w:p>
            <w:pPr>
              <w:jc w:val="right"/>
              <w:ind w:right="590"/>
              <w:spacing w:after="0"/>
              <w:rPr>
                <w:sz w:val="20"/>
                <w:szCs w:val="20"/>
                <w:color w:val="auto"/>
              </w:rPr>
            </w:pPr>
            <w:r>
              <w:rPr>
                <w:rFonts w:ascii="Arial" w:cs="Arial" w:eastAsia="Arial" w:hAnsi="Arial"/>
                <w:sz w:val="18"/>
                <w:szCs w:val="18"/>
                <w:color w:val="auto"/>
              </w:rPr>
              <w:t>48%</w:t>
            </w: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Operating profit % of revenue</w:t>
            </w:r>
          </w:p>
        </w:tc>
        <w:tc>
          <w:tcPr>
            <w:tcW w:w="12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25.0%</w:t>
            </w:r>
          </w:p>
        </w:tc>
        <w:tc>
          <w:tcPr>
            <w:tcW w:w="12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18.3%</w:t>
            </w:r>
          </w:p>
        </w:tc>
        <w:tc>
          <w:tcPr>
            <w:tcW w:w="184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Embedded Processing revenue increased in all three product lines, led by Processors. Connectivity and Microcontrollers increased, but to a lesser extent. The increases in Processors and Microcontrollers were primarily due to the mix of products shipped. Operating profit increased primarily due to higher revenue and associated gross profit, as well as lower operating expenses.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r>
              <w:rPr>
                <w:rFonts w:ascii="Arial" w:cs="Arial" w:eastAsia="Arial" w:hAnsi="Arial"/>
                <w:sz w:val="18"/>
                <w:szCs w:val="18"/>
                <w:i w:val="1"/>
                <w:iCs w:val="1"/>
                <w:color w:val="auto"/>
                <w:w w:val="96"/>
              </w:rPr>
              <w:t>Other (includes DLP</w:t>
            </w:r>
            <w:r>
              <w:rPr>
                <w:rFonts w:ascii="Arial" w:cs="Arial" w:eastAsia="Arial" w:hAnsi="Arial"/>
                <w:sz w:val="15"/>
                <w:szCs w:val="15"/>
                <w:i w:val="1"/>
                <w:iCs w:val="1"/>
                <w:color w:val="auto"/>
                <w:w w:val="96"/>
              </w:rPr>
              <w:t>®</w:t>
            </w:r>
            <w:r>
              <w:rPr>
                <w:rFonts w:ascii="Arial" w:cs="Arial" w:eastAsia="Arial" w:hAnsi="Arial"/>
                <w:sz w:val="18"/>
                <w:szCs w:val="18"/>
                <w:i w:val="1"/>
                <w:iCs w:val="1"/>
                <w:color w:val="auto"/>
                <w:w w:val="96"/>
              </w:rPr>
              <w:t xml:space="preserve"> products, calculators, custom ASICs and royalties)</w:t>
            </w:r>
          </w:p>
        </w:tc>
        <w:tc>
          <w:tcPr>
            <w:tcW w:w="1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446"/>
        </w:trPr>
        <w:tc>
          <w:tcPr>
            <w:tcW w:w="5620" w:type="dxa"/>
            <w:vAlign w:val="bottom"/>
            <w:tcBorders>
              <w:bottom w:val="single" w:sz="8" w:color="CFF0FC"/>
            </w:tcBorders>
          </w:tcPr>
          <w:p>
            <w:pPr>
              <w:spacing w:after="0"/>
              <w:rPr>
                <w:sz w:val="24"/>
                <w:szCs w:val="24"/>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1Q16</w:t>
            </w:r>
          </w:p>
        </w:tc>
        <w:tc>
          <w:tcPr>
            <w:tcW w:w="600" w:type="dxa"/>
            <w:vAlign w:val="bottom"/>
            <w:tcBorders>
              <w:bottom w:val="single" w:sz="8" w:color="auto"/>
            </w:tcBorders>
          </w:tcPr>
          <w:p>
            <w:pPr>
              <w:spacing w:after="0"/>
              <w:rPr>
                <w:sz w:val="24"/>
                <w:szCs w:val="24"/>
                <w:color w:val="auto"/>
              </w:rPr>
            </w:pPr>
          </w:p>
        </w:tc>
        <w:tc>
          <w:tcPr>
            <w:tcW w:w="180" w:type="dxa"/>
            <w:vAlign w:val="bottom"/>
            <w:tcBorders>
              <w:bottom w:val="single" w:sz="8" w:color="CFF0FC"/>
            </w:tcBorders>
          </w:tcPr>
          <w:p>
            <w:pPr>
              <w:spacing w:after="0"/>
              <w:rPr>
                <w:sz w:val="24"/>
                <w:szCs w:val="24"/>
                <w:color w:val="auto"/>
              </w:rPr>
            </w:pPr>
          </w:p>
        </w:tc>
        <w:tc>
          <w:tcPr>
            <w:tcW w:w="12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1Q15</w:t>
            </w: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CFF0FC"/>
            </w:tcBorders>
          </w:tcPr>
          <w:p>
            <w:pPr>
              <w:spacing w:after="0"/>
              <w:rPr>
                <w:sz w:val="24"/>
                <w:szCs w:val="24"/>
                <w:color w:val="auto"/>
              </w:rPr>
            </w:pPr>
          </w:p>
        </w:tc>
        <w:tc>
          <w:tcPr>
            <w:tcW w:w="1820" w:type="dxa"/>
            <w:vAlign w:val="bottom"/>
            <w:tcBorders>
              <w:bottom w:val="single" w:sz="8" w:color="auto"/>
            </w:tcBorders>
          </w:tcPr>
          <w:p>
            <w:pPr>
              <w:ind w:left="620"/>
              <w:spacing w:after="0"/>
              <w:rPr>
                <w:sz w:val="20"/>
                <w:szCs w:val="20"/>
                <w:color w:val="auto"/>
              </w:rPr>
            </w:pPr>
            <w:r>
              <w:rPr>
                <w:rFonts w:ascii="Arial" w:cs="Arial" w:eastAsia="Arial" w:hAnsi="Arial"/>
                <w:sz w:val="18"/>
                <w:szCs w:val="18"/>
                <w:b w:val="1"/>
                <w:bCs w:val="1"/>
                <w:color w:val="auto"/>
              </w:rPr>
              <w:t>Change</w:t>
            </w:r>
          </w:p>
        </w:tc>
      </w:tr>
      <w:tr>
        <w:trPr>
          <w:trHeight w:val="210"/>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220" w:type="dxa"/>
            <w:vAlign w:val="bottom"/>
            <w:shd w:val="clear" w:color="auto" w:fill="CFF0FC"/>
          </w:tcPr>
          <w:p>
            <w:pPr>
              <w:jc w:val="right"/>
              <w:ind w:right="1030"/>
              <w:spacing w:after="0"/>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400</w:t>
            </w:r>
          </w:p>
        </w:tc>
        <w:tc>
          <w:tcPr>
            <w:tcW w:w="18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105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w:t>
            </w:r>
          </w:p>
        </w:tc>
        <w:tc>
          <w:tcPr>
            <w:tcW w:w="160" w:type="dxa"/>
            <w:vAlign w:val="bottom"/>
            <w:shd w:val="clear" w:color="auto" w:fill="CFF0FC"/>
          </w:tcPr>
          <w:p>
            <w:pPr>
              <w:spacing w:after="0"/>
              <w:rPr>
                <w:sz w:val="18"/>
                <w:szCs w:val="18"/>
                <w:color w:val="auto"/>
              </w:rPr>
            </w:pPr>
          </w:p>
        </w:tc>
        <w:tc>
          <w:tcPr>
            <w:tcW w:w="1820" w:type="dxa"/>
            <w:vAlign w:val="bottom"/>
            <w:shd w:val="clear" w:color="auto" w:fill="CFF0FC"/>
          </w:tcPr>
          <w:p>
            <w:pPr>
              <w:jc w:val="right"/>
              <w:ind w:right="550"/>
              <w:spacing w:after="0"/>
              <w:rPr>
                <w:sz w:val="20"/>
                <w:szCs w:val="20"/>
                <w:color w:val="auto"/>
              </w:rPr>
            </w:pPr>
            <w:r>
              <w:rPr>
                <w:rFonts w:ascii="Arial" w:cs="Arial" w:eastAsia="Arial" w:hAnsi="Arial"/>
                <w:sz w:val="18"/>
                <w:szCs w:val="18"/>
                <w:color w:val="auto"/>
              </w:rPr>
              <w:t>-10%</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Operating profit*</w:t>
            </w:r>
          </w:p>
        </w:tc>
        <w:tc>
          <w:tcPr>
            <w:tcW w:w="12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107</w:t>
            </w:r>
          </w:p>
        </w:tc>
        <w:tc>
          <w:tcPr>
            <w:tcW w:w="122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114</w:t>
            </w:r>
          </w:p>
        </w:tc>
        <w:tc>
          <w:tcPr>
            <w:tcW w:w="1820" w:type="dxa"/>
            <w:vAlign w:val="bottom"/>
          </w:tcPr>
          <w:p>
            <w:pPr>
              <w:jc w:val="right"/>
              <w:ind w:right="590"/>
              <w:spacing w:after="0"/>
              <w:rPr>
                <w:sz w:val="20"/>
                <w:szCs w:val="20"/>
                <w:color w:val="auto"/>
              </w:rPr>
            </w:pPr>
            <w:r>
              <w:rPr>
                <w:rFonts w:ascii="Arial" w:cs="Arial" w:eastAsia="Arial" w:hAnsi="Arial"/>
                <w:sz w:val="18"/>
                <w:szCs w:val="18"/>
                <w:color w:val="auto"/>
              </w:rPr>
              <w:t>-6%</w:t>
            </w:r>
          </w:p>
        </w:tc>
      </w:tr>
      <w:tr>
        <w:trPr>
          <w:trHeight w:val="230"/>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Operating profit % of revenue</w:t>
            </w:r>
          </w:p>
        </w:tc>
        <w:tc>
          <w:tcPr>
            <w:tcW w:w="12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26.8%</w:t>
            </w:r>
          </w:p>
        </w:tc>
        <w:tc>
          <w:tcPr>
            <w:tcW w:w="12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25.7%</w:t>
            </w:r>
          </w:p>
        </w:tc>
        <w:tc>
          <w:tcPr>
            <w:tcW w:w="1820" w:type="dxa"/>
            <w:vAlign w:val="bottom"/>
            <w:shd w:val="clear" w:color="auto" w:fill="CFF0FC"/>
          </w:tcPr>
          <w:p>
            <w:pPr>
              <w:spacing w:after="0"/>
              <w:rPr>
                <w:sz w:val="19"/>
                <w:szCs w:val="19"/>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 Includes Acquisition charges and Restructuring charges/other</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Other revenue decreased primarily due to custom ASICs. Operating profit decreased by $7 million.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At the end of the first quarter of 2016, total cash (Cash and cash equivalents plus Short-term investments) was $2.80 billion, a decrease of $418 million from the end of 2015.</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Accounts receivable were $1.27 billion, an increase of $104 million compared with the end of 2015. Days sales outstanding were 38 at the end of the first quarter compared with 33 at the end of 2015.</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Inventory was $1.81 billion, an increase of $114 million from the end of 2015. Days of inventory at the end of the first quarter were 137 compared with 115 at the end of 2015. The days increased as we staged our inventory for increased shipments in the second quarter. Also included were 3 to 4 days associated with the portion of the personal electronics market that started slowing late in the fourth quarter of 2015. We expect to ship this material later in the year.</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Our primary source of liquidity is cash flow from operations. Additional sources of liquidity are Cash and cash equivalents, Short-term investments and a variable-rate revolving credit facility. Cash flows from operating activities for the first quarter of 2016 was $547 million, a decrease of $62 million from the year-ago period primarily due to an increase in cash used for working capital.</w:t>
      </w:r>
    </w:p>
    <w:p>
      <w:pPr>
        <w:spacing w:after="0" w:line="18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Our revolving credit facility is with a consortium of investment-grade banks and allows us to borrow up to $2 billion until March 2021. This credit facility also serves as support for the issuance of commercial paper. As of March 31, 2016, our credit facility was undrawn, and we had no commercial paper outstanding.</w:t>
      </w:r>
    </w:p>
    <w:p>
      <w:pPr>
        <w:spacing w:after="0" w:line="181"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For the first three months of 2016, investing activities provided $573 million compared with $158 million in the year-ago period. Capital expenditures were $124 million, about even with the year-ago period, and were primarily for semiconductor manufacturing equipment. We received proceeds from sales of short-term investments, net of purchases, of $700 million, compared with $280 million in the year-ago period.</w:t>
      </w:r>
    </w:p>
    <w:p>
      <w:pPr>
        <w:spacing w:after="0" w:line="166"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For the first three months of 2016, financing activities used cash of $839 million compared with $724 million in the year-ago period. We paid dividends of $383 million compared with $356 million in the year-ago period, reflecting an increase in the dividend rate, partially offset by fewer shares outstanding. We used $630 million to repurchase 12.4 million shares of our common stock, compared with $670 million used in the year-ago period to repurchase 12.0 million shares. Employee exercises of stock options provided cash proceeds of $131 million compared with $246 million in the year-ago period.</w:t>
      </w:r>
    </w:p>
    <w:p>
      <w:pPr>
        <w:spacing w:after="0" w:line="15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On April 29, 2016, we agreed to issue $500 million principal amount of debt, which we expect to use for repayment of a portion of maturing debt. The offering is expected to close on May 6, 2016.</w:t>
      </w:r>
    </w:p>
    <w:p>
      <w:pPr>
        <w:spacing w:after="0" w:line="170"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We had $1.28 billion of Cash and cash equivalents and $1.52 billion of Short-term investments as of March 31, 2016. We believe we have the necessary financial resources and operating plans to fund our working capital needs, capital expenditures, dividend and debt-related payments, and other business requirements for at least the next 12 months.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information</w:t>
      </w:r>
    </w:p>
    <w:p>
      <w:pPr>
        <w:spacing w:after="0" w:line="12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This MD&amp;A includes references to free cash flow and ratios based on that measure. These are financial measures that were not prepared in accordance with GAAP. Free cash flow was calculated by subtracting Capital expenditures from the most directly comparable GAAP measure, Cash flows from operating activities (also referred to as cash flow from operations).</w:t>
      </w:r>
    </w:p>
    <w:p>
      <w:pPr>
        <w:ind w:right="260"/>
        <w:spacing w:after="0" w:line="255" w:lineRule="auto"/>
        <w:rPr>
          <w:sz w:val="20"/>
          <w:szCs w:val="20"/>
          <w:color w:val="auto"/>
        </w:rPr>
      </w:pPr>
      <w:r>
        <w:rPr>
          <w:rFonts w:ascii="Arial" w:cs="Arial" w:eastAsia="Arial" w:hAnsi="Arial"/>
          <w:sz w:val="18"/>
          <w:szCs w:val="18"/>
          <w:color w:val="auto"/>
        </w:rPr>
        <w:t>We believe that free cash flow and the associated ratios provide insight into our liquidity, our cash-generating capability and the amount of cash potentially available to return to investors, as well as insight into our financial performance. These non-GAAP measures are supplemental to the comparable GAAP measures.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to the most directly comparable GAAP-based measures is provided in the table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18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rPr>
              <w:t>For 12 Months Ended</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jc w:val="right"/>
              <w:ind w:right="790"/>
              <w:spacing w:after="0"/>
              <w:rPr>
                <w:sz w:val="20"/>
                <w:szCs w:val="20"/>
                <w:color w:val="auto"/>
              </w:rPr>
            </w:pPr>
            <w:r>
              <w:rPr>
                <w:rFonts w:ascii="Arial" w:cs="Arial" w:eastAsia="Arial" w:hAnsi="Arial"/>
                <w:sz w:val="18"/>
                <w:szCs w:val="18"/>
                <w:b w:val="1"/>
                <w:bCs w:val="1"/>
                <w:color w:val="auto"/>
              </w:rPr>
              <w:t>March 31,</w:t>
            </w:r>
          </w:p>
        </w:tc>
        <w:tc>
          <w:tcPr>
            <w:tcW w:w="6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7"/>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tcBorders>
              <w:bottom w:val="single" w:sz="8" w:color="CFF0FC"/>
            </w:tcBorders>
          </w:tcPr>
          <w:p>
            <w:pPr>
              <w:spacing w:after="0"/>
              <w:rPr>
                <w:sz w:val="18"/>
                <w:szCs w:val="18"/>
                <w:color w:val="auto"/>
              </w:rPr>
            </w:pPr>
          </w:p>
        </w:tc>
        <w:tc>
          <w:tcPr>
            <w:tcW w:w="960" w:type="dxa"/>
            <w:vAlign w:val="bottom"/>
            <w:tcBorders>
              <w:bottom w:val="single" w:sz="8" w:color="CFF0FC"/>
            </w:tcBorders>
          </w:tcPr>
          <w:p>
            <w:pPr>
              <w:spacing w:after="0"/>
              <w:rPr>
                <w:sz w:val="18"/>
                <w:szCs w:val="18"/>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b w:val="1"/>
                <w:bCs w:val="1"/>
                <w:color w:val="auto"/>
              </w:rPr>
              <w:t>2016</w:t>
            </w:r>
          </w:p>
        </w:tc>
        <w:tc>
          <w:tcPr>
            <w:tcW w:w="640" w:type="dxa"/>
            <w:vAlign w:val="bottom"/>
            <w:tcBorders>
              <w:bottom w:val="single" w:sz="8" w:color="auto"/>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2015</w:t>
            </w:r>
          </w:p>
        </w:tc>
        <w:tc>
          <w:tcPr>
            <w:tcW w:w="620" w:type="dxa"/>
            <w:vAlign w:val="bottom"/>
            <w:tcBorders>
              <w:bottom w:val="single" w:sz="8" w:color="auto"/>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Cash flow from operations (GAAP)</w:t>
            </w:r>
          </w:p>
        </w:tc>
        <w:tc>
          <w:tcPr>
            <w:tcW w:w="96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1039"/>
              <w:spacing w:after="0"/>
              <w:rPr>
                <w:sz w:val="20"/>
                <w:szCs w:val="20"/>
                <w:color w:val="auto"/>
              </w:rPr>
            </w:pPr>
            <w:r>
              <w:rPr>
                <w:rFonts w:ascii="Arial" w:cs="Arial" w:eastAsia="Arial" w:hAnsi="Arial"/>
                <w:sz w:val="15"/>
                <w:szCs w:val="15"/>
                <w:b w:val="1"/>
                <w:bCs w:val="1"/>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4,206</w:t>
            </w: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99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4,039</w:t>
            </w: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jc w:val="center"/>
              <w:spacing w:after="0"/>
              <w:rPr>
                <w:sz w:val="20"/>
                <w:szCs w:val="20"/>
                <w:color w:val="auto"/>
              </w:rPr>
            </w:pPr>
            <w:r>
              <w:rPr>
                <w:rFonts w:ascii="Arial" w:cs="Arial" w:eastAsia="Arial" w:hAnsi="Arial"/>
                <w:sz w:val="18"/>
                <w:szCs w:val="18"/>
                <w:b w:val="1"/>
                <w:bCs w:val="1"/>
                <w:color w:val="auto"/>
                <w:w w:val="99"/>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Capital expenditures</w:t>
            </w:r>
          </w:p>
        </w:tc>
        <w:tc>
          <w:tcPr>
            <w:tcW w:w="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(552)</w:t>
            </w:r>
          </w:p>
        </w:tc>
        <w:tc>
          <w:tcPr>
            <w:tcW w:w="1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(431)</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Free cash flow (non-GAAP)</w:t>
            </w:r>
          </w:p>
        </w:tc>
        <w:tc>
          <w:tcPr>
            <w:tcW w:w="960" w:type="dxa"/>
            <w:vAlign w:val="bottom"/>
            <w:tcBorders>
              <w:top w:val="single" w:sz="8" w:color="CFF0FC"/>
              <w:bottom w:val="single" w:sz="8" w:color="CFF0FC"/>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ind w:right="1039"/>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3,654</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180" w:type="dxa"/>
            <w:vAlign w:val="bottom"/>
            <w:tcBorders>
              <w:top w:val="single" w:sz="8" w:color="auto"/>
              <w:bottom w:val="single" w:sz="8" w:color="auto"/>
            </w:tcBorders>
            <w:shd w:val="clear" w:color="auto" w:fill="CFF0FC"/>
          </w:tcPr>
          <w:p>
            <w:pPr>
              <w:jc w:val="right"/>
              <w:ind w:right="99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3,608</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260" w:type="dxa"/>
            <w:vAlign w:val="bottom"/>
            <w:tcBorders>
              <w:top w:val="single" w:sz="8" w:color="CFF0FC"/>
              <w:bottom w:val="single" w:sz="8" w:color="CFF0FC"/>
            </w:tcBorders>
            <w:shd w:val="clear" w:color="auto" w:fill="CFF0FC"/>
          </w:tcPr>
          <w:p>
            <w:pPr>
              <w:jc w:val="center"/>
              <w:spacing w:after="0"/>
              <w:rPr>
                <w:sz w:val="20"/>
                <w:szCs w:val="20"/>
                <w:color w:val="auto"/>
              </w:rPr>
            </w:pPr>
            <w:r>
              <w:rPr>
                <w:rFonts w:ascii="Arial" w:cs="Arial" w:eastAsia="Arial" w:hAnsi="Arial"/>
                <w:sz w:val="18"/>
                <w:szCs w:val="18"/>
                <w:b w:val="1"/>
                <w:bCs w:val="1"/>
                <w:color w:val="auto"/>
                <w:w w:val="99"/>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5220" w:type="dxa"/>
            <w:vAlign w:val="bottom"/>
            <w:tcBorders>
              <w:bottom w:val="single" w:sz="8" w:color="CFF0FC"/>
            </w:tcBorders>
          </w:tcPr>
          <w:p>
            <w:pPr>
              <w:spacing w:after="0"/>
              <w:rPr>
                <w:sz w:val="19"/>
                <w:szCs w:val="19"/>
                <w:color w:val="auto"/>
              </w:rPr>
            </w:pPr>
          </w:p>
        </w:tc>
        <w:tc>
          <w:tcPr>
            <w:tcW w:w="960" w:type="dxa"/>
            <w:vAlign w:val="bottom"/>
            <w:tcBorders>
              <w:bottom w:val="single" w:sz="8" w:color="CFF0FC"/>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96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1039"/>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12,858</w:t>
            </w:r>
          </w:p>
        </w:tc>
        <w:tc>
          <w:tcPr>
            <w:tcW w:w="16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99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13,212</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Cash flow from operations as a percent of revenue (GAAP)</w:t>
            </w:r>
          </w:p>
        </w:tc>
        <w:tc>
          <w:tcPr>
            <w:tcW w:w="9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32.7%</w:t>
            </w:r>
          </w:p>
        </w:tc>
        <w:tc>
          <w:tcPr>
            <w:tcW w:w="1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w:t>
            </w: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40" w:type="dxa"/>
            <w:vAlign w:val="bottom"/>
            <w:gridSpan w:val="2"/>
          </w:tcPr>
          <w:p>
            <w:pPr>
              <w:spacing w:after="0"/>
              <w:rPr>
                <w:sz w:val="20"/>
                <w:szCs w:val="20"/>
                <w:color w:val="auto"/>
              </w:rPr>
            </w:pPr>
            <w:r>
              <w:rPr>
                <w:rFonts w:ascii="Arial" w:cs="Arial" w:eastAsia="Arial" w:hAnsi="Arial"/>
                <w:sz w:val="18"/>
                <w:szCs w:val="18"/>
                <w:color w:val="auto"/>
              </w:rPr>
              <w:t>Free cash flow as a percent of revenue (non-GAAP)</w:t>
            </w:r>
          </w:p>
        </w:tc>
        <w:tc>
          <w:tcPr>
            <w:tcW w:w="9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28.4%</w:t>
            </w: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27.3%</w:t>
            </w: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contractual obligations</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Information regarding long-term debt obligations is described in the long-term contractual obligations table in Item 7 of our Form 10-K for the year ended December 31, 2015.</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Changes in accounting standards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Note 2 to the financial statements for detailed information regarding the status of new accounting and reporting standards.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An evaluation as of the end of the period covered by this report was carried out under the supervision and with the participation of management, including our Chief Executive Officer and Chief Financial Officer, of the effectiveness of the design and operation of our disclosure controls and procedures (as defined in Rules 13a-15(e) and 15d-15(e) under the Securities Exchange Act of 1934). Based upon that evaluation, the Chief Executive Officer and Chief Financial Officer concluded that those disclosure controls and procedures were effective. In addition, there has been no change in our internal control over financial reporting (as defined in Rule 13a-15(f) and 15d-15(f) under the Securities Exchange Act of 1934) that occurred during the period covered by this report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Information concerning our risk factors is contained in Item 1A of our Form 10-K for the year ended December 31, 2015, and is incorporated by reference herein.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information regarding our purchases of our common stock during the quarter.</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434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ISSUER PURCHASES OF EQUITY SECURITIES</w:t>
            </w:r>
          </w:p>
        </w:tc>
        <w:tc>
          <w:tcPr>
            <w:tcW w:w="194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14"/>
        </w:trPr>
        <w:tc>
          <w:tcPr>
            <w:tcW w:w="34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940" w:type="dxa"/>
            <w:vAlign w:val="bottom"/>
          </w:tcPr>
          <w:p>
            <w:pPr>
              <w:jc w:val="center"/>
              <w:ind w:right="570"/>
              <w:spacing w:after="0"/>
              <w:rPr>
                <w:sz w:val="20"/>
                <w:szCs w:val="20"/>
                <w:color w:val="auto"/>
              </w:rPr>
            </w:pPr>
            <w:r>
              <w:rPr>
                <w:rFonts w:ascii="Arial" w:cs="Arial" w:eastAsia="Arial" w:hAnsi="Arial"/>
                <w:sz w:val="18"/>
                <w:szCs w:val="18"/>
                <w:b w:val="1"/>
                <w:bCs w:val="1"/>
                <w:color w:val="auto"/>
                <w:w w:val="93"/>
              </w:rPr>
              <w:t>Total Number</w:t>
            </w: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34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940" w:type="dxa"/>
            <w:vAlign w:val="bottom"/>
          </w:tcPr>
          <w:p>
            <w:pPr>
              <w:jc w:val="center"/>
              <w:ind w:right="570"/>
              <w:spacing w:after="0"/>
              <w:rPr>
                <w:sz w:val="20"/>
                <w:szCs w:val="20"/>
                <w:color w:val="auto"/>
              </w:rPr>
            </w:pPr>
            <w:r>
              <w:rPr>
                <w:rFonts w:ascii="Arial" w:cs="Arial" w:eastAsia="Arial" w:hAnsi="Arial"/>
                <w:sz w:val="18"/>
                <w:szCs w:val="18"/>
                <w:b w:val="1"/>
                <w:bCs w:val="1"/>
                <w:color w:val="auto"/>
                <w:w w:val="87"/>
              </w:rPr>
              <w:t>of Shares</w:t>
            </w: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4"/>
              </w:rPr>
              <w:t>Dollar Value</w:t>
            </w:r>
          </w:p>
        </w:tc>
      </w:tr>
      <w:tr>
        <w:trPr>
          <w:trHeight w:val="234"/>
        </w:trPr>
        <w:tc>
          <w:tcPr>
            <w:tcW w:w="34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940" w:type="dxa"/>
            <w:vAlign w:val="bottom"/>
          </w:tcPr>
          <w:p>
            <w:pPr>
              <w:jc w:val="center"/>
              <w:ind w:right="570"/>
              <w:spacing w:after="0"/>
              <w:rPr>
                <w:sz w:val="20"/>
                <w:szCs w:val="20"/>
                <w:color w:val="auto"/>
              </w:rPr>
            </w:pPr>
            <w:r>
              <w:rPr>
                <w:rFonts w:ascii="Arial" w:cs="Arial" w:eastAsia="Arial" w:hAnsi="Arial"/>
                <w:sz w:val="18"/>
                <w:szCs w:val="18"/>
                <w:b w:val="1"/>
                <w:bCs w:val="1"/>
                <w:color w:val="auto"/>
                <w:w w:val="85"/>
              </w:rPr>
              <w:t>Purchased as</w:t>
            </w: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88"/>
              </w:rPr>
              <w:t>of Shares that</w:t>
            </w:r>
          </w:p>
        </w:tc>
      </w:tr>
      <w:tr>
        <w:trPr>
          <w:trHeight w:val="243"/>
        </w:trPr>
        <w:tc>
          <w:tcPr>
            <w:tcW w:w="348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940" w:type="dxa"/>
            <w:vAlign w:val="bottom"/>
          </w:tcPr>
          <w:p>
            <w:pPr>
              <w:jc w:val="center"/>
              <w:ind w:right="570"/>
              <w:spacing w:after="0"/>
              <w:rPr>
                <w:sz w:val="20"/>
                <w:szCs w:val="20"/>
                <w:color w:val="auto"/>
              </w:rPr>
            </w:pPr>
            <w:r>
              <w:rPr>
                <w:rFonts w:ascii="Arial" w:cs="Arial" w:eastAsia="Arial" w:hAnsi="Arial"/>
                <w:sz w:val="18"/>
                <w:szCs w:val="18"/>
                <w:b w:val="1"/>
                <w:bCs w:val="1"/>
                <w:color w:val="auto"/>
                <w:w w:val="91"/>
              </w:rPr>
              <w:t>Part of</w:t>
            </w: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3"/>
              </w:rPr>
              <w:t>May Yet Be</w:t>
            </w:r>
          </w:p>
        </w:tc>
      </w:tr>
      <w:tr>
        <w:trPr>
          <w:trHeight w:val="225"/>
        </w:trPr>
        <w:tc>
          <w:tcPr>
            <w:tcW w:w="3480" w:type="dxa"/>
            <w:vAlign w:val="bottom"/>
          </w:tcPr>
          <w:p>
            <w:pPr>
              <w:spacing w:after="0"/>
              <w:rPr>
                <w:sz w:val="19"/>
                <w:szCs w:val="19"/>
                <w:color w:val="auto"/>
              </w:rPr>
            </w:pPr>
          </w:p>
        </w:tc>
        <w:tc>
          <w:tcPr>
            <w:tcW w:w="2560" w:type="dxa"/>
            <w:vAlign w:val="bottom"/>
          </w:tcPr>
          <w:p>
            <w:pPr>
              <w:jc w:val="center"/>
              <w:ind w:left="190"/>
              <w:spacing w:after="0"/>
              <w:rPr>
                <w:sz w:val="20"/>
                <w:szCs w:val="20"/>
                <w:color w:val="auto"/>
              </w:rPr>
            </w:pPr>
            <w:r>
              <w:rPr>
                <w:rFonts w:ascii="Arial" w:cs="Arial" w:eastAsia="Arial" w:hAnsi="Arial"/>
                <w:sz w:val="18"/>
                <w:szCs w:val="18"/>
                <w:b w:val="1"/>
                <w:bCs w:val="1"/>
                <w:color w:val="auto"/>
                <w:w w:val="92"/>
              </w:rPr>
              <w:t>Total</w:t>
            </w: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940" w:type="dxa"/>
            <w:vAlign w:val="bottom"/>
          </w:tcPr>
          <w:p>
            <w:pPr>
              <w:jc w:val="center"/>
              <w:ind w:right="570"/>
              <w:spacing w:after="0"/>
              <w:rPr>
                <w:sz w:val="20"/>
                <w:szCs w:val="20"/>
                <w:color w:val="auto"/>
              </w:rPr>
            </w:pPr>
            <w:r>
              <w:rPr>
                <w:rFonts w:ascii="Arial" w:cs="Arial" w:eastAsia="Arial" w:hAnsi="Arial"/>
                <w:sz w:val="18"/>
                <w:szCs w:val="18"/>
                <w:b w:val="1"/>
                <w:bCs w:val="1"/>
                <w:color w:val="auto"/>
                <w:w w:val="92"/>
              </w:rPr>
              <w:t>Publicly</w:t>
            </w: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w:t>
            </w:r>
          </w:p>
        </w:tc>
      </w:tr>
      <w:tr>
        <w:trPr>
          <w:trHeight w:val="216"/>
        </w:trPr>
        <w:tc>
          <w:tcPr>
            <w:tcW w:w="3480" w:type="dxa"/>
            <w:vAlign w:val="bottom"/>
          </w:tcPr>
          <w:p>
            <w:pPr>
              <w:spacing w:after="0"/>
              <w:rPr>
                <w:sz w:val="18"/>
                <w:szCs w:val="18"/>
                <w:color w:val="auto"/>
              </w:rPr>
            </w:pPr>
          </w:p>
        </w:tc>
        <w:tc>
          <w:tcPr>
            <w:tcW w:w="2560" w:type="dxa"/>
            <w:vAlign w:val="bottom"/>
          </w:tcPr>
          <w:p>
            <w:pPr>
              <w:jc w:val="center"/>
              <w:ind w:left="190"/>
              <w:spacing w:after="0"/>
              <w:rPr>
                <w:sz w:val="20"/>
                <w:szCs w:val="20"/>
                <w:color w:val="auto"/>
              </w:rPr>
            </w:pPr>
            <w:r>
              <w:rPr>
                <w:rFonts w:ascii="Arial" w:cs="Arial" w:eastAsia="Arial" w:hAnsi="Arial"/>
                <w:sz w:val="18"/>
                <w:szCs w:val="18"/>
                <w:b w:val="1"/>
                <w:bCs w:val="1"/>
                <w:color w:val="auto"/>
                <w:w w:val="93"/>
              </w:rPr>
              <w:t>Number of</w:t>
            </w:r>
          </w:p>
        </w:tc>
        <w:tc>
          <w:tcPr>
            <w:tcW w:w="260" w:type="dxa"/>
            <w:vAlign w:val="bottom"/>
          </w:tcPr>
          <w:p>
            <w:pPr>
              <w:spacing w:after="0"/>
              <w:rPr>
                <w:sz w:val="18"/>
                <w:szCs w:val="18"/>
                <w:color w:val="auto"/>
              </w:rPr>
            </w:pPr>
          </w:p>
        </w:tc>
        <w:tc>
          <w:tcPr>
            <w:tcW w:w="1520" w:type="dxa"/>
            <w:vAlign w:val="bottom"/>
          </w:tcPr>
          <w:p>
            <w:pPr>
              <w:jc w:val="center"/>
              <w:ind w:right="490"/>
              <w:spacing w:after="0"/>
              <w:rPr>
                <w:sz w:val="20"/>
                <w:szCs w:val="20"/>
                <w:color w:val="auto"/>
              </w:rPr>
            </w:pPr>
            <w:r>
              <w:rPr>
                <w:rFonts w:ascii="Arial" w:cs="Arial" w:eastAsia="Arial" w:hAnsi="Arial"/>
                <w:sz w:val="18"/>
                <w:szCs w:val="18"/>
                <w:b w:val="1"/>
                <w:bCs w:val="1"/>
                <w:color w:val="auto"/>
                <w:w w:val="87"/>
              </w:rPr>
              <w:t>Average</w:t>
            </w:r>
          </w:p>
        </w:tc>
        <w:tc>
          <w:tcPr>
            <w:tcW w:w="1940" w:type="dxa"/>
            <w:vAlign w:val="bottom"/>
          </w:tcPr>
          <w:p>
            <w:pPr>
              <w:jc w:val="center"/>
              <w:ind w:right="570"/>
              <w:spacing w:after="0"/>
              <w:rPr>
                <w:sz w:val="20"/>
                <w:szCs w:val="20"/>
                <w:color w:val="auto"/>
              </w:rPr>
            </w:pPr>
            <w:r>
              <w:rPr>
                <w:rFonts w:ascii="Arial" w:cs="Arial" w:eastAsia="Arial" w:hAnsi="Arial"/>
                <w:sz w:val="18"/>
                <w:szCs w:val="18"/>
                <w:b w:val="1"/>
                <w:bCs w:val="1"/>
                <w:color w:val="auto"/>
                <w:w w:val="88"/>
              </w:rPr>
              <w:t>Announced</w:t>
            </w: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2"/>
              </w:rPr>
              <w:t>Under the</w:t>
            </w:r>
          </w:p>
        </w:tc>
      </w:tr>
      <w:tr>
        <w:trPr>
          <w:trHeight w:val="216"/>
        </w:trPr>
        <w:tc>
          <w:tcPr>
            <w:tcW w:w="3480" w:type="dxa"/>
            <w:vAlign w:val="bottom"/>
          </w:tcPr>
          <w:p>
            <w:pPr>
              <w:spacing w:after="0"/>
              <w:rPr>
                <w:sz w:val="18"/>
                <w:szCs w:val="18"/>
                <w:color w:val="auto"/>
              </w:rPr>
            </w:pPr>
          </w:p>
        </w:tc>
        <w:tc>
          <w:tcPr>
            <w:tcW w:w="2560" w:type="dxa"/>
            <w:vAlign w:val="bottom"/>
          </w:tcPr>
          <w:p>
            <w:pPr>
              <w:jc w:val="center"/>
              <w:ind w:left="190"/>
              <w:spacing w:after="0"/>
              <w:rPr>
                <w:sz w:val="20"/>
                <w:szCs w:val="20"/>
                <w:color w:val="auto"/>
              </w:rPr>
            </w:pPr>
            <w:r>
              <w:rPr>
                <w:rFonts w:ascii="Arial" w:cs="Arial" w:eastAsia="Arial" w:hAnsi="Arial"/>
                <w:sz w:val="18"/>
                <w:szCs w:val="18"/>
                <w:b w:val="1"/>
                <w:bCs w:val="1"/>
                <w:color w:val="auto"/>
                <w:w w:val="86"/>
              </w:rPr>
              <w:t>Shares</w:t>
            </w:r>
          </w:p>
        </w:tc>
        <w:tc>
          <w:tcPr>
            <w:tcW w:w="260" w:type="dxa"/>
            <w:vAlign w:val="bottom"/>
          </w:tcPr>
          <w:p>
            <w:pPr>
              <w:spacing w:after="0"/>
              <w:rPr>
                <w:sz w:val="18"/>
                <w:szCs w:val="18"/>
                <w:color w:val="auto"/>
              </w:rPr>
            </w:pPr>
          </w:p>
        </w:tc>
        <w:tc>
          <w:tcPr>
            <w:tcW w:w="1520" w:type="dxa"/>
            <w:vAlign w:val="bottom"/>
          </w:tcPr>
          <w:p>
            <w:pPr>
              <w:jc w:val="center"/>
              <w:ind w:right="470"/>
              <w:spacing w:after="0"/>
              <w:rPr>
                <w:sz w:val="20"/>
                <w:szCs w:val="20"/>
                <w:color w:val="auto"/>
              </w:rPr>
            </w:pPr>
            <w:r>
              <w:rPr>
                <w:rFonts w:ascii="Arial" w:cs="Arial" w:eastAsia="Arial" w:hAnsi="Arial"/>
                <w:sz w:val="18"/>
                <w:szCs w:val="18"/>
                <w:b w:val="1"/>
                <w:bCs w:val="1"/>
                <w:color w:val="auto"/>
                <w:w w:val="91"/>
              </w:rPr>
              <w:t>Price Paid</w:t>
            </w:r>
          </w:p>
        </w:tc>
        <w:tc>
          <w:tcPr>
            <w:tcW w:w="1940" w:type="dxa"/>
            <w:vAlign w:val="bottom"/>
          </w:tcPr>
          <w:p>
            <w:pPr>
              <w:jc w:val="center"/>
              <w:ind w:right="570"/>
              <w:spacing w:after="0"/>
              <w:rPr>
                <w:sz w:val="20"/>
                <w:szCs w:val="20"/>
                <w:color w:val="auto"/>
              </w:rPr>
            </w:pPr>
            <w:r>
              <w:rPr>
                <w:rFonts w:ascii="Arial" w:cs="Arial" w:eastAsia="Arial" w:hAnsi="Arial"/>
                <w:sz w:val="18"/>
                <w:szCs w:val="18"/>
                <w:b w:val="1"/>
                <w:bCs w:val="1"/>
                <w:color w:val="auto"/>
                <w:w w:val="90"/>
              </w:rPr>
              <w:t>Plans or</w:t>
            </w: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87"/>
              </w:rPr>
              <w:t>Plans or</w:t>
            </w:r>
          </w:p>
        </w:tc>
      </w:tr>
      <w:tr>
        <w:trPr>
          <w:trHeight w:val="234"/>
        </w:trPr>
        <w:tc>
          <w:tcPr>
            <w:tcW w:w="3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Period</w:t>
            </w:r>
          </w:p>
        </w:tc>
        <w:tc>
          <w:tcPr>
            <w:tcW w:w="256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Purchased</w:t>
            </w: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470"/>
              <w:spacing w:after="0"/>
              <w:rPr>
                <w:sz w:val="20"/>
                <w:szCs w:val="20"/>
                <w:color w:val="auto"/>
              </w:rPr>
            </w:pPr>
            <w:r>
              <w:rPr>
                <w:rFonts w:ascii="Arial" w:cs="Arial" w:eastAsia="Arial" w:hAnsi="Arial"/>
                <w:sz w:val="18"/>
                <w:szCs w:val="18"/>
                <w:b w:val="1"/>
                <w:bCs w:val="1"/>
                <w:color w:val="auto"/>
                <w:w w:val="91"/>
              </w:rPr>
              <w:t>per Share</w:t>
            </w:r>
          </w:p>
        </w:tc>
        <w:tc>
          <w:tcPr>
            <w:tcW w:w="1940" w:type="dxa"/>
            <w:vAlign w:val="bottom"/>
            <w:tcBorders>
              <w:bottom w:val="single" w:sz="8" w:color="auto"/>
            </w:tcBorders>
          </w:tcPr>
          <w:p>
            <w:pPr>
              <w:jc w:val="center"/>
              <w:ind w:right="570"/>
              <w:spacing w:after="0"/>
              <w:rPr>
                <w:sz w:val="20"/>
                <w:szCs w:val="20"/>
                <w:color w:val="auto"/>
              </w:rPr>
            </w:pPr>
            <w:r>
              <w:rPr>
                <w:rFonts w:ascii="Arial" w:cs="Arial" w:eastAsia="Arial" w:hAnsi="Arial"/>
                <w:sz w:val="18"/>
                <w:szCs w:val="18"/>
                <w:b w:val="1"/>
                <w:bCs w:val="1"/>
                <w:color w:val="auto"/>
                <w:w w:val="89"/>
              </w:rPr>
              <w:t>Programs</w:t>
            </w:r>
            <w:r>
              <w:rPr>
                <w:rFonts w:ascii="Arial" w:cs="Arial" w:eastAsia="Arial" w:hAnsi="Arial"/>
                <w:sz w:val="15"/>
                <w:szCs w:val="15"/>
                <w:b w:val="1"/>
                <w:bCs w:val="1"/>
                <w:color w:val="auto"/>
                <w:w w:val="89"/>
              </w:rPr>
              <w:t>(1)</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 xml:space="preserve">Programs </w:t>
            </w:r>
            <w:r>
              <w:rPr>
                <w:rFonts w:ascii="Arial" w:cs="Arial" w:eastAsia="Arial" w:hAnsi="Arial"/>
                <w:sz w:val="15"/>
                <w:szCs w:val="15"/>
                <w:b w:val="1"/>
                <w:bCs w:val="1"/>
                <w:color w:val="auto"/>
                <w:w w:val="91"/>
              </w:rPr>
              <w:t>(1)</w:t>
            </w:r>
          </w:p>
        </w:tc>
      </w:tr>
      <w:tr>
        <w:trPr>
          <w:trHeight w:val="210"/>
        </w:trPr>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January 1, 2016 through January 31, 2016</w:t>
            </w:r>
          </w:p>
        </w:tc>
        <w:tc>
          <w:tcPr>
            <w:tcW w:w="256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8,812,616</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rPr>
              <w:t>51.05</w:t>
            </w:r>
          </w:p>
        </w:tc>
        <w:tc>
          <w:tcPr>
            <w:tcW w:w="19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rPr>
              <w:t>8,812,616</w:t>
            </w:r>
          </w:p>
        </w:tc>
        <w:tc>
          <w:tcPr>
            <w:tcW w:w="1660" w:type="dxa"/>
            <w:vAlign w:val="bottom"/>
            <w:shd w:val="clear" w:color="auto" w:fill="CFF0FC"/>
          </w:tcPr>
          <w:p>
            <w:pPr>
              <w:ind w:left="540"/>
              <w:spacing w:after="0"/>
              <w:rPr>
                <w:sz w:val="20"/>
                <w:szCs w:val="20"/>
                <w:color w:val="auto"/>
              </w:rPr>
            </w:pPr>
            <w:r>
              <w:rPr>
                <w:rFonts w:ascii="Arial" w:cs="Arial" w:eastAsia="Arial" w:hAnsi="Arial"/>
                <w:sz w:val="18"/>
                <w:szCs w:val="18"/>
                <w:color w:val="auto"/>
              </w:rPr>
              <w:t>7.48billion</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w w:val="97"/>
              </w:rPr>
              <w:t>February 1, 2016 through February 29, 2016</w:t>
            </w:r>
          </w:p>
        </w:tc>
        <w:tc>
          <w:tcPr>
            <w:tcW w:w="2560" w:type="dxa"/>
            <w:vAlign w:val="bottom"/>
          </w:tcPr>
          <w:p>
            <w:pPr>
              <w:jc w:val="right"/>
              <w:ind w:right="210"/>
              <w:spacing w:after="0"/>
              <w:rPr>
                <w:sz w:val="20"/>
                <w:szCs w:val="20"/>
                <w:color w:val="auto"/>
              </w:rPr>
            </w:pPr>
            <w:r>
              <w:rPr>
                <w:rFonts w:ascii="Arial" w:cs="Arial" w:eastAsia="Arial" w:hAnsi="Arial"/>
                <w:sz w:val="18"/>
                <w:szCs w:val="18"/>
                <w:color w:val="auto"/>
              </w:rPr>
              <w:t>3,547,824</w:t>
            </w:r>
          </w:p>
        </w:tc>
        <w:tc>
          <w:tcPr>
            <w:tcW w:w="260" w:type="dxa"/>
            <w:vAlign w:val="bottom"/>
          </w:tcPr>
          <w:p>
            <w:pPr>
              <w:spacing w:after="0"/>
              <w:rPr>
                <w:sz w:val="18"/>
                <w:szCs w:val="18"/>
                <w:color w:val="auto"/>
              </w:rPr>
            </w:pPr>
          </w:p>
        </w:tc>
        <w:tc>
          <w:tcPr>
            <w:tcW w:w="1520" w:type="dxa"/>
            <w:vAlign w:val="bottom"/>
          </w:tcPr>
          <w:p>
            <w:pPr>
              <w:jc w:val="right"/>
              <w:ind w:right="330"/>
              <w:spacing w:after="0"/>
              <w:rPr>
                <w:sz w:val="20"/>
                <w:szCs w:val="20"/>
                <w:color w:val="auto"/>
              </w:rPr>
            </w:pPr>
            <w:r>
              <w:rPr>
                <w:rFonts w:ascii="Arial" w:cs="Arial" w:eastAsia="Arial" w:hAnsi="Arial"/>
                <w:sz w:val="18"/>
                <w:szCs w:val="18"/>
                <w:color w:val="auto"/>
              </w:rPr>
              <w:t>50.77</w:t>
            </w:r>
          </w:p>
        </w:tc>
        <w:tc>
          <w:tcPr>
            <w:tcW w:w="1940" w:type="dxa"/>
            <w:vAlign w:val="bottom"/>
          </w:tcPr>
          <w:p>
            <w:pPr>
              <w:jc w:val="right"/>
              <w:ind w:right="350"/>
              <w:spacing w:after="0"/>
              <w:rPr>
                <w:sz w:val="20"/>
                <w:szCs w:val="20"/>
                <w:color w:val="auto"/>
              </w:rPr>
            </w:pPr>
            <w:r>
              <w:rPr>
                <w:rFonts w:ascii="Arial" w:cs="Arial" w:eastAsia="Arial" w:hAnsi="Arial"/>
                <w:sz w:val="18"/>
                <w:szCs w:val="18"/>
                <w:color w:val="auto"/>
              </w:rPr>
              <w:t>3,547,824</w:t>
            </w:r>
          </w:p>
        </w:tc>
        <w:tc>
          <w:tcPr>
            <w:tcW w:w="1660" w:type="dxa"/>
            <w:vAlign w:val="bottom"/>
          </w:tcPr>
          <w:p>
            <w:pPr>
              <w:ind w:left="540"/>
              <w:spacing w:after="0"/>
              <w:rPr>
                <w:sz w:val="20"/>
                <w:szCs w:val="20"/>
                <w:color w:val="auto"/>
              </w:rPr>
            </w:pPr>
            <w:r>
              <w:rPr>
                <w:rFonts w:ascii="Arial" w:cs="Arial" w:eastAsia="Arial" w:hAnsi="Arial"/>
                <w:sz w:val="18"/>
                <w:szCs w:val="18"/>
                <w:color w:val="auto"/>
              </w:rPr>
              <w:t>7.30billion</w:t>
            </w:r>
          </w:p>
        </w:tc>
      </w:tr>
      <w:tr>
        <w:trPr>
          <w:trHeight w:val="216"/>
        </w:trPr>
        <w:tc>
          <w:tcPr>
            <w:tcW w:w="34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March 1, 2016 through March 31, 2016</w:t>
            </w:r>
          </w:p>
        </w:tc>
        <w:tc>
          <w:tcPr>
            <w:tcW w:w="256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shd w:val="clear" w:color="auto" w:fill="CFF0FC"/>
          </w:tcPr>
          <w:p>
            <w:pPr>
              <w:ind w:left="540"/>
              <w:spacing w:after="0"/>
              <w:rPr>
                <w:sz w:val="20"/>
                <w:szCs w:val="20"/>
                <w:color w:val="auto"/>
              </w:rPr>
            </w:pPr>
            <w:r>
              <w:rPr>
                <w:rFonts w:ascii="Arial" w:cs="Arial" w:eastAsia="Arial" w:hAnsi="Arial"/>
                <w:sz w:val="18"/>
                <w:szCs w:val="18"/>
                <w:color w:val="auto"/>
              </w:rPr>
              <w:t>7.30billion</w:t>
            </w:r>
          </w:p>
        </w:tc>
      </w:tr>
      <w:tr>
        <w:trPr>
          <w:trHeight w:val="224"/>
        </w:trPr>
        <w:tc>
          <w:tcPr>
            <w:tcW w:w="3480" w:type="dxa"/>
            <w:vAlign w:val="bottom"/>
          </w:tcPr>
          <w:p>
            <w:pPr>
              <w:spacing w:after="0"/>
              <w:rPr>
                <w:sz w:val="20"/>
                <w:szCs w:val="20"/>
                <w:color w:val="auto"/>
              </w:rPr>
            </w:pPr>
            <w:r>
              <w:rPr>
                <w:rFonts w:ascii="Arial" w:cs="Arial" w:eastAsia="Arial" w:hAnsi="Arial"/>
                <w:sz w:val="18"/>
                <w:szCs w:val="18"/>
                <w:color w:val="auto"/>
              </w:rPr>
              <w:t>Total</w:t>
            </w:r>
          </w:p>
        </w:tc>
        <w:tc>
          <w:tcPr>
            <w:tcW w:w="2560" w:type="dxa"/>
            <w:vAlign w:val="bottom"/>
          </w:tcPr>
          <w:p>
            <w:pPr>
              <w:jc w:val="right"/>
              <w:ind w:right="30"/>
              <w:spacing w:after="0"/>
              <w:rPr>
                <w:sz w:val="20"/>
                <w:szCs w:val="20"/>
                <w:color w:val="auto"/>
              </w:rPr>
            </w:pPr>
            <w:r>
              <w:rPr>
                <w:rFonts w:ascii="Arial" w:cs="Arial" w:eastAsia="Arial" w:hAnsi="Arial"/>
                <w:sz w:val="18"/>
                <w:szCs w:val="18"/>
                <w:color w:val="auto"/>
              </w:rPr>
              <w:t>12,360,440</w:t>
            </w:r>
            <w:r>
              <w:rPr>
                <w:rFonts w:ascii="Arial" w:cs="Arial" w:eastAsia="Arial" w:hAnsi="Arial"/>
                <w:sz w:val="15"/>
                <w:szCs w:val="15"/>
                <w:color w:val="auto"/>
              </w:rPr>
              <w:t>(2)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330"/>
              <w:spacing w:after="0"/>
              <w:rPr>
                <w:sz w:val="20"/>
                <w:szCs w:val="20"/>
                <w:color w:val="auto"/>
              </w:rPr>
            </w:pPr>
            <w:r>
              <w:rPr>
                <w:rFonts w:ascii="Arial" w:cs="Arial" w:eastAsia="Arial" w:hAnsi="Arial"/>
                <w:sz w:val="18"/>
                <w:szCs w:val="18"/>
                <w:color w:val="auto"/>
              </w:rPr>
              <w:t>50.97</w:t>
            </w:r>
          </w:p>
        </w:tc>
        <w:tc>
          <w:tcPr>
            <w:tcW w:w="1940" w:type="dxa"/>
            <w:vAlign w:val="bottom"/>
          </w:tcPr>
          <w:p>
            <w:pPr>
              <w:jc w:val="right"/>
              <w:ind w:right="170"/>
              <w:spacing w:after="0"/>
              <w:rPr>
                <w:sz w:val="20"/>
                <w:szCs w:val="20"/>
                <w:color w:val="auto"/>
              </w:rPr>
            </w:pPr>
            <w:r>
              <w:rPr>
                <w:rFonts w:ascii="Arial" w:cs="Arial" w:eastAsia="Arial" w:hAnsi="Arial"/>
                <w:sz w:val="18"/>
                <w:szCs w:val="18"/>
                <w:color w:val="auto"/>
              </w:rPr>
              <w:t>12,360,440</w:t>
            </w:r>
            <w:r>
              <w:rPr>
                <w:rFonts w:ascii="Arial" w:cs="Arial" w:eastAsia="Arial" w:hAnsi="Arial"/>
                <w:sz w:val="15"/>
                <w:szCs w:val="15"/>
                <w:color w:val="auto"/>
              </w:rPr>
              <w:t>(2)</w:t>
            </w:r>
          </w:p>
        </w:tc>
        <w:tc>
          <w:tcPr>
            <w:tcW w:w="1660" w:type="dxa"/>
            <w:vAlign w:val="bottom"/>
          </w:tcPr>
          <w:p>
            <w:pPr>
              <w:ind w:left="540"/>
              <w:spacing w:after="0"/>
              <w:rPr>
                <w:sz w:val="20"/>
                <w:szCs w:val="20"/>
                <w:color w:val="auto"/>
              </w:rPr>
            </w:pPr>
            <w:r>
              <w:rPr>
                <w:rFonts w:ascii="Arial" w:cs="Arial" w:eastAsia="Arial" w:hAnsi="Arial"/>
                <w:sz w:val="18"/>
                <w:szCs w:val="18"/>
                <w:color w:val="auto"/>
              </w:rPr>
              <w:t xml:space="preserve">7.30billion </w:t>
            </w:r>
            <w:r>
              <w:rPr>
                <w:rFonts w:ascii="Arial" w:cs="Arial" w:eastAsia="Arial" w:hAnsi="Arial"/>
                <w:sz w:val="15"/>
                <w:szCs w:val="15"/>
                <w:color w:val="auto"/>
              </w:rPr>
              <w:t>(3)</w:t>
            </w:r>
          </w:p>
        </w:tc>
      </w:tr>
    </w:tbl>
    <w:p>
      <w:pPr>
        <w:spacing w:after="0" w:line="93" w:lineRule="exact"/>
        <w:rPr>
          <w:sz w:val="20"/>
          <w:szCs w:val="20"/>
          <w:color w:val="auto"/>
        </w:rPr>
      </w:pPr>
    </w:p>
    <w:p>
      <w:pPr>
        <w:ind w:left="520" w:right="320" w:hanging="512"/>
        <w:spacing w:after="0" w:line="256" w:lineRule="auto"/>
        <w:tabs>
          <w:tab w:leader="none" w:pos="520" w:val="left"/>
        </w:tabs>
        <w:numPr>
          <w:ilvl w:val="0"/>
          <w:numId w:val="9"/>
        </w:numPr>
        <w:rPr>
          <w:rFonts w:ascii="Arial" w:cs="Arial" w:eastAsia="Arial" w:hAnsi="Arial"/>
          <w:sz w:val="15"/>
          <w:szCs w:val="15"/>
          <w:color w:val="auto"/>
        </w:rPr>
      </w:pPr>
      <w:r>
        <w:rPr>
          <w:rFonts w:ascii="Arial" w:cs="Arial" w:eastAsia="Arial" w:hAnsi="Arial"/>
          <w:sz w:val="18"/>
          <w:szCs w:val="18"/>
          <w:color w:val="auto"/>
        </w:rPr>
        <w:t>All purchases during the quarter were made either under the authorization from our board of directors to purchase up to $5.0 billion of additional shares of TI common stock announced on February 21, 2013 (of which approximately $430 million was available on January 1, 2016) or under the $7.5 billion authorization authorized on September 17, 2015.</w:t>
      </w:r>
    </w:p>
    <w:p>
      <w:pPr>
        <w:ind w:left="520" w:hanging="512"/>
        <w:spacing w:after="0"/>
        <w:tabs>
          <w:tab w:leader="none" w:pos="520" w:val="left"/>
        </w:tabs>
        <w:numPr>
          <w:ilvl w:val="0"/>
          <w:numId w:val="9"/>
        </w:numPr>
        <w:rPr>
          <w:rFonts w:ascii="Arial" w:cs="Arial" w:eastAsia="Arial" w:hAnsi="Arial"/>
          <w:sz w:val="15"/>
          <w:szCs w:val="15"/>
          <w:color w:val="auto"/>
        </w:rPr>
      </w:pPr>
      <w:r>
        <w:rPr>
          <w:rFonts w:ascii="Arial" w:cs="Arial" w:eastAsia="Arial" w:hAnsi="Arial"/>
          <w:sz w:val="18"/>
          <w:szCs w:val="18"/>
          <w:color w:val="auto"/>
        </w:rPr>
        <w:t>All purchases during the quarter were open-market purchases.</w:t>
      </w:r>
    </w:p>
    <w:p>
      <w:pPr>
        <w:spacing w:after="0" w:line="9" w:lineRule="exact"/>
        <w:rPr>
          <w:rFonts w:ascii="Arial" w:cs="Arial" w:eastAsia="Arial" w:hAnsi="Arial"/>
          <w:sz w:val="15"/>
          <w:szCs w:val="15"/>
          <w:color w:val="auto"/>
        </w:rPr>
      </w:pPr>
    </w:p>
    <w:p>
      <w:pPr>
        <w:ind w:left="520" w:right="220" w:hanging="512"/>
        <w:spacing w:after="0" w:line="261" w:lineRule="auto"/>
        <w:tabs>
          <w:tab w:leader="none" w:pos="520" w:val="left"/>
        </w:tabs>
        <w:numPr>
          <w:ilvl w:val="0"/>
          <w:numId w:val="9"/>
        </w:numPr>
        <w:rPr>
          <w:rFonts w:ascii="Arial" w:cs="Arial" w:eastAsia="Arial" w:hAnsi="Arial"/>
          <w:sz w:val="15"/>
          <w:szCs w:val="15"/>
          <w:color w:val="auto"/>
        </w:rPr>
      </w:pPr>
      <w:r>
        <w:rPr>
          <w:rFonts w:ascii="Arial" w:cs="Arial" w:eastAsia="Arial" w:hAnsi="Arial"/>
          <w:sz w:val="18"/>
          <w:szCs w:val="18"/>
          <w:color w:val="auto"/>
        </w:rPr>
        <w:t>As of March 31, 2016, this amount consisted of the remaining portion of the $7.5 billion authorized in September 2015. No expiration date has been specified for this authorization.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9" w:name="page20"/>
    <w:bookmarkEnd w:id="19"/>
    <w:p>
      <w:pPr>
        <w:ind w:left="120"/>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Designation of</w:t>
      </w:r>
    </w:p>
    <w:p>
      <w:pPr>
        <w:spacing w:after="0" w:line="27" w:lineRule="exact"/>
        <w:rPr>
          <w:sz w:val="20"/>
          <w:szCs w:val="20"/>
          <w:color w:val="auto"/>
        </w:rPr>
      </w:pPr>
    </w:p>
    <w:p>
      <w:pPr>
        <w:ind w:left="200"/>
        <w:spacing w:after="0"/>
        <w:tabs>
          <w:tab w:leader="none" w:pos="1760" w:val="left"/>
        </w:tabs>
        <w:rPr>
          <w:sz w:val="20"/>
          <w:szCs w:val="20"/>
          <w:color w:val="auto"/>
        </w:rPr>
      </w:pPr>
      <w:r>
        <w:rPr>
          <w:rFonts w:ascii="Arial" w:cs="Arial" w:eastAsia="Arial" w:hAnsi="Arial"/>
          <w:sz w:val="18"/>
          <w:szCs w:val="18"/>
          <w:b w:val="1"/>
          <w:bCs w:val="1"/>
          <w:color w:val="auto"/>
        </w:rPr>
        <w:t>Exhibits in This</w:t>
      </w:r>
      <w:r>
        <w:rPr>
          <w:sz w:val="20"/>
          <w:szCs w:val="20"/>
          <w:color w:val="auto"/>
        </w:rPr>
        <w:tab/>
      </w:r>
      <w:r>
        <w:rPr>
          <w:rFonts w:ascii="Arial" w:cs="Arial" w:eastAsia="Arial" w:hAnsi="Arial"/>
          <w:sz w:val="16"/>
          <w:szCs w:val="16"/>
          <w:b w:val="1"/>
          <w:bCs w:val="1"/>
          <w:color w:val="auto"/>
        </w:rPr>
        <w:t>Description of Exhibit</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3429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34290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3(a)</w:t>
      </w:r>
    </w:p>
    <w:p>
      <w:pPr>
        <w:spacing w:after="0" w:line="3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3(b)</w:t>
      </w:r>
    </w:p>
    <w:p>
      <w:pPr>
        <w:spacing w:after="0" w:line="225"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31(a)</w:t>
      </w:r>
    </w:p>
    <w:p>
      <w:pPr>
        <w:spacing w:after="0" w:line="117"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31(b)</w:t>
      </w:r>
    </w:p>
    <w:p>
      <w:pPr>
        <w:spacing w:after="0" w:line="117"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32(a)</w:t>
      </w:r>
    </w:p>
    <w:p>
      <w:pPr>
        <w:spacing w:after="0" w:line="117"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32(b)</w:t>
      </w:r>
    </w:p>
    <w:p>
      <w:pPr>
        <w:spacing w:after="0" w:line="117" w:lineRule="exact"/>
        <w:rPr>
          <w:sz w:val="20"/>
          <w:szCs w:val="20"/>
          <w:color w:val="auto"/>
        </w:rPr>
      </w:pPr>
    </w:p>
    <w:p>
      <w:pPr>
        <w:jc w:val="center"/>
        <w:ind w:left="540"/>
        <w:spacing w:after="0"/>
        <w:rPr>
          <w:sz w:val="20"/>
          <w:szCs w:val="20"/>
          <w:color w:val="auto"/>
        </w:rPr>
      </w:pPr>
      <w:r>
        <w:rPr>
          <w:rFonts w:ascii="Arial" w:cs="Arial" w:eastAsia="Arial" w:hAnsi="Arial"/>
          <w:sz w:val="16"/>
          <w:szCs w:val="16"/>
          <w:color w:val="auto"/>
        </w:rPr>
        <w:t>101.ins</w:t>
      </w:r>
    </w:p>
    <w:p>
      <w:pPr>
        <w:spacing w:after="0" w:line="140" w:lineRule="exact"/>
        <w:rPr>
          <w:sz w:val="20"/>
          <w:szCs w:val="20"/>
          <w:color w:val="auto"/>
        </w:rPr>
      </w:pPr>
    </w:p>
    <w:p>
      <w:pPr>
        <w:jc w:val="center"/>
        <w:ind w:left="540"/>
        <w:spacing w:after="0"/>
        <w:rPr>
          <w:sz w:val="20"/>
          <w:szCs w:val="20"/>
          <w:color w:val="auto"/>
        </w:rPr>
      </w:pPr>
      <w:r>
        <w:rPr>
          <w:rFonts w:ascii="Arial" w:cs="Arial" w:eastAsia="Arial" w:hAnsi="Arial"/>
          <w:sz w:val="16"/>
          <w:szCs w:val="16"/>
          <w:color w:val="auto"/>
        </w:rPr>
        <w:t>101.def</w:t>
      </w:r>
    </w:p>
    <w:p>
      <w:pPr>
        <w:spacing w:after="0" w:line="140" w:lineRule="exact"/>
        <w:rPr>
          <w:sz w:val="20"/>
          <w:szCs w:val="20"/>
          <w:color w:val="auto"/>
        </w:rPr>
      </w:pPr>
    </w:p>
    <w:p>
      <w:pPr>
        <w:jc w:val="center"/>
        <w:ind w:left="540"/>
        <w:spacing w:after="0"/>
        <w:rPr>
          <w:sz w:val="20"/>
          <w:szCs w:val="20"/>
          <w:color w:val="auto"/>
        </w:rPr>
      </w:pPr>
      <w:r>
        <w:rPr>
          <w:rFonts w:ascii="Arial" w:cs="Arial" w:eastAsia="Arial" w:hAnsi="Arial"/>
          <w:sz w:val="15"/>
          <w:szCs w:val="15"/>
          <w:color w:val="auto"/>
        </w:rPr>
        <w:t>101.sch</w:t>
      </w:r>
    </w:p>
    <w:p>
      <w:pPr>
        <w:spacing w:after="0" w:line="152" w:lineRule="exact"/>
        <w:rPr>
          <w:sz w:val="20"/>
          <w:szCs w:val="20"/>
          <w:color w:val="auto"/>
        </w:rPr>
      </w:pPr>
    </w:p>
    <w:p>
      <w:pPr>
        <w:jc w:val="center"/>
        <w:ind w:left="540"/>
        <w:spacing w:after="0"/>
        <w:rPr>
          <w:sz w:val="20"/>
          <w:szCs w:val="20"/>
          <w:color w:val="auto"/>
        </w:rPr>
      </w:pPr>
      <w:r>
        <w:rPr>
          <w:rFonts w:ascii="Arial" w:cs="Arial" w:eastAsia="Arial" w:hAnsi="Arial"/>
          <w:sz w:val="16"/>
          <w:szCs w:val="16"/>
          <w:color w:val="auto"/>
        </w:rPr>
        <w:t>101.cal</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Restated Certificate of Incorporation of the Registrant, dated April 18, 1985, as amended (incorporated by reference to Exhibit 3(a) of the Registrant's Annual Report on Form 10-K for the year ended December 31, 2014).</w:t>
      </w:r>
    </w:p>
    <w:p>
      <w:pPr>
        <w:spacing w:after="0" w:line="6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By-Laws of the Registrant (incorporated by reference to Exhibit 3(b) to the Registrant's Annual Report on Form 10-K for the year ended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-1124585</wp:posOffset>
            </wp:positionH>
            <wp:positionV relativeFrom="paragraph">
              <wp:posOffset>-19050</wp:posOffset>
            </wp:positionV>
            <wp:extent cx="7246620" cy="2057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Certification of Chief Executive Officer of Periodic Report Pursuant to Rule 13a-15(e) or Rule 15d-15(e). </w:t>
      </w:r>
      <w:r>
        <w:rPr>
          <w:rFonts w:ascii="Arial" w:cs="Arial" w:eastAsia="Arial" w:hAnsi="Arial"/>
          <w:sz w:val="15"/>
          <w:szCs w:val="15"/>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Certification of Chief Financial Officer of Periodic Report Pursuant to Rule 13a-15(e) or Rule 15d-15(e). </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-1124585</wp:posOffset>
            </wp:positionH>
            <wp:positionV relativeFrom="paragraph">
              <wp:posOffset>14605</wp:posOffset>
            </wp:positionV>
            <wp:extent cx="7246620" cy="2057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Certification by Chief Executive Officer of Periodic Report Pursuant to 18 U.S.C. Section 1350. </w:t>
      </w:r>
      <w:r>
        <w:rPr>
          <w:rFonts w:ascii="Arial" w:cs="Arial" w:eastAsia="Arial" w:hAnsi="Arial"/>
          <w:sz w:val="15"/>
          <w:szCs w:val="15"/>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Certification by Chief Financial Officer of Periodic Report Pursuant to 18 U.S.C. Section 1350. </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-1124585</wp:posOffset>
            </wp:positionH>
            <wp:positionV relativeFrom="paragraph">
              <wp:posOffset>14605</wp:posOffset>
            </wp:positionV>
            <wp:extent cx="7246620" cy="2057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XBRL Instance Document</w:t>
      </w:r>
      <w:r>
        <w:rPr>
          <w:rFonts w:ascii="Arial" w:cs="Arial" w:eastAsia="Arial" w:hAnsi="Arial"/>
          <w:sz w:val="15"/>
          <w:szCs w:val="15"/>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Definition Linkbase Document</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-1124585</wp:posOffset>
            </wp:positionH>
            <wp:positionV relativeFrom="paragraph">
              <wp:posOffset>14605</wp:posOffset>
            </wp:positionV>
            <wp:extent cx="7246620" cy="2057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Schema Document</w:t>
      </w:r>
      <w:r>
        <w:rPr>
          <w:rFonts w:ascii="Arial" w:cs="Arial" w:eastAsia="Arial" w:hAnsi="Arial"/>
          <w:sz w:val="15"/>
          <w:szCs w:val="15"/>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Calculation Linkbase Document</w:t>
      </w:r>
      <w:r>
        <w:rPr>
          <w:rFonts w:ascii="Arial" w:cs="Arial" w:eastAsia="Arial" w:hAnsi="Arial"/>
          <w:sz w:val="15"/>
          <w:szCs w:val="15"/>
          <w:color w:val="auto"/>
        </w:rPr>
        <w:t>†</w:t>
      </w:r>
    </w:p>
    <w:p>
      <w:pPr>
        <w:spacing w:after="0" w:line="43" w:lineRule="exact"/>
        <w:rPr>
          <w:sz w:val="20"/>
          <w:szCs w:val="20"/>
          <w:color w:val="auto"/>
        </w:rPr>
      </w:pPr>
    </w:p>
    <w:p>
      <w:pPr>
        <w:sectPr>
          <w:pgSz w:w="11900" w:h="16838" w:orient="portrait"/>
          <w:cols w:equalWidth="0" w:num="2">
            <w:col w:w="1080" w:space="700"/>
            <w:col w:w="9640"/>
          </w:cols>
          <w:pgMar w:left="240" w:top="337" w:right="239" w:bottom="1440" w:gutter="0" w:footer="0" w:header="0"/>
          <w:type w:val="continuous"/>
        </w:sectPr>
      </w:pPr>
    </w:p>
    <w:tbl>
      <w:tblPr>
        <w:tblLayout w:type="fixed"/>
        <w:tblInd w:w="0" w:type="dxa"/>
        <w:tblCellMar>
          <w:top w:w="0" w:type="dxa"/>
          <w:left w:w="0" w:type="dxa"/>
          <w:bottom w:w="0" w:type="dxa"/>
          <w:right w:w="0" w:type="dxa"/>
        </w:tblCellMar>
      </w:tblPr>
      <w:tr>
        <w:trPr>
          <w:trHeight w:val="304"/>
        </w:trPr>
        <w:tc>
          <w:tcPr>
            <w:tcW w:w="1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101.lab</w:t>
            </w:r>
          </w:p>
        </w:tc>
        <w:tc>
          <w:tcPr>
            <w:tcW w:w="9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XBRL Taxonomy Extension Label Linkbase Document</w:t>
            </w:r>
            <w:r>
              <w:rPr>
                <w:rFonts w:ascii="Arial" w:cs="Arial" w:eastAsia="Arial" w:hAnsi="Arial"/>
                <w:sz w:val="15"/>
                <w:szCs w:val="15"/>
                <w:color w:val="auto"/>
              </w:rPr>
              <w:t>†</w:t>
            </w:r>
          </w:p>
        </w:tc>
      </w:tr>
      <w:tr>
        <w:trPr>
          <w:trHeight w:val="324"/>
        </w:trPr>
        <w:tc>
          <w:tcPr>
            <w:tcW w:w="1440" w:type="dxa"/>
            <w:vAlign w:val="bottom"/>
          </w:tcPr>
          <w:p>
            <w:pPr>
              <w:ind w:left="540"/>
              <w:spacing w:after="0"/>
              <w:rPr>
                <w:sz w:val="20"/>
                <w:szCs w:val="20"/>
                <w:color w:val="auto"/>
              </w:rPr>
            </w:pPr>
            <w:r>
              <w:rPr>
                <w:rFonts w:ascii="Arial" w:cs="Arial" w:eastAsia="Arial" w:hAnsi="Arial"/>
                <w:sz w:val="18"/>
                <w:szCs w:val="18"/>
                <w:color w:val="auto"/>
              </w:rPr>
              <w:t>101.pre</w:t>
            </w:r>
          </w:p>
        </w:tc>
        <w:tc>
          <w:tcPr>
            <w:tcW w:w="9980" w:type="dxa"/>
            <w:vAlign w:val="bottom"/>
          </w:tcPr>
          <w:p>
            <w:pPr>
              <w:ind w:left="340"/>
              <w:spacing w:after="0"/>
              <w:rPr>
                <w:sz w:val="20"/>
                <w:szCs w:val="20"/>
                <w:color w:val="auto"/>
              </w:rPr>
            </w:pPr>
            <w:r>
              <w:rPr>
                <w:rFonts w:ascii="Arial" w:cs="Arial" w:eastAsia="Arial" w:hAnsi="Arial"/>
                <w:sz w:val="18"/>
                <w:szCs w:val="18"/>
                <w:color w:val="auto"/>
              </w:rPr>
              <w:t>XBRL Taxonomy Extension Presentation Linkbase Document</w:t>
            </w:r>
            <w:r>
              <w:rPr>
                <w:rFonts w:ascii="Arial" w:cs="Arial" w:eastAsia="Arial" w:hAnsi="Arial"/>
                <w:sz w:val="15"/>
                <w:szCs w:val="15"/>
                <w:color w:val="auto"/>
              </w:rPr>
              <w:t>†</w:t>
            </w:r>
          </w:p>
        </w:tc>
      </w:tr>
    </w:tbl>
    <w:p>
      <w:pPr>
        <w:spacing w:after="0" w:line="94" w:lineRule="exact"/>
        <w:rPr>
          <w:sz w:val="20"/>
          <w:szCs w:val="20"/>
          <w:color w:val="auto"/>
        </w:rPr>
      </w:pPr>
    </w:p>
    <w:p>
      <w:pPr>
        <w:ind w:left="520" w:hanging="512"/>
        <w:spacing w:after="0"/>
        <w:tabs>
          <w:tab w:leader="none" w:pos="520" w:val="left"/>
        </w:tabs>
        <w:numPr>
          <w:ilvl w:val="0"/>
          <w:numId w:val="10"/>
        </w:numPr>
        <w:rPr>
          <w:rFonts w:ascii="Arial" w:cs="Arial" w:eastAsia="Arial" w:hAnsi="Arial"/>
          <w:sz w:val="15"/>
          <w:szCs w:val="15"/>
          <w:color w:val="auto"/>
        </w:rPr>
      </w:pPr>
      <w:r>
        <w:rPr>
          <w:rFonts w:ascii="Arial" w:cs="Arial" w:eastAsia="Arial" w:hAnsi="Arial"/>
          <w:sz w:val="18"/>
          <w:szCs w:val="18"/>
          <w:color w:val="auto"/>
        </w:rPr>
        <w:t>Filed or furnished herewith.</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121"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3"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22" w:lineRule="exact"/>
        <w:rPr>
          <w:sz w:val="20"/>
          <w:szCs w:val="20"/>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Market demand for semiconductors, particularly in TI’s end markets;</w:t>
      </w:r>
    </w:p>
    <w:p>
      <w:pPr>
        <w:spacing w:after="0" w:line="23"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Losses or curtailments of purchases from key customers and the timing and amount of distributor and other customer inventory adjustments;</w:t>
      </w:r>
    </w:p>
    <w:p>
      <w:pPr>
        <w:spacing w:after="0" w:line="32" w:lineRule="exact"/>
        <w:rPr>
          <w:rFonts w:ascii="Arial" w:cs="Arial" w:eastAsia="Arial" w:hAnsi="Arial"/>
          <w:sz w:val="16"/>
          <w:szCs w:val="16"/>
          <w:color w:val="auto"/>
        </w:rPr>
      </w:pPr>
    </w:p>
    <w:p>
      <w:pPr>
        <w:ind w:left="1040" w:right="20" w:hanging="519"/>
        <w:spacing w:after="0" w:line="250"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Customer demand that differs from forecasts and the financial impact of inadequate or excess TI inventory that results from demand that differs from projections;</w:t>
      </w:r>
    </w:p>
    <w:p>
      <w:pPr>
        <w:ind w:left="1040" w:right="40" w:hanging="519"/>
        <w:spacing w:after="0" w:line="250"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1040" w:right="200" w:hanging="519"/>
        <w:spacing w:after="0" w:line="250"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communications and information technology networks and fluctuations in foreign currency exchange rates;</w:t>
      </w:r>
    </w:p>
    <w:p>
      <w:pPr>
        <w:spacing w:after="0" w:line="1"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Natural events such as severe weather, geological events or health epidemics in the locations in which TI, its customers or its suppliers operate;</w:t>
      </w:r>
    </w:p>
    <w:p>
      <w:pPr>
        <w:spacing w:after="0" w:line="32" w:lineRule="exact"/>
        <w:rPr>
          <w:rFonts w:ascii="Arial" w:cs="Arial" w:eastAsia="Arial" w:hAnsi="Arial"/>
          <w:sz w:val="16"/>
          <w:szCs w:val="16"/>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Breaches of TI’s information technology systems or those of its customers or suppliers;</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Availability and cost of raw materials, utilities, manufacturing equipment, third-party manufacturing services and manufacturing technology;</w:t>
      </w:r>
    </w:p>
    <w:p>
      <w:pPr>
        <w:spacing w:after="0" w:line="32" w:lineRule="exact"/>
        <w:rPr>
          <w:rFonts w:ascii="Arial" w:cs="Arial" w:eastAsia="Arial" w:hAnsi="Arial"/>
          <w:sz w:val="16"/>
          <w:szCs w:val="16"/>
          <w:color w:val="auto"/>
        </w:rPr>
      </w:pPr>
    </w:p>
    <w:p>
      <w:pPr>
        <w:ind w:left="1040" w:right="40" w:hanging="519"/>
        <w:spacing w:after="0" w:line="250"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and installation of manufacturing equipment, and the ability to obtain needed third-party foundry and assembly/test subcontract services;</w:t>
      </w:r>
    </w:p>
    <w:p>
      <w:pPr>
        <w:ind w:left="1040" w:right="460" w:hanging="519"/>
        <w:spacing w:after="0" w:line="265" w:lineRule="auto"/>
        <w:tabs>
          <w:tab w:leader="none" w:pos="10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TI’s ability to maintain and enforce a strong intellectual property portfolio and obtain needed licenses from third parties, expiration of license agreements between TI and its patent licensees, and market conditions reducing royalty payments to TI;</w:t>
      </w:r>
    </w:p>
    <w:p>
      <w:pPr>
        <w:ind w:left="1040" w:right="200" w:hanging="519"/>
        <w:spacing w:after="0" w:line="281" w:lineRule="auto"/>
        <w:tabs>
          <w:tab w:leader="none" w:pos="10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Compliance with or changes in the complex laws, rules and regulations to which TI is or may become subject, or actions of enforcement authorities, that restrict TI’s ability to manufacture its products or operate its business, or subject us to fines, penalties, or other legal liability;</w:t>
      </w:r>
    </w:p>
    <w:p>
      <w:pPr>
        <w:spacing w:after="0" w:line="1" w:lineRule="exact"/>
        <w:rPr>
          <w:rFonts w:ascii="Arial" w:cs="Arial" w:eastAsia="Arial" w:hAnsi="Arial"/>
          <w:sz w:val="16"/>
          <w:szCs w:val="16"/>
          <w:color w:val="auto"/>
        </w:rPr>
      </w:pPr>
    </w:p>
    <w:p>
      <w:pPr>
        <w:ind w:left="1040" w:right="500" w:hanging="519"/>
        <w:spacing w:after="0" w:line="250"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Product liability or warranty claims, claims based on epidemic or delivery failure, or other claims relating to TI products, manufacturing, services, design or communications, or recalls by TI customers for a product containing a TI part;</w:t>
      </w:r>
    </w:p>
    <w:p>
      <w:pPr>
        <w:ind w:left="1040" w:right="280" w:hanging="519"/>
        <w:spacing w:after="0" w:line="250"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adverse resolution of tax audits and the ability to realize deferred tax assets;</w:t>
      </w: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Financial difficulties of distributors or their promotion of competing product lines to TI’s detriment;</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loss suffered by a customer or distributor of TI with respect to TI-consigned inventory;</w:t>
      </w:r>
    </w:p>
    <w:p>
      <w:pPr>
        <w:spacing w:after="0" w:line="9" w:lineRule="exact"/>
        <w:rPr>
          <w:rFonts w:ascii="Arial" w:cs="Arial" w:eastAsia="Arial" w:hAnsi="Arial"/>
          <w:sz w:val="18"/>
          <w:szCs w:val="18"/>
          <w:color w:val="auto"/>
        </w:rPr>
      </w:pPr>
    </w:p>
    <w:p>
      <w:pPr>
        <w:ind w:left="1040" w:right="240" w:hanging="519"/>
        <w:spacing w:after="0" w:line="250"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Instability in the global credit and financial markets that affects TI’s ability to fund its daily operations, invest in the business, make strategic acquisitions, or make principal and interest payments on its debt;</w:t>
      </w: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Increases in health care and pension benefit costs;</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w:t>
      </w:r>
    </w:p>
    <w:p>
      <w:pPr>
        <w:spacing w:after="0" w:line="9" w:lineRule="exact"/>
        <w:rPr>
          <w:rFonts w:ascii="Arial" w:cs="Arial" w:eastAsia="Arial" w:hAnsi="Arial"/>
          <w:sz w:val="18"/>
          <w:szCs w:val="18"/>
          <w:color w:val="auto"/>
        </w:rPr>
      </w:pPr>
    </w:p>
    <w:p>
      <w:pPr>
        <w:ind w:left="1040" w:right="180" w:hanging="519"/>
        <w:spacing w:after="0" w:line="250"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TI’s ability to successfully integrate and realize opportunities for growth from acquisitions, and its ability to realize its expectations regarding the amount and timing of restructuring charges and associated cost savings; and</w:t>
      </w: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Impairments of TI’s non-financial assets.</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a more detailed discussion of these factors see the Risk Factors discussion in Item 1A of our most recent Form 10-K. The forward-looking statements included in this report are made only as of the date of this report, and we undertake no obligation to update the forward-looking statements to reflect subsequent events or circumstances. If we do update any forward-looking statement, you should not infer that we will make additional updates with respect to that statement or any other forward-looking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TEXAS INSTRUMENTS INCORPORATED</w:t>
      </w:r>
    </w:p>
    <w:p>
      <w:pPr>
        <w:spacing w:after="0" w:line="252" w:lineRule="exact"/>
        <w:rPr>
          <w:sz w:val="20"/>
          <w:szCs w:val="20"/>
          <w:color w:val="auto"/>
        </w:rPr>
      </w:pPr>
    </w:p>
    <w:tbl>
      <w:tblPr>
        <w:tblLayout w:type="fixed"/>
        <w:tblInd w:w="742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3500" w:type="dxa"/>
            <w:vAlign w:val="bottom"/>
            <w:gridSpan w:val="2"/>
          </w:tcPr>
          <w:p>
            <w:pPr>
              <w:ind w:left="240"/>
              <w:spacing w:after="0"/>
              <w:rPr>
                <w:sz w:val="20"/>
                <w:szCs w:val="20"/>
                <w:color w:val="auto"/>
              </w:rPr>
            </w:pPr>
            <w:r>
              <w:rPr>
                <w:rFonts w:ascii="Arial" w:cs="Arial" w:eastAsia="Arial" w:hAnsi="Arial"/>
                <w:sz w:val="18"/>
                <w:szCs w:val="18"/>
                <w:color w:val="auto"/>
              </w:rPr>
              <w:t>/s/ Kevin P. March</w:t>
            </w:r>
          </w:p>
        </w:tc>
      </w:tr>
      <w:tr>
        <w:trPr>
          <w:trHeight w:val="195"/>
        </w:trPr>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6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Kevin P. March</w:t>
            </w:r>
          </w:p>
        </w:tc>
      </w:tr>
      <w:tr>
        <w:trPr>
          <w:trHeight w:val="216"/>
        </w:trPr>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60" w:type="dxa"/>
            <w:vAlign w:val="bottom"/>
          </w:tcPr>
          <w:p>
            <w:pPr>
              <w:ind w:left="40"/>
              <w:spacing w:after="0"/>
              <w:rPr>
                <w:sz w:val="20"/>
                <w:szCs w:val="20"/>
                <w:color w:val="auto"/>
              </w:rPr>
            </w:pPr>
            <w:r>
              <w:rPr>
                <w:rFonts w:ascii="Arial" w:cs="Arial" w:eastAsia="Arial" w:hAnsi="Arial"/>
                <w:sz w:val="18"/>
                <w:szCs w:val="18"/>
                <w:color w:val="auto"/>
              </w:rPr>
              <w:t>Senior Vice President and</w:t>
            </w:r>
          </w:p>
        </w:tc>
      </w:tr>
      <w:tr>
        <w:trPr>
          <w:trHeight w:val="230"/>
        </w:trPr>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6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May 4, 2016</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41"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u w:val="single" w:color="auto"/>
          <w:color w:val="auto"/>
        </w:rPr>
        <w:t>Exhibit 31(a)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Richard K. Templeton, certify that:</w:t>
      </w:r>
    </w:p>
    <w:p>
      <w:pPr>
        <w:spacing w:after="0" w:line="225" w:lineRule="exact"/>
        <w:rPr>
          <w:sz w:val="20"/>
          <w:szCs w:val="20"/>
          <w:color w:val="auto"/>
        </w:rPr>
      </w:pPr>
    </w:p>
    <w:p>
      <w:pPr>
        <w:ind w:left="540" w:hanging="532"/>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report on Form 10-Q of Texas Instruments Incorporated;</w:t>
      </w:r>
    </w:p>
    <w:p>
      <w:pPr>
        <w:spacing w:after="0" w:line="225" w:lineRule="exact"/>
        <w:rPr>
          <w:rFonts w:ascii="Arial" w:cs="Arial" w:eastAsia="Arial" w:hAnsi="Arial"/>
          <w:sz w:val="18"/>
          <w:szCs w:val="18"/>
          <w:color w:val="auto"/>
        </w:rPr>
      </w:pPr>
    </w:p>
    <w:p>
      <w:pPr>
        <w:jc w:val="both"/>
        <w:ind w:left="540" w:right="400" w:hanging="532"/>
        <w:spacing w:after="0" w:line="264"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40" w:right="360" w:hanging="532"/>
        <w:spacing w:after="0" w:line="308" w:lineRule="auto"/>
        <w:tabs>
          <w:tab w:leader="none" w:pos="5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40" w:right="400" w:hanging="532"/>
        <w:spacing w:after="0" w:line="264"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80" w:right="120" w:hanging="532"/>
        <w:spacing w:after="0" w:line="264" w:lineRule="auto"/>
        <w:tabs>
          <w:tab w:leader="none" w:pos="10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80" w:right="440" w:hanging="532"/>
        <w:spacing w:after="0" w:line="264" w:lineRule="auto"/>
        <w:tabs>
          <w:tab w:leader="none" w:pos="10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080" w:right="600" w:hanging="532"/>
        <w:spacing w:after="0" w:line="342" w:lineRule="auto"/>
        <w:tabs>
          <w:tab w:leader="none" w:pos="108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80" w:right="120" w:hanging="532"/>
        <w:spacing w:after="0" w:line="264" w:lineRule="auto"/>
        <w:tabs>
          <w:tab w:leader="none" w:pos="10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40" w:right="120" w:hanging="532"/>
        <w:spacing w:after="0" w:line="308" w:lineRule="auto"/>
        <w:tabs>
          <w:tab w:leader="none" w:pos="5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80" w:right="20" w:hanging="532"/>
        <w:spacing w:after="0" w:line="277" w:lineRule="auto"/>
        <w:tabs>
          <w:tab w:leader="none" w:pos="10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80" w:right="560" w:hanging="532"/>
        <w:spacing w:after="0" w:line="277" w:lineRule="auto"/>
        <w:tabs>
          <w:tab w:leader="none" w:pos="10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4, 2016</w:t>
      </w:r>
    </w:p>
    <w:p>
      <w:pPr>
        <w:spacing w:after="0" w:line="293" w:lineRule="exact"/>
        <w:rPr>
          <w:sz w:val="20"/>
          <w:szCs w:val="20"/>
          <w:color w:val="auto"/>
        </w:rPr>
      </w:pPr>
    </w:p>
    <w:p>
      <w:pPr>
        <w:ind w:left="8220"/>
        <w:spacing w:after="0"/>
        <w:rPr>
          <w:sz w:val="20"/>
          <w:szCs w:val="20"/>
          <w:color w:val="auto"/>
        </w:rPr>
      </w:pPr>
      <w:r>
        <w:rPr>
          <w:rFonts w:ascii="Arial" w:cs="Arial" w:eastAsia="Arial" w:hAnsi="Arial"/>
          <w:sz w:val="18"/>
          <w:szCs w:val="18"/>
          <w:color w:val="auto"/>
        </w:rPr>
        <w:t>/s/ Richard K. Templeton</w:t>
      </w:r>
    </w:p>
    <w:p>
      <w:pPr>
        <w:spacing w:after="0" w:line="50"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Chairman, President and</w:t>
      </w:r>
    </w:p>
    <w:p>
      <w:pPr>
        <w:spacing w:after="0" w:line="9" w:lineRule="exact"/>
        <w:rPr>
          <w:sz w:val="20"/>
          <w:szCs w:val="20"/>
          <w:color w:val="auto"/>
        </w:rPr>
      </w:pPr>
    </w:p>
    <w:p>
      <w:pPr>
        <w:ind w:left="82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337"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u w:val="single" w:color="auto"/>
          <w:color w:val="auto"/>
        </w:rPr>
        <w:t>Exhibit 31(b)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Kevin P. March, certify that:</w:t>
      </w:r>
    </w:p>
    <w:p>
      <w:pPr>
        <w:spacing w:after="0" w:line="225" w:lineRule="exact"/>
        <w:rPr>
          <w:sz w:val="20"/>
          <w:szCs w:val="20"/>
          <w:color w:val="auto"/>
        </w:rPr>
      </w:pPr>
    </w:p>
    <w:p>
      <w:pPr>
        <w:ind w:left="540" w:hanging="532"/>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report on Form 10-Q of Texas Instruments Incorporated;</w:t>
      </w:r>
    </w:p>
    <w:p>
      <w:pPr>
        <w:spacing w:after="0" w:line="225" w:lineRule="exact"/>
        <w:rPr>
          <w:rFonts w:ascii="Arial" w:cs="Arial" w:eastAsia="Arial" w:hAnsi="Arial"/>
          <w:sz w:val="18"/>
          <w:szCs w:val="18"/>
          <w:color w:val="auto"/>
        </w:rPr>
      </w:pPr>
    </w:p>
    <w:p>
      <w:pPr>
        <w:jc w:val="both"/>
        <w:ind w:left="540" w:right="400" w:hanging="532"/>
        <w:spacing w:after="0" w:line="264"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40" w:right="360" w:hanging="532"/>
        <w:spacing w:after="0" w:line="308" w:lineRule="auto"/>
        <w:tabs>
          <w:tab w:leader="none" w:pos="5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40" w:right="400" w:hanging="532"/>
        <w:spacing w:after="0" w:line="264"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80" w:right="120" w:hanging="532"/>
        <w:spacing w:after="0" w:line="264" w:lineRule="auto"/>
        <w:tabs>
          <w:tab w:leader="none" w:pos="10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80" w:right="440" w:hanging="532"/>
        <w:spacing w:after="0" w:line="264" w:lineRule="auto"/>
        <w:tabs>
          <w:tab w:leader="none" w:pos="10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080" w:right="600" w:hanging="532"/>
        <w:spacing w:after="0" w:line="342" w:lineRule="auto"/>
        <w:tabs>
          <w:tab w:leader="none" w:pos="10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80" w:right="140" w:hanging="532"/>
        <w:spacing w:after="0" w:line="264" w:lineRule="auto"/>
        <w:tabs>
          <w:tab w:leader="none" w:pos="10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40" w:right="100" w:hanging="532"/>
        <w:spacing w:after="0" w:line="308" w:lineRule="auto"/>
        <w:tabs>
          <w:tab w:leader="none" w:pos="5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80" w:right="20" w:hanging="532"/>
        <w:spacing w:after="0" w:line="277" w:lineRule="auto"/>
        <w:tabs>
          <w:tab w:leader="none" w:pos="10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80" w:right="560" w:hanging="532"/>
        <w:spacing w:after="0" w:line="277" w:lineRule="auto"/>
        <w:tabs>
          <w:tab w:leader="none" w:pos="10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4, 2016</w:t>
      </w:r>
    </w:p>
    <w:p>
      <w:pPr>
        <w:spacing w:after="0" w:line="293" w:lineRule="exact"/>
        <w:rPr>
          <w:sz w:val="20"/>
          <w:szCs w:val="20"/>
          <w:color w:val="auto"/>
        </w:rPr>
      </w:pPr>
    </w:p>
    <w:p>
      <w:pPr>
        <w:ind w:left="8460"/>
        <w:spacing w:after="0"/>
        <w:rPr>
          <w:sz w:val="20"/>
          <w:szCs w:val="20"/>
          <w:color w:val="auto"/>
        </w:rPr>
      </w:pPr>
      <w:r>
        <w:rPr>
          <w:rFonts w:ascii="Arial" w:cs="Arial" w:eastAsia="Arial" w:hAnsi="Arial"/>
          <w:sz w:val="18"/>
          <w:szCs w:val="18"/>
          <w:color w:val="auto"/>
        </w:rPr>
        <w:t>/s/ Kevin P. March</w:t>
      </w:r>
    </w:p>
    <w:p>
      <w:pPr>
        <w:spacing w:after="0" w:line="23"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337"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u w:val="single" w:color="auto"/>
          <w:color w:val="auto"/>
        </w:rPr>
        <w:t>Exhibit 32(a)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3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For purposes of 18 U.S.C. Section 1350, as adopted pursuant to Section 906 of the Sarbanes-Oxley Act of 2002, the undersigned, Richard K.</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Templeton, the Chairman, President and Chief Executive Officer of Texas Instruments Incorporated (the “Company”), hereby certifies that, to his knowledge:</w:t>
      </w:r>
    </w:p>
    <w:p>
      <w:pPr>
        <w:spacing w:after="0" w:line="126" w:lineRule="exact"/>
        <w:rPr>
          <w:sz w:val="20"/>
          <w:szCs w:val="20"/>
          <w:color w:val="auto"/>
        </w:rPr>
      </w:pPr>
    </w:p>
    <w:p>
      <w:pPr>
        <w:ind w:left="560" w:right="120" w:hanging="5"/>
        <w:spacing w:after="0" w:line="342" w:lineRule="auto"/>
        <w:tabs>
          <w:tab w:leader="none" w:pos="775"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March 31, 2016, as filed with the Securities and Exchange Commission on the date hereof (the “Report”) fully complies with the requirements of Section 13(a) or 15(d) of the Securities Exchange Act of 1934; and</w:t>
      </w:r>
    </w:p>
    <w:p>
      <w:pPr>
        <w:spacing w:after="0" w:line="15" w:lineRule="exact"/>
        <w:rPr>
          <w:rFonts w:ascii="Arial" w:cs="Arial" w:eastAsia="Arial" w:hAnsi="Arial"/>
          <w:sz w:val="16"/>
          <w:szCs w:val="16"/>
          <w:color w:val="auto"/>
        </w:rPr>
      </w:pPr>
    </w:p>
    <w:p>
      <w:pPr>
        <w:ind w:left="820" w:hanging="265"/>
        <w:spacing w:after="0"/>
        <w:tabs>
          <w:tab w:leader="none" w:pos="8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May 4, 2016</w:t>
      </w:r>
    </w:p>
    <w:p>
      <w:pPr>
        <w:spacing w:after="0" w:line="293" w:lineRule="exact"/>
        <w:rPr>
          <w:sz w:val="20"/>
          <w:szCs w:val="20"/>
          <w:color w:val="auto"/>
        </w:rPr>
      </w:pPr>
    </w:p>
    <w:p>
      <w:pPr>
        <w:ind w:left="8320"/>
        <w:spacing w:after="0"/>
        <w:rPr>
          <w:sz w:val="20"/>
          <w:szCs w:val="20"/>
          <w:color w:val="auto"/>
        </w:rPr>
      </w:pPr>
      <w:r>
        <w:rPr>
          <w:rFonts w:ascii="Arial" w:cs="Arial" w:eastAsia="Arial" w:hAnsi="Arial"/>
          <w:sz w:val="18"/>
          <w:szCs w:val="18"/>
          <w:color w:val="auto"/>
        </w:rPr>
        <w:t>/s/ Richard K. Templeton</w:t>
      </w:r>
    </w:p>
    <w:p>
      <w:pPr>
        <w:spacing w:after="0" w:line="23" w:lineRule="exact"/>
        <w:rPr>
          <w:sz w:val="20"/>
          <w:szCs w:val="20"/>
          <w:color w:val="auto"/>
        </w:rPr>
      </w:pPr>
    </w:p>
    <w:p>
      <w:pPr>
        <w:ind w:left="8420"/>
        <w:spacing w:after="0"/>
        <w:rPr>
          <w:sz w:val="20"/>
          <w:szCs w:val="20"/>
          <w:color w:val="auto"/>
        </w:rPr>
      </w:pPr>
      <w:r>
        <w:rPr>
          <w:rFonts w:ascii="Arial" w:cs="Arial" w:eastAsia="Arial" w:hAnsi="Arial"/>
          <w:sz w:val="18"/>
          <w:szCs w:val="18"/>
          <w:color w:val="auto"/>
        </w:rPr>
        <w:t>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-130810</wp:posOffset>
            </wp:positionV>
            <wp:extent cx="279590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Chairman, President and</w:t>
      </w:r>
    </w:p>
    <w:p>
      <w:pPr>
        <w:spacing w:after="0" w:line="9"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337"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u w:val="single" w:color="auto"/>
          <w:color w:val="auto"/>
        </w:rPr>
        <w:t>Exhibit 32(b)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38" w:lineRule="exact"/>
        <w:rPr>
          <w:sz w:val="20"/>
          <w:szCs w:val="20"/>
          <w:color w:val="auto"/>
        </w:rPr>
      </w:pPr>
    </w:p>
    <w:p>
      <w:pPr>
        <w:ind w:right="340" w:firstLine="547"/>
        <w:spacing w:after="0" w:line="342" w:lineRule="auto"/>
        <w:rPr>
          <w:sz w:val="20"/>
          <w:szCs w:val="20"/>
          <w:color w:val="auto"/>
        </w:rPr>
      </w:pPr>
      <w:r>
        <w:rPr>
          <w:rFonts w:ascii="Arial" w:cs="Arial" w:eastAsia="Arial" w:hAnsi="Arial"/>
          <w:sz w:val="16"/>
          <w:szCs w:val="16"/>
          <w:color w:val="auto"/>
        </w:rPr>
        <w:t>For purposes of 18 U.S.C. Section 1350, as adopted pursuant to Section 906 of the Sarbanes-Oxley Act of 2002, the undersigned, Kevin P. March, Senior Vice President and Chief Financial Officer of Texas Instruments Incorporated (the “Company”), hereby certifies that, to his knowledge:</w:t>
      </w:r>
    </w:p>
    <w:p>
      <w:pPr>
        <w:spacing w:after="0" w:line="16" w:lineRule="exact"/>
        <w:rPr>
          <w:sz w:val="20"/>
          <w:szCs w:val="20"/>
          <w:color w:val="auto"/>
        </w:rPr>
      </w:pPr>
    </w:p>
    <w:p>
      <w:pPr>
        <w:ind w:left="560" w:right="120" w:hanging="5"/>
        <w:spacing w:after="0" w:line="342" w:lineRule="auto"/>
        <w:tabs>
          <w:tab w:leader="none" w:pos="775"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March 31, 2016, as filed with the Securities and Exchange Commission on the date hereof (the “Report”) fully complies with the requirements of Section 13(a) or 15(d) of the Securities Exchange Act of 1934; and</w:t>
      </w:r>
    </w:p>
    <w:p>
      <w:pPr>
        <w:spacing w:after="0" w:line="15" w:lineRule="exact"/>
        <w:rPr>
          <w:rFonts w:ascii="Arial" w:cs="Arial" w:eastAsia="Arial" w:hAnsi="Arial"/>
          <w:sz w:val="16"/>
          <w:szCs w:val="16"/>
          <w:color w:val="auto"/>
        </w:rPr>
      </w:pPr>
    </w:p>
    <w:p>
      <w:pPr>
        <w:ind w:left="820" w:hanging="265"/>
        <w:spacing w:after="0"/>
        <w:tabs>
          <w:tab w:leader="none" w:pos="8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May 4, 2016</w:t>
      </w:r>
    </w:p>
    <w:p>
      <w:pPr>
        <w:spacing w:after="0" w:line="293" w:lineRule="exact"/>
        <w:rPr>
          <w:sz w:val="20"/>
          <w:szCs w:val="20"/>
          <w:color w:val="auto"/>
        </w:rPr>
      </w:pPr>
    </w:p>
    <w:p>
      <w:pPr>
        <w:ind w:left="8540"/>
        <w:spacing w:after="0"/>
        <w:rPr>
          <w:sz w:val="20"/>
          <w:szCs w:val="20"/>
          <w:color w:val="auto"/>
        </w:rPr>
      </w:pPr>
      <w:r>
        <w:rPr>
          <w:rFonts w:ascii="Arial" w:cs="Arial" w:eastAsia="Arial" w:hAnsi="Arial"/>
          <w:sz w:val="18"/>
          <w:szCs w:val="18"/>
          <w:color w:val="auto"/>
        </w:rPr>
        <w:t>/s/ Kevin P. March</w:t>
      </w:r>
    </w:p>
    <w:p>
      <w:pPr>
        <w:spacing w:after="0" w:line="23" w:lineRule="exact"/>
        <w:rPr>
          <w:sz w:val="20"/>
          <w:szCs w:val="20"/>
          <w:color w:val="auto"/>
        </w:rPr>
      </w:pPr>
    </w:p>
    <w:p>
      <w:pPr>
        <w:ind w:left="8660"/>
        <w:spacing w:after="0"/>
        <w:rPr>
          <w:sz w:val="20"/>
          <w:szCs w:val="20"/>
          <w:color w:val="auto"/>
        </w:rPr>
      </w:pPr>
      <w:r>
        <w:rPr>
          <w:rFonts w:ascii="Arial" w:cs="Arial" w:eastAsia="Arial" w:hAnsi="Arial"/>
          <w:sz w:val="18"/>
          <w:szCs w:val="18"/>
          <w:color w:val="auto"/>
        </w:rPr>
        <w:t>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-130810</wp:posOffset>
            </wp:positionV>
            <wp:extent cx="279590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jc w:val="center"/>
        <w:ind w:left="702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jc w:val="center"/>
        <w:ind w:left="70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1)"/>
      <w:numFmt w:val="lowerLetter"/>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lowerRoman"/>
      <w:start w:val="1"/>
    </w:lvl>
  </w:abstractNum>
  <w:abstractNum w:abstractNumId="14">
    <w:nsid w:val="1BEFD79F"/>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2019-12-05T10:32:31Z</dcterms:created>
  <dcterms:modified xsi:type="dcterms:W3CDTF">2019-12-05T10:32:31Z</dcterms:modified>
</cp:coreProperties>
</file>