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763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763000"/>
                    </a:xfrm>
                    <a:prstGeom prst="rect">
                      <a:avLst/>
                    </a:prstGeom>
                    <a:noFill/>
                  </pic:spPr>
                </pic:pic>
              </a:graphicData>
            </a:graphic>
          </wp:anchor>
        </w:drawing>
      </w:r>
    </w:p>
    <w:p>
      <w:pPr>
        <w:spacing w:after="0" w:line="104" w:lineRule="exact"/>
        <w:rPr>
          <w:sz w:val="24"/>
          <w:szCs w:val="24"/>
          <w:color w:val="auto"/>
        </w:rPr>
      </w:pPr>
    </w:p>
    <w:p>
      <w:pPr>
        <w:sectPr>
          <w:pgSz w:w="11900" w:h="16883"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07/27/2016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83"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83"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jc w:val="center"/>
              <w:ind w:left="62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3"/>
              <w:spacing w:after="0"/>
              <w:rPr>
                <w:sz w:val="20"/>
                <w:szCs w:val="20"/>
                <w:color w:val="auto"/>
              </w:rPr>
            </w:pPr>
            <w:r>
              <w:rPr>
                <w:rFonts w:ascii="Arial" w:cs="Arial" w:eastAsia="Arial" w:hAnsi="Arial"/>
                <w:sz w:val="17"/>
                <w:szCs w:val="17"/>
                <w:color w:val="0000FF"/>
                <w:w w:val="91"/>
              </w:rPr>
              <w:t>07/27/2016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520" w:type="dxa"/>
            <w:vAlign w:val="bottom"/>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115,577</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3"/>
              <w:spacing w:after="0"/>
              <w:rPr>
                <w:sz w:val="20"/>
                <w:szCs w:val="20"/>
                <w:color w:val="auto"/>
              </w:rPr>
            </w:pPr>
            <w:r>
              <w:rPr>
                <w:rFonts w:ascii="Arial" w:cs="Arial" w:eastAsia="Arial" w:hAnsi="Arial"/>
                <w:sz w:val="17"/>
                <w:szCs w:val="17"/>
                <w:color w:val="0000FF"/>
                <w:w w:val="91"/>
              </w:rPr>
              <w:t>07/27/2016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520" w:type="dxa"/>
            <w:vAlign w:val="bottom"/>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29.79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165,577</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3"/>
              <w:spacing w:after="0"/>
              <w:rPr>
                <w:sz w:val="20"/>
                <w:szCs w:val="20"/>
                <w:color w:val="auto"/>
              </w:rPr>
            </w:pPr>
            <w:r>
              <w:rPr>
                <w:rFonts w:ascii="Arial" w:cs="Arial" w:eastAsia="Arial" w:hAnsi="Arial"/>
                <w:sz w:val="17"/>
                <w:szCs w:val="17"/>
                <w:color w:val="0000FF"/>
                <w:w w:val="91"/>
              </w:rPr>
              <w:t>07/27/2016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47,500</w:t>
            </w:r>
          </w:p>
        </w:tc>
        <w:tc>
          <w:tcPr>
            <w:tcW w:w="520" w:type="dxa"/>
            <w:vAlign w:val="bottom"/>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213,077</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3"/>
              <w:spacing w:after="0"/>
              <w:rPr>
                <w:sz w:val="20"/>
                <w:szCs w:val="20"/>
                <w:color w:val="auto"/>
              </w:rPr>
            </w:pPr>
            <w:r>
              <w:rPr>
                <w:rFonts w:ascii="Arial" w:cs="Arial" w:eastAsia="Arial" w:hAnsi="Arial"/>
                <w:sz w:val="17"/>
                <w:szCs w:val="17"/>
                <w:color w:val="0000FF"/>
                <w:w w:val="91"/>
              </w:rPr>
              <w:t>07/27/2016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47,500</w:t>
            </w:r>
          </w:p>
        </w:tc>
        <w:tc>
          <w:tcPr>
            <w:tcW w:w="520" w:type="dxa"/>
            <w:vAlign w:val="bottom"/>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260,577</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center"/>
              <w:ind w:left="623"/>
              <w:spacing w:after="0"/>
              <w:rPr>
                <w:sz w:val="20"/>
                <w:szCs w:val="20"/>
                <w:color w:val="auto"/>
              </w:rPr>
            </w:pPr>
            <w:r>
              <w:rPr>
                <w:rFonts w:ascii="Arial" w:cs="Arial" w:eastAsia="Arial" w:hAnsi="Arial"/>
                <w:sz w:val="17"/>
                <w:szCs w:val="17"/>
                <w:color w:val="0000FF"/>
                <w:w w:val="91"/>
              </w:rPr>
              <w:t>07/27/2016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195,000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70.702</w:t>
            </w:r>
            <w:r>
              <w:rPr>
                <w:rFonts w:ascii="Arial" w:cs="Arial" w:eastAsia="Arial" w:hAnsi="Arial"/>
                <w:sz w:val="22"/>
                <w:szCs w:val="22"/>
                <w:color w:val="008000"/>
                <w:w w:val="90"/>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65,577</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96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8"/>
              </w:rPr>
              <w:t>251.56</w:t>
            </w:r>
            <w:r>
              <w:rPr>
                <w:rFonts w:ascii="Arial" w:cs="Arial" w:eastAsia="Arial" w:hAnsi="Arial"/>
                <w:sz w:val="22"/>
                <w:szCs w:val="22"/>
                <w:color w:val="008000"/>
                <w:w w:val="88"/>
                <w:vertAlign w:val="superscript"/>
              </w:rPr>
              <w:t>(3)</w:t>
            </w:r>
          </w:p>
        </w:tc>
        <w:tc>
          <w:tcPr>
            <w:tcW w:w="96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6,794.74</w:t>
            </w:r>
            <w:r>
              <w:rPr>
                <w:rFonts w:ascii="Arial" w:cs="Arial" w:eastAsia="Arial" w:hAnsi="Arial"/>
                <w:sz w:val="22"/>
                <w:szCs w:val="22"/>
                <w:color w:val="008000"/>
                <w:w w:val="87"/>
                <w:vertAlign w:val="superscript"/>
              </w:rPr>
              <w:t>(4)</w:t>
            </w:r>
          </w:p>
        </w:tc>
        <w:tc>
          <w:tcPr>
            <w:tcW w:w="96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07/27/2016</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07/27/2016</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01/25/2018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07/27/2016</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47,500</w:t>
            </w:r>
          </w:p>
        </w:tc>
        <w:tc>
          <w:tcPr>
            <w:tcW w:w="820" w:type="dxa"/>
            <w:vAlign w:val="bottom"/>
          </w:tcPr>
          <w:p>
            <w:pPr>
              <w:ind w:left="340"/>
              <w:spacing w:after="0"/>
              <w:rPr>
                <w:sz w:val="20"/>
                <w:szCs w:val="20"/>
                <w:color w:val="auto"/>
              </w:rPr>
            </w:pPr>
            <w:r>
              <w:rPr>
                <w:rFonts w:ascii="Arial" w:cs="Arial" w:eastAsia="Arial" w:hAnsi="Arial"/>
                <w:sz w:val="11"/>
                <w:szCs w:val="11"/>
                <w:color w:val="008000"/>
              </w:rPr>
              <w:t>(7)</w:t>
            </w:r>
          </w:p>
        </w:tc>
        <w:tc>
          <w:tcPr>
            <w:tcW w:w="760" w:type="dxa"/>
            <w:vAlign w:val="bottom"/>
          </w:tcPr>
          <w:p>
            <w:pPr>
              <w:ind w:left="8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47,500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07/27/2016</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47,500</w:t>
            </w:r>
          </w:p>
        </w:tc>
        <w:tc>
          <w:tcPr>
            <w:tcW w:w="820" w:type="dxa"/>
            <w:vAlign w:val="bottom"/>
          </w:tcPr>
          <w:p>
            <w:pPr>
              <w:ind w:left="340"/>
              <w:spacing w:after="0"/>
              <w:rPr>
                <w:sz w:val="20"/>
                <w:szCs w:val="20"/>
                <w:color w:val="auto"/>
              </w:rPr>
            </w:pPr>
            <w:r>
              <w:rPr>
                <w:rFonts w:ascii="Arial" w:cs="Arial" w:eastAsia="Arial" w:hAnsi="Arial"/>
                <w:sz w:val="11"/>
                <w:szCs w:val="11"/>
                <w:color w:val="008000"/>
              </w:rPr>
              <w:t>(7)</w:t>
            </w:r>
          </w:p>
        </w:tc>
        <w:tc>
          <w:tcPr>
            <w:tcW w:w="760" w:type="dxa"/>
            <w:vAlign w:val="bottom"/>
          </w:tcPr>
          <w:p>
            <w:pPr>
              <w:ind w:left="8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47,500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$70.49 to $70.89.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401(k) Account as of 6-30-2016. (Interests in this account are denominated in units. Consequently, share amount shown is an estimate.) This statement does not include</w:t>
      </w:r>
    </w:p>
    <w:p>
      <w:pPr>
        <w:sectPr>
          <w:pgSz w:w="11900" w:h="16883"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changes in beneficial ownership of shares held in this account occurring after 6-30-2016 that are eligible for deferred reporting on Form 5.</w:t>
      </w:r>
    </w:p>
    <w:p>
      <w:pPr>
        <w:spacing w:after="0" w:line="52" w:lineRule="exact"/>
        <w:rPr>
          <w:sz w:val="20"/>
          <w:szCs w:val="20"/>
          <w:color w:val="auto"/>
        </w:rPr>
      </w:pPr>
    </w:p>
    <w:p>
      <w:pPr>
        <w:ind w:firstLine="8"/>
        <w:spacing w:after="0" w:line="272"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6-30-2016. (Interests in this account are denominated in units. Consequently, share amount shown is an estimate.) This statement does not include changes in beneficial ownership of shares held in such account occurring after 6-30-2016 that are eligible for deferred reporting on Form 5.</w:t>
      </w:r>
    </w:p>
    <w:p>
      <w:pPr>
        <w:spacing w:after="0" w:line="9"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18, 2008.</w:t>
      </w:r>
    </w:p>
    <w:p>
      <w:pPr>
        <w:spacing w:after="0" w:line="51"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25, 2009.</w:t>
      </w:r>
    </w:p>
    <w:p>
      <w:pPr>
        <w:spacing w:after="0" w:line="51"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29, 2010.</w:t>
      </w:r>
    </w:p>
    <w:p>
      <w:pPr>
        <w:ind w:left="6820"/>
        <w:spacing w:after="0" w:line="189" w:lineRule="auto"/>
        <w:rPr>
          <w:sz w:val="20"/>
          <w:szCs w:val="20"/>
          <w:color w:val="auto"/>
        </w:rPr>
      </w:pPr>
      <w:r>
        <w:rPr>
          <w:rFonts w:ascii="Arial" w:cs="Arial" w:eastAsia="Arial" w:hAnsi="Arial"/>
          <w:sz w:val="17"/>
          <w:szCs w:val="17"/>
          <w:color w:val="0000FF"/>
        </w:rPr>
        <w:t xml:space="preserve">/s/ Cynthia H. Grimm, Attorney </w:t>
      </w:r>
      <w:r>
        <w:rPr>
          <w:rFonts w:ascii="Arial" w:cs="Arial" w:eastAsia="Arial" w:hAnsi="Arial"/>
          <w:sz w:val="34"/>
          <w:szCs w:val="34"/>
          <w:color w:val="0000FF"/>
          <w:vertAlign w:val="subscript"/>
        </w:rPr>
        <w:t>07/28/2016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-27305</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-16510</wp:posOffset>
            </wp:positionV>
            <wp:extent cx="31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0515"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32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28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2019-12-23T20:58:33Z</dcterms:created>
  <dcterms:modified xsi:type="dcterms:W3CDTF">2019-12-23T20:58:33Z</dcterms:modified>
</cp:coreProperties>
</file>