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3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311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07/23/2009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5"/>
        <w:spacing w:after="0"/>
        <w:rPr>
          <w:sz w:val="20"/>
          <w:szCs w:val="20"/>
          <w:color w:val="auto"/>
        </w:rPr>
      </w:pPr>
      <w:r>
        <w:rPr>
          <w:rFonts w:ascii="Arial" w:cs="Arial" w:eastAsia="Arial" w:hAnsi="Arial"/>
          <w:sz w:val="17"/>
          <w:szCs w:val="17"/>
          <w:color w:val="0000FF"/>
        </w:rPr>
        <w:t>Sr. Vice President &amp; CFO</w:t>
      </w:r>
    </w:p>
    <w:p>
      <w:pPr>
        <w:spacing w:after="0" w:line="332" w:lineRule="exact"/>
        <w:rPr>
          <w:sz w:val="24"/>
          <w:szCs w:val="24"/>
          <w:color w:val="auto"/>
        </w:rPr>
      </w:pPr>
    </w:p>
    <w:p>
      <w:pPr>
        <w:sectPr>
          <w:pgSz w:w="11900" w:h="16838" w:orient="portrait"/>
          <w:cols w:equalWidth="0" w:num="3">
            <w:col w:w="3340" w:space="720"/>
            <w:col w:w="3340" w:space="645"/>
            <w:col w:w="3475"/>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center"/>
              <w:ind w:left="30"/>
              <w:spacing w:after="0"/>
              <w:rPr>
                <w:sz w:val="20"/>
                <w:szCs w:val="20"/>
                <w:color w:val="auto"/>
              </w:rPr>
            </w:pPr>
            <w:r>
              <w:rPr>
                <w:rFonts w:ascii="Arial" w:cs="Arial" w:eastAsia="Arial" w:hAnsi="Arial"/>
                <w:sz w:val="17"/>
                <w:szCs w:val="17"/>
                <w:color w:val="0000FF"/>
                <w:w w:val="91"/>
              </w:rPr>
              <w:t>171,827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50"/>
              <w:spacing w:after="0"/>
              <w:rPr>
                <w:sz w:val="20"/>
                <w:szCs w:val="20"/>
                <w:color w:val="auto"/>
              </w:rPr>
            </w:pPr>
            <w:r>
              <w:rPr>
                <w:rFonts w:ascii="Arial" w:cs="Arial" w:eastAsia="Arial" w:hAnsi="Arial"/>
                <w:sz w:val="17"/>
                <w:szCs w:val="17"/>
                <w:color w:val="0000FF"/>
                <w:w w:val="87"/>
              </w:rPr>
              <w:t>1,824.75</w:t>
            </w:r>
            <w:r>
              <w:rPr>
                <w:rFonts w:ascii="Arial" w:cs="Arial" w:eastAsia="Arial" w:hAnsi="Arial"/>
                <w:sz w:val="22"/>
                <w:szCs w:val="22"/>
                <w:color w:val="008000"/>
                <w:w w:val="87"/>
                <w:vertAlign w:val="superscript"/>
              </w:rPr>
              <w:t>(1)</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30"/>
              <w:spacing w:after="0"/>
              <w:rPr>
                <w:sz w:val="20"/>
                <w:szCs w:val="20"/>
                <w:color w:val="auto"/>
              </w:rPr>
            </w:pPr>
            <w:r>
              <w:rPr>
                <w:rFonts w:ascii="Arial" w:cs="Arial" w:eastAsia="Arial" w:hAnsi="Arial"/>
                <w:sz w:val="17"/>
                <w:szCs w:val="17"/>
                <w:color w:val="0000FF"/>
                <w:w w:val="85"/>
              </w:rPr>
              <w:t>38.94</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0" w:type="dxa"/>
            <w:vAlign w:val="bottom"/>
            <w:gridSpan w:val="8"/>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Contractual</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vMerge w:val="restart"/>
          </w:tcPr>
          <w:p>
            <w:pPr>
              <w:ind w:left="480"/>
              <w:spacing w:after="0"/>
              <w:rPr>
                <w:sz w:val="20"/>
                <w:szCs w:val="20"/>
                <w:color w:val="auto"/>
              </w:rPr>
            </w:pPr>
            <w:r>
              <w:rPr>
                <w:rFonts w:ascii="Arial" w:cs="Arial" w:eastAsia="Arial" w:hAnsi="Arial"/>
                <w:sz w:val="13"/>
                <w:szCs w:val="13"/>
                <w:color w:val="0000FF"/>
              </w:rPr>
              <w:t>42.7</w:t>
            </w:r>
            <w:r>
              <w:rPr>
                <w:rFonts w:ascii="Arial" w:cs="Arial" w:eastAsia="Arial" w:hAnsi="Arial"/>
                <w:sz w:val="22"/>
                <w:szCs w:val="22"/>
                <w:color w:val="008000"/>
                <w:vertAlign w:val="superscript"/>
              </w:rPr>
              <w:t>(3)</w:t>
            </w: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76"/>
              <w:spacing w:after="0"/>
              <w:rPr>
                <w:sz w:val="20"/>
                <w:szCs w:val="20"/>
                <w:color w:val="auto"/>
              </w:rPr>
            </w:pPr>
            <w:r>
              <w:rPr>
                <w:rFonts w:ascii="Arial" w:cs="Arial" w:eastAsia="Arial" w:hAnsi="Arial"/>
                <w:sz w:val="17"/>
                <w:szCs w:val="17"/>
                <w:color w:val="0000FF"/>
              </w:rPr>
              <w:t>42.7</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vMerge w:val="restart"/>
          </w:tcPr>
          <w:p>
            <w:pPr>
              <w:ind w:left="30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23.82</w:t>
            </w:r>
          </w:p>
        </w:tc>
        <w:tc>
          <w:tcPr>
            <w:tcW w:w="112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07/23/2009</w:t>
            </w:r>
          </w:p>
        </w:tc>
        <w:tc>
          <w:tcPr>
            <w:tcW w:w="1140" w:type="dxa"/>
            <w:vAlign w:val="bottom"/>
          </w:tcPr>
          <w:p>
            <w:pPr>
              <w:spacing w:after="0"/>
              <w:rPr>
                <w:sz w:val="5"/>
                <w:szCs w:val="5"/>
                <w:color w:val="auto"/>
              </w:rPr>
            </w:pPr>
          </w:p>
        </w:tc>
        <w:tc>
          <w:tcPr>
            <w:tcW w:w="7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gridSpan w:val="2"/>
            <w:vMerge w:val="restart"/>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23.82</w:t>
            </w: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Interest</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10" w:lineRule="exact"/>
        <w:rPr>
          <w:rFonts w:ascii="Arial" w:cs="Arial" w:eastAsia="Arial" w:hAnsi="Arial"/>
          <w:sz w:val="13"/>
          <w:szCs w:val="13"/>
          <w:color w:val="008000"/>
        </w:rPr>
      </w:pPr>
    </w:p>
    <w:p>
      <w:pPr>
        <w:ind w:left="40" w:right="6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6-30-09. (Interests in this account are denominated in units. Consequently, share amount shown is an estimate.) This statement does not include changes in beneficial ownership of shares held in this account occurring after 6-30-09 that are eligible for deferred reporting on Form 5.</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Effected in connection with the Issuer's elimination of a fund alternative under the TI Deferred Compensation Plan. Interests denominated in units. Consequently, share interest shown is an estimate.</w:t>
      </w:r>
    </w:p>
    <w:p>
      <w:pPr>
        <w:spacing w:after="0" w:line="7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1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07/24/2009</w:t>
            </w:r>
          </w:p>
        </w:tc>
        <w:tc>
          <w:tcPr>
            <w:tcW w:w="0" w:type="dxa"/>
            <w:vAlign w:val="bottom"/>
          </w:tcPr>
          <w:p>
            <w:pPr>
              <w:spacing w:after="0"/>
              <w:rPr>
                <w:sz w:val="1"/>
                <w:szCs w:val="1"/>
                <w:color w:val="auto"/>
              </w:rPr>
            </w:pPr>
          </w:p>
        </w:tc>
      </w:tr>
      <w:tr>
        <w:trPr>
          <w:trHeight w:val="87"/>
        </w:trPr>
        <w:tc>
          <w:tcPr>
            <w:tcW w:w="50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In Fact</w:t>
            </w:r>
          </w:p>
        </w:tc>
        <w:tc>
          <w:tcPr>
            <w:tcW w:w="16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2019-12-16T23:52:04Z</dcterms:created>
  <dcterms:modified xsi:type="dcterms:W3CDTF">2019-12-16T23:52:04Z</dcterms:modified>
</cp:coreProperties>
</file>