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106,522,592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106,522,592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106,522,592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Global Investors is deemed to be the</w:t>
      </w:r>
    </w:p>
    <w:p>
      <w:pPr>
        <w:ind w:left="740"/>
        <w:spacing w:after="0" w:line="238" w:lineRule="auto"/>
        <w:rPr>
          <w:sz w:val="20"/>
          <w:szCs w:val="20"/>
          <w:color w:val="auto"/>
        </w:rPr>
      </w:pPr>
      <w:r>
        <w:rPr>
          <w:rFonts w:ascii="Courier New" w:cs="Courier New" w:eastAsia="Courier New" w:hAnsi="Courier New"/>
          <w:sz w:val="18"/>
          <w:szCs w:val="18"/>
          <w:color w:val="auto"/>
        </w:rPr>
        <w:t>beneficial owner of 106,522,592 shares or 10.1% of the</w:t>
      </w:r>
    </w:p>
    <w:p>
      <w:pPr>
        <w:ind w:left="740"/>
        <w:spacing w:after="0"/>
        <w:rPr>
          <w:sz w:val="20"/>
          <w:szCs w:val="20"/>
          <w:color w:val="auto"/>
        </w:rPr>
      </w:pPr>
      <w:r>
        <w:rPr>
          <w:rFonts w:ascii="Courier New" w:cs="Courier New" w:eastAsia="Courier New" w:hAnsi="Courier New"/>
          <w:sz w:val="18"/>
          <w:szCs w:val="18"/>
          <w:color w:val="auto"/>
        </w:rPr>
        <w:t>1,056,299,947 shares believed to be outstanding as a result of</w:t>
      </w:r>
    </w:p>
    <w:p>
      <w:pPr>
        <w:ind w:left="740"/>
        <w:spacing w:after="0" w:line="237" w:lineRule="auto"/>
        <w:rPr>
          <w:sz w:val="20"/>
          <w:szCs w:val="20"/>
          <w:color w:val="auto"/>
        </w:rPr>
      </w:pPr>
      <w:r>
        <w:rPr>
          <w:rFonts w:ascii="Courier New" w:cs="Courier New" w:eastAsia="Courier New" w:hAnsi="Courier New"/>
          <w:sz w:val="18"/>
          <w:szCs w:val="18"/>
          <w:color w:val="auto"/>
        </w:rPr>
        <w:t>CRMC acting as investment adviser to various investment</w:t>
      </w:r>
    </w:p>
    <w:p>
      <w:pPr>
        <w:ind w:left="740"/>
        <w:spacing w:after="0" w:line="238" w:lineRule="auto"/>
        <w:rPr>
          <w:sz w:val="20"/>
          <w:szCs w:val="20"/>
          <w:color w:val="auto"/>
        </w:rPr>
      </w:pPr>
      <w:r>
        <w:rPr>
          <w:rFonts w:ascii="Courier New" w:cs="Courier New" w:eastAsia="Courier New" w:hAnsi="Courier New"/>
          <w:sz w:val="18"/>
          <w:szCs w:val="18"/>
          <w:color w:val="auto"/>
        </w:rPr>
        <w:t>companies registered under Section 8 of the Investment Company</w:t>
      </w:r>
    </w:p>
    <w:p>
      <w:pPr>
        <w:ind w:left="740"/>
        <w:spacing w:after="0"/>
        <w:rPr>
          <w:sz w:val="20"/>
          <w:szCs w:val="20"/>
          <w:color w:val="auto"/>
        </w:rPr>
      </w:pPr>
      <w:r>
        <w:rPr>
          <w:rFonts w:ascii="Courier New" w:cs="Courier New" w:eastAsia="Courier New" w:hAnsi="Courier New"/>
          <w:sz w:val="18"/>
          <w:szCs w:val="18"/>
          <w:color w:val="auto"/>
        </w:rPr>
        <w:t>Act of 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2019-12-21T03:56:09Z</dcterms:created>
  <dcterms:modified xsi:type="dcterms:W3CDTF">2019-12-21T03:56:09Z</dcterms:modified>
</cp:coreProperties>
</file>