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 Supplement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 Prospectus Dated January 4, 2001</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Pursuant to Rule 424(b)(4)</w:t>
      </w:r>
    </w:p>
    <w:p>
      <w:pPr>
        <w:spacing w:after="0" w:line="21"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Registration No. 333-44572-01</w:t>
      </w:r>
    </w:p>
    <w:p>
      <w:pPr>
        <w:spacing w:after="0" w:line="16"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333-44572</w:t>
      </w:r>
    </w:p>
    <w:p>
      <w:pPr>
        <w:spacing w:after="0" w:line="200" w:lineRule="exact"/>
        <w:rPr>
          <w:sz w:val="24"/>
          <w:szCs w:val="24"/>
          <w:color w:val="auto"/>
        </w:rPr>
      </w:pPr>
    </w:p>
    <w:p>
      <w:pPr>
        <w:sectPr>
          <w:pgSz w:w="11900" w:h="16855" w:orient="portrait"/>
          <w:cols w:equalWidth="0" w:num="2">
            <w:col w:w="4340" w:space="720"/>
            <w:col w:w="5159"/>
          </w:cols>
          <w:pgMar w:left="240" w:top="447" w:right="1440" w:bottom="0" w:gutter="0" w:footer="0" w:header="0"/>
        </w:sectPr>
      </w:pPr>
    </w:p>
    <w:p>
      <w:pPr>
        <w:spacing w:after="0" w:line="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2,257,113 SHARES OF COMMON STOCK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ISSUABLE UPON CONVERSION OF TEXAS INSTRUMENTS TUCSON CORPORATION'S</w:t>
      </w:r>
    </w:p>
    <w:p>
      <w:pPr>
        <w:jc w:val="center"/>
        <w:ind w:right="1779"/>
        <w:spacing w:after="0" w:line="238" w:lineRule="auto"/>
        <w:rPr>
          <w:sz w:val="20"/>
          <w:szCs w:val="20"/>
          <w:color w:val="auto"/>
        </w:rPr>
      </w:pPr>
      <w:r>
        <w:rPr>
          <w:rFonts w:ascii="Courier New" w:cs="Courier New" w:eastAsia="Courier New" w:hAnsi="Courier New"/>
          <w:sz w:val="18"/>
          <w:szCs w:val="18"/>
          <w:color w:val="auto"/>
        </w:rPr>
        <w:t>4-1/4% CONVERTIBLE SUBORDINATED NOTES DUE 2007</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prospectus supplement amends and supplements, and should be read in conjunction with, the prospectus, dated January 4, 2001 of Texas Instruments Incorporated relating to the offering from time to time by certain selling securityholders of up to 2,257,113 shares of Texas Instruments common stock, par value $1.00 per share, issuable upon conversion of Texas Instruments Tucson Corporation's 4-1/4% Convertible Subordinated Notes due 2007.</w:t>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CHANGE IN SELLING SECURITYHOLDER INFORMATION</w:t>
      </w:r>
    </w:p>
    <w:p>
      <w:pPr>
        <w:spacing w:after="0" w:line="207" w:lineRule="exact"/>
        <w:rPr>
          <w:sz w:val="24"/>
          <w:szCs w:val="24"/>
          <w:color w:val="auto"/>
        </w:rPr>
      </w:pPr>
    </w:p>
    <w:p>
      <w:pPr>
        <w:jc w:val="both"/>
        <w:ind w:right="2099" w:firstLine="527"/>
        <w:spacing w:after="0" w:line="237" w:lineRule="auto"/>
        <w:rPr>
          <w:sz w:val="20"/>
          <w:szCs w:val="20"/>
          <w:color w:val="auto"/>
        </w:rPr>
      </w:pPr>
      <w:r>
        <w:rPr>
          <w:rFonts w:ascii="Courier New" w:cs="Courier New" w:eastAsia="Courier New" w:hAnsi="Courier New"/>
          <w:sz w:val="18"/>
          <w:szCs w:val="18"/>
          <w:color w:val="auto"/>
        </w:rPr>
        <w:t>The table below sets forth information as of the date hereof concerning beneficial ownership of the notes and underlying common stock of the selling securityholders listed below. All information concerning beneficial ownership has been furnished by the selling securityholders.</w:t>
      </w:r>
    </w:p>
    <w:p>
      <w:pPr>
        <w:spacing w:after="0" w:line="202" w:lineRule="exact"/>
        <w:rPr>
          <w:sz w:val="24"/>
          <w:szCs w:val="24"/>
          <w:color w:val="auto"/>
        </w:rPr>
      </w:pPr>
    </w:p>
    <w:p>
      <w:pPr>
        <w:jc w:val="center"/>
        <w:ind w:right="8739"/>
        <w:spacing w:after="0"/>
        <w:rPr>
          <w:sz w:val="20"/>
          <w:szCs w:val="20"/>
          <w:color w:val="auto"/>
        </w:rPr>
      </w:pPr>
      <w:r>
        <w:rPr>
          <w:rFonts w:ascii="Courier New" w:cs="Courier New" w:eastAsia="Courier New" w:hAnsi="Courier New"/>
          <w:sz w:val="18"/>
          <w:szCs w:val="18"/>
          <w:color w:val="auto"/>
        </w:rPr>
        <w:t>PRINCIPAL</w:t>
      </w:r>
    </w:p>
    <w:p>
      <w:pPr>
        <w:jc w:val="center"/>
        <w:ind w:right="8739"/>
        <w:spacing w:after="0" w:line="238" w:lineRule="auto"/>
        <w:rPr>
          <w:sz w:val="20"/>
          <w:szCs w:val="20"/>
          <w:color w:val="auto"/>
        </w:rPr>
      </w:pPr>
      <w:r>
        <w:rPr>
          <w:rFonts w:ascii="Courier New" w:cs="Courier New" w:eastAsia="Courier New" w:hAnsi="Courier New"/>
          <w:sz w:val="18"/>
          <w:szCs w:val="18"/>
          <w:color w:val="auto"/>
        </w:rPr>
        <w:t>AMOUNT AT</w:t>
      </w:r>
    </w:p>
    <w:p>
      <w:pPr>
        <w:jc w:val="center"/>
        <w:ind w:right="8739"/>
        <w:spacing w:after="0"/>
        <w:rPr>
          <w:sz w:val="20"/>
          <w:szCs w:val="20"/>
          <w:color w:val="auto"/>
        </w:rPr>
      </w:pPr>
      <w:r>
        <w:rPr>
          <w:rFonts w:ascii="Courier New" w:cs="Courier New" w:eastAsia="Courier New" w:hAnsi="Courier New"/>
          <w:sz w:val="18"/>
          <w:szCs w:val="18"/>
          <w:color w:val="auto"/>
        </w:rPr>
        <w:t>MATURITY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NOTES SHARES</w:t>
      </w:r>
    </w:p>
    <w:p>
      <w:pPr>
        <w:jc w:val="center"/>
        <w:ind w:right="8739"/>
        <w:spacing w:after="0" w:line="238" w:lineRule="auto"/>
        <w:rPr>
          <w:sz w:val="20"/>
          <w:szCs w:val="20"/>
          <w:color w:val="auto"/>
        </w:rPr>
      </w:pPr>
      <w:r>
        <w:rPr>
          <w:rFonts w:ascii="Courier New" w:cs="Courier New" w:eastAsia="Courier New" w:hAnsi="Courier New"/>
          <w:sz w:val="18"/>
          <w:szCs w:val="18"/>
          <w:color w:val="auto"/>
        </w:rPr>
        <w:t>OF</w:t>
      </w:r>
    </w:p>
    <w:p>
      <w:pPr>
        <w:jc w:val="center"/>
        <w:ind w:right="8739"/>
        <w:spacing w:after="0"/>
        <w:rPr>
          <w:sz w:val="20"/>
          <w:szCs w:val="20"/>
          <w:color w:val="auto"/>
        </w:rPr>
      </w:pPr>
      <w:r>
        <w:rPr>
          <w:rFonts w:ascii="Courier New" w:cs="Courier New" w:eastAsia="Courier New" w:hAnsi="Courier New"/>
          <w:sz w:val="18"/>
          <w:szCs w:val="18"/>
          <w:color w:val="auto"/>
        </w:rPr>
        <w:t>BENEFICIALLY</w:t>
      </w:r>
    </w:p>
    <w:p>
      <w:pPr>
        <w:jc w:val="center"/>
        <w:ind w:right="8739"/>
        <w:spacing w:after="0" w:line="237" w:lineRule="auto"/>
        <w:rPr>
          <w:sz w:val="20"/>
          <w:szCs w:val="20"/>
          <w:color w:val="auto"/>
        </w:rPr>
      </w:pPr>
      <w:r>
        <w:rPr>
          <w:rFonts w:ascii="Courier New" w:cs="Courier New" w:eastAsia="Courier New" w:hAnsi="Courier New"/>
          <w:sz w:val="18"/>
          <w:szCs w:val="18"/>
          <w:color w:val="auto"/>
        </w:rPr>
        <w:t>PERCENTAGE</w:t>
      </w:r>
    </w:p>
    <w:p>
      <w:pPr>
        <w:jc w:val="center"/>
        <w:ind w:right="8739"/>
        <w:spacing w:after="0"/>
        <w:rPr>
          <w:sz w:val="20"/>
          <w:szCs w:val="20"/>
          <w:color w:val="auto"/>
        </w:rPr>
      </w:pPr>
      <w:r>
        <w:rPr>
          <w:rFonts w:ascii="Courier New" w:cs="Courier New" w:eastAsia="Courier New" w:hAnsi="Courier New"/>
          <w:sz w:val="18"/>
          <w:szCs w:val="18"/>
          <w:color w:val="auto"/>
        </w:rPr>
        <w:t>COMMON STOCK</w:t>
      </w:r>
    </w:p>
    <w:p>
      <w:pPr>
        <w:jc w:val="center"/>
        <w:ind w:right="8739"/>
        <w:spacing w:after="0" w:line="237" w:lineRule="auto"/>
        <w:rPr>
          <w:sz w:val="20"/>
          <w:szCs w:val="20"/>
          <w:color w:val="auto"/>
        </w:rPr>
      </w:pPr>
      <w:r>
        <w:rPr>
          <w:rFonts w:ascii="Courier New" w:cs="Courier New" w:eastAsia="Courier New" w:hAnsi="Courier New"/>
          <w:sz w:val="18"/>
          <w:szCs w:val="18"/>
          <w:color w:val="auto"/>
        </w:rPr>
        <w:t>PERCENTAGE OF</w:t>
      </w:r>
    </w:p>
    <w:p>
      <w:pPr>
        <w:jc w:val="center"/>
        <w:ind w:right="8739"/>
        <w:spacing w:after="0"/>
        <w:rPr>
          <w:sz w:val="20"/>
          <w:szCs w:val="20"/>
          <w:color w:val="auto"/>
        </w:rPr>
      </w:pPr>
      <w:r>
        <w:rPr>
          <w:rFonts w:ascii="Courier New" w:cs="Courier New" w:eastAsia="Courier New" w:hAnsi="Courier New"/>
          <w:sz w:val="18"/>
          <w:szCs w:val="18"/>
          <w:color w:val="auto"/>
        </w:rPr>
        <w:t>OWNED THAT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NOTES THAT</w:t>
      </w:r>
    </w:p>
    <w:p>
      <w:pPr>
        <w:jc w:val="center"/>
        <w:ind w:right="8739"/>
        <w:spacing w:after="0" w:line="238" w:lineRule="auto"/>
        <w:rPr>
          <w:sz w:val="20"/>
          <w:szCs w:val="20"/>
          <w:color w:val="auto"/>
        </w:rPr>
      </w:pPr>
      <w:r>
        <w:rPr>
          <w:rFonts w:ascii="Courier New" w:cs="Courier New" w:eastAsia="Courier New" w:hAnsi="Courier New"/>
          <w:sz w:val="18"/>
          <w:szCs w:val="18"/>
          <w:color w:val="auto"/>
        </w:rPr>
        <w:t>MAY COMMON</w:t>
      </w:r>
    </w:p>
    <w:p>
      <w:pPr>
        <w:jc w:val="center"/>
        <w:ind w:right="8739"/>
        <w:spacing w:after="0"/>
        <w:rPr>
          <w:sz w:val="20"/>
          <w:szCs w:val="20"/>
          <w:color w:val="auto"/>
        </w:rPr>
      </w:pPr>
      <w:r>
        <w:rPr>
          <w:rFonts w:ascii="Courier New" w:cs="Courier New" w:eastAsia="Courier New" w:hAnsi="Courier New"/>
          <w:sz w:val="18"/>
          <w:szCs w:val="18"/>
          <w:color w:val="auto"/>
        </w:rPr>
        <w:t>STOCK NAME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SELLING</w:t>
      </w:r>
    </w:p>
    <w:p>
      <w:pPr>
        <w:spacing w:after="0" w:line="5" w:lineRule="exact"/>
        <w:rPr>
          <w:sz w:val="24"/>
          <w:szCs w:val="24"/>
          <w:color w:val="auto"/>
        </w:rPr>
      </w:pPr>
    </w:p>
    <w:p>
      <w:pPr>
        <w:jc w:val="center"/>
        <w:ind w:right="8739"/>
        <w:spacing w:after="0"/>
        <w:rPr>
          <w:sz w:val="20"/>
          <w:szCs w:val="20"/>
          <w:color w:val="auto"/>
        </w:rPr>
      </w:pPr>
      <w:r>
        <w:rPr>
          <w:rFonts w:ascii="Courier New" w:cs="Courier New" w:eastAsia="Courier New" w:hAnsi="Courier New"/>
          <w:sz w:val="16"/>
          <w:szCs w:val="16"/>
          <w:color w:val="auto"/>
        </w:rPr>
        <w:t>SECURITYHOLDER</w:t>
      </w:r>
    </w:p>
    <w:p>
      <w:pPr>
        <w:spacing w:after="0" w:line="16" w:lineRule="exact"/>
        <w:rPr>
          <w:sz w:val="24"/>
          <w:szCs w:val="24"/>
          <w:color w:val="auto"/>
        </w:rPr>
      </w:pPr>
    </w:p>
    <w:p>
      <w:pPr>
        <w:jc w:val="center"/>
        <w:ind w:right="8739"/>
        <w:spacing w:after="0"/>
        <w:rPr>
          <w:sz w:val="20"/>
          <w:szCs w:val="20"/>
          <w:color w:val="auto"/>
        </w:rPr>
      </w:pPr>
      <w:r>
        <w:rPr>
          <w:rFonts w:ascii="Courier New" w:cs="Courier New" w:eastAsia="Courier New" w:hAnsi="Courier New"/>
          <w:sz w:val="18"/>
          <w:szCs w:val="18"/>
          <w:color w:val="auto"/>
        </w:rPr>
        <w:t>MAY BE SOLD</w:t>
      </w:r>
    </w:p>
    <w:p>
      <w:pPr>
        <w:jc w:val="center"/>
        <w:ind w:right="8739"/>
        <w:spacing w:after="0" w:line="238" w:lineRule="auto"/>
        <w:rPr>
          <w:sz w:val="20"/>
          <w:szCs w:val="20"/>
          <w:color w:val="auto"/>
        </w:rPr>
      </w:pPr>
      <w:r>
        <w:rPr>
          <w:rFonts w:ascii="Courier New" w:cs="Courier New" w:eastAsia="Courier New" w:hAnsi="Courier New"/>
          <w:sz w:val="18"/>
          <w:szCs w:val="18"/>
          <w:color w:val="auto"/>
        </w:rPr>
        <w:t>OUTSTANDING</w:t>
      </w:r>
    </w:p>
    <w:p>
      <w:pPr>
        <w:jc w:val="center"/>
        <w:ind w:right="8739"/>
        <w:spacing w:after="0"/>
        <w:rPr>
          <w:sz w:val="20"/>
          <w:szCs w:val="20"/>
          <w:color w:val="auto"/>
        </w:rPr>
      </w:pPr>
      <w:r>
        <w:rPr>
          <w:rFonts w:ascii="Courier New" w:cs="Courier New" w:eastAsia="Courier New" w:hAnsi="Courier New"/>
          <w:sz w:val="18"/>
          <w:szCs w:val="18"/>
          <w:color w:val="auto"/>
        </w:rPr>
        <w:t>BE SOLD(1)</w:t>
      </w:r>
    </w:p>
    <w:p>
      <w:pPr>
        <w:jc w:val="center"/>
        <w:ind w:right="8739"/>
        <w:spacing w:after="0" w:line="237" w:lineRule="auto"/>
        <w:rPr>
          <w:sz w:val="20"/>
          <w:szCs w:val="20"/>
          <w:color w:val="auto"/>
        </w:rPr>
      </w:pPr>
      <w:r>
        <w:rPr>
          <w:rFonts w:ascii="Courier New" w:cs="Courier New" w:eastAsia="Courier New" w:hAnsi="Courier New"/>
          <w:sz w:val="18"/>
          <w:szCs w:val="18"/>
          <w:color w:val="auto"/>
        </w:rPr>
        <w:t>OUTSTANDING</w:t>
      </w:r>
    </w:p>
    <w:p>
      <w:pPr>
        <w:ind w:left="480" w:hanging="421"/>
        <w:spacing w:after="0" w:line="238" w:lineRule="auto"/>
        <w:tabs>
          <w:tab w:leader="none" w:pos="48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Gabelli</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Global</w:t>
      </w:r>
    </w:p>
    <w:p>
      <w:pPr>
        <w:spacing w:after="0" w:line="4" w:lineRule="exact"/>
        <w:rPr>
          <w:rFonts w:ascii="Courier New" w:cs="Courier New" w:eastAsia="Courier New" w:hAnsi="Courier New"/>
          <w:sz w:val="18"/>
          <w:szCs w:val="18"/>
          <w:color w:val="auto"/>
        </w:rPr>
      </w:pPr>
    </w:p>
    <w:p>
      <w:pPr>
        <w:jc w:val="center"/>
        <w:ind w:left="120" w:right="8839" w:firstLine="53"/>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Convertible Securities $200,000 * 4,500 * Fund</w:t>
      </w:r>
    </w:p>
    <w:p>
      <w:pPr>
        <w:spacing w:after="0" w:line="37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1%</w:t>
      </w:r>
    </w:p>
    <w:p>
      <w:pPr>
        <w:spacing w:after="0" w:line="207" w:lineRule="exact"/>
        <w:rPr>
          <w:sz w:val="24"/>
          <w:szCs w:val="24"/>
          <w:color w:val="auto"/>
        </w:rPr>
      </w:pPr>
    </w:p>
    <w:p>
      <w:pPr>
        <w:ind w:left="540" w:right="1879" w:hanging="532"/>
        <w:spacing w:after="0" w:line="237"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Assumes conversion of all of the holder's notes at a conversion price of approximately $44.45 per share of Texas Instruments common stock. However, this conversion price will be subject to adjustment as described under "Description of Notes - Conversion of Notes" in the prospectus. As a result, the amount of Texas Instruments common stock issuable upon conversion of the notes may decrease in the future.</w:t>
      </w:r>
    </w:p>
    <w:p>
      <w:pPr>
        <w:spacing w:after="0" w:line="209"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Calculated based on Rule 13d-3(d)(i) of the Securities and Exchange Act using 1,734,695,442 shares of Texas Instruments common stock issued and outstanding as of July 29, 2002. Assumes the number of shares of Texas Instruments common stock issuable upon conversion of all of that particular holder's notes are outstanding. However, this does not include the conversion of any other holder's notes.</w:t>
      </w:r>
    </w:p>
    <w:p>
      <w:pPr>
        <w:spacing w:after="0" w:line="20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SECURITIES OFFERED HEREBY INVOLVE A HIGH DEGREE OF RISK. SEE "RISK</w:t>
      </w:r>
    </w:p>
    <w:p>
      <w:pPr>
        <w:sectPr>
          <w:pgSz w:w="11900" w:h="16855" w:orient="portrait"/>
          <w:cols w:equalWidth="0" w:num="1">
            <w:col w:w="10219"/>
          </w:cols>
          <w:pgMar w:left="240" w:top="447"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FACTORS" BEGINNING ON PAGE 3 OF THE PROSPECTUS.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The date of this Prospectus Supplement is July 30,2002.</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2)"/>
      <w:numFmt w:val="decimal"/>
      <w:start w:val="2"/>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2019-12-13T07:36:09Z</dcterms:created>
  <dcterms:modified xsi:type="dcterms:W3CDTF">2019-12-13T07:36:09Z</dcterms:modified>
</cp:coreProperties>
</file>