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590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590540"/>
                    </a:xfrm>
                    <a:prstGeom prst="rect">
                      <a:avLst/>
                    </a:prstGeom>
                    <a:noFill/>
                  </pic:spPr>
                </pic:pic>
              </a:graphicData>
            </a:graphic>
          </wp:anchor>
        </w:drawing>
      </w:r>
    </w:p>
    <w:p>
      <w:pPr>
        <w:sectPr>
          <w:pgSz w:w="11900" w:h="16838" w:orient="portrait"/>
          <w:cols w:equalWidth="0" w:num="1">
            <w:col w:w="10940"/>
          </w:cols>
          <w:pgMar w:left="480" w:top="236" w:right="479" w:bottom="902"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Knecht Julie 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80" w:type="dxa"/>
            <w:vAlign w:val="bottom"/>
            <w:tcBorders>
              <w:top w:val="single" w:sz="8" w:color="0000EE"/>
              <w:bottom w:val="single" w:sz="8" w:color="9A9A9A"/>
            </w:tcBorders>
          </w:tcPr>
          <w:p>
            <w:pPr>
              <w:spacing w:after="0"/>
              <w:rPr>
                <w:sz w:val="16"/>
                <w:szCs w:val="16"/>
                <w:color w:val="auto"/>
              </w:rPr>
            </w:pPr>
          </w:p>
        </w:tc>
        <w:tc>
          <w:tcPr>
            <w:tcW w:w="13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04/22/2021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TEXAS INSTRUMENTS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TXN</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293" w:lineRule="exact"/>
        <w:rPr>
          <w:sz w:val="24"/>
          <w:szCs w:val="24"/>
          <w:color w:val="auto"/>
        </w:rPr>
      </w:pPr>
    </w:p>
    <w:p>
      <w:pPr>
        <w:sectPr>
          <w:pgSz w:w="11900" w:h="16838" w:orient="portrait"/>
          <w:cols w:equalWidth="0" w:num="2">
            <w:col w:w="4720" w:space="280"/>
            <w:col w:w="5940"/>
          </w:cols>
          <w:pgMar w:left="480" w:top="236" w:right="479" w:bottom="902"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120"/>
              <w:spacing w:after="0"/>
              <w:rPr>
                <w:sz w:val="20"/>
                <w:szCs w:val="20"/>
                <w:color w:val="auto"/>
              </w:rPr>
            </w:pPr>
            <w:r>
              <w:rPr>
                <w:rFonts w:ascii="Arial" w:cs="Arial" w:eastAsia="Arial" w:hAnsi="Arial"/>
                <w:sz w:val="15"/>
                <w:szCs w:val="15"/>
                <w:color w:val="auto"/>
              </w:rPr>
              <w:t>(First)</w:t>
            </w:r>
          </w:p>
        </w:tc>
        <w:tc>
          <w:tcPr>
            <w:tcW w:w="1060" w:type="dxa"/>
            <w:vAlign w:val="bottom"/>
          </w:tcPr>
          <w:p>
            <w:pPr>
              <w:ind w:left="60"/>
              <w:spacing w:after="0"/>
              <w:rPr>
                <w:sz w:val="20"/>
                <w:szCs w:val="20"/>
                <w:color w:val="auto"/>
              </w:rPr>
            </w:pPr>
            <w:r>
              <w:rPr>
                <w:rFonts w:ascii="Arial" w:cs="Arial" w:eastAsia="Arial" w:hAnsi="Arial"/>
                <w:sz w:val="15"/>
                <w:szCs w:val="15"/>
                <w:color w:val="auto"/>
              </w:rPr>
              <w:t>(Middle)</w:t>
            </w:r>
          </w:p>
        </w:tc>
      </w:tr>
      <w:tr>
        <w:trPr>
          <w:trHeight w:val="314"/>
        </w:trPr>
        <w:tc>
          <w:tcPr>
            <w:tcW w:w="2040" w:type="dxa"/>
            <w:vAlign w:val="bottom"/>
            <w:gridSpan w:val="2"/>
          </w:tcPr>
          <w:p>
            <w:pPr>
              <w:ind w:left="40"/>
              <w:spacing w:after="0"/>
              <w:rPr>
                <w:sz w:val="20"/>
                <w:szCs w:val="20"/>
                <w:color w:val="auto"/>
              </w:rPr>
            </w:pPr>
            <w:r>
              <w:rPr>
                <w:rFonts w:ascii="Arial" w:cs="Arial" w:eastAsia="Arial" w:hAnsi="Arial"/>
                <w:sz w:val="20"/>
                <w:szCs w:val="20"/>
                <w:color w:val="0000FF"/>
                <w:w w:val="95"/>
              </w:rPr>
              <w:t>12500 TI BOULEVARD</w:t>
            </w:r>
          </w:p>
        </w:tc>
        <w:tc>
          <w:tcPr>
            <w:tcW w:w="1060" w:type="dxa"/>
            <w:vAlign w:val="bottom"/>
          </w:tcPr>
          <w:p>
            <w:pPr>
              <w:spacing w:after="0"/>
              <w:rPr>
                <w:sz w:val="24"/>
                <w:szCs w:val="24"/>
                <w:color w:val="auto"/>
              </w:rPr>
            </w:pPr>
          </w:p>
        </w:tc>
      </w:tr>
      <w:tr>
        <w:trPr>
          <w:trHeight w:val="237"/>
        </w:trPr>
        <w:tc>
          <w:tcPr>
            <w:tcW w:w="94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DALLAS</w:t>
            </w:r>
          </w:p>
        </w:tc>
        <w:tc>
          <w:tcPr>
            <w:tcW w:w="1100" w:type="dxa"/>
            <w:vAlign w:val="bottom"/>
          </w:tcPr>
          <w:p>
            <w:pPr>
              <w:ind w:left="120"/>
              <w:spacing w:after="0"/>
              <w:rPr>
                <w:sz w:val="20"/>
                <w:szCs w:val="20"/>
                <w:color w:val="auto"/>
              </w:rPr>
            </w:pPr>
            <w:r>
              <w:rPr>
                <w:rFonts w:ascii="Arial" w:cs="Arial" w:eastAsia="Arial" w:hAnsi="Arial"/>
                <w:sz w:val="20"/>
                <w:szCs w:val="20"/>
                <w:color w:val="0000FF"/>
              </w:rPr>
              <w:t>TX</w:t>
            </w:r>
          </w:p>
        </w:tc>
        <w:tc>
          <w:tcPr>
            <w:tcW w:w="1060" w:type="dxa"/>
            <w:vAlign w:val="bottom"/>
          </w:tcPr>
          <w:p>
            <w:pPr>
              <w:ind w:left="60"/>
              <w:spacing w:after="0"/>
              <w:rPr>
                <w:sz w:val="20"/>
                <w:szCs w:val="20"/>
                <w:color w:val="auto"/>
              </w:rPr>
            </w:pPr>
            <w:r>
              <w:rPr>
                <w:rFonts w:ascii="Arial" w:cs="Arial" w:eastAsia="Arial" w:hAnsi="Arial"/>
                <w:sz w:val="20"/>
                <w:szCs w:val="20"/>
                <w:color w:val="0000FF"/>
              </w:rPr>
              <w:t>75243</w:t>
            </w:r>
          </w:p>
        </w:tc>
      </w:tr>
      <w:tr>
        <w:trPr>
          <w:trHeight w:val="177"/>
        </w:trPr>
        <w:tc>
          <w:tcPr>
            <w:tcW w:w="9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r>
      <w:tr>
        <w:trPr>
          <w:trHeight w:val="344"/>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120"/>
              <w:spacing w:after="0"/>
              <w:rPr>
                <w:sz w:val="20"/>
                <w:szCs w:val="20"/>
                <w:color w:val="auto"/>
              </w:rPr>
            </w:pPr>
            <w:r>
              <w:rPr>
                <w:rFonts w:ascii="Arial" w:cs="Arial" w:eastAsia="Arial" w:hAnsi="Arial"/>
                <w:sz w:val="15"/>
                <w:szCs w:val="15"/>
                <w:color w:val="auto"/>
              </w:rPr>
              <w:t>(State)</w:t>
            </w:r>
          </w:p>
        </w:tc>
        <w:tc>
          <w:tcPr>
            <w:tcW w:w="1060" w:type="dxa"/>
            <w:vAlign w:val="bottom"/>
          </w:tcPr>
          <w:p>
            <w:pPr>
              <w:ind w:left="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303"/>
        <w:spacing w:after="0"/>
        <w:rPr>
          <w:sz w:val="20"/>
          <w:szCs w:val="20"/>
          <w:color w:val="auto"/>
        </w:rPr>
      </w:pPr>
      <w:r>
        <w:rPr>
          <w:rFonts w:ascii="Arial" w:cs="Arial" w:eastAsia="Arial" w:hAnsi="Arial"/>
          <w:sz w:val="20"/>
          <w:szCs w:val="20"/>
          <w:color w:val="0000FF"/>
        </w:rPr>
        <w:t>VP &amp; Chief Accounting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902"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3"/>
              </w:rPr>
              <w:t>11,890</w:t>
            </w:r>
            <w:r>
              <w:rPr>
                <w:rFonts w:ascii="Arial" w:cs="Arial" w:eastAsia="Arial" w:hAnsi="Arial"/>
                <w:sz w:val="25"/>
                <w:szCs w:val="25"/>
                <w:color w:val="008000"/>
                <w:w w:val="83"/>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5"/>
              </w:rPr>
              <w:t>NQ 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01/26/2027</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right"/>
              <w:ind w:right="53"/>
              <w:spacing w:after="0"/>
              <w:rPr>
                <w:sz w:val="20"/>
                <w:szCs w:val="20"/>
                <w:color w:val="auto"/>
              </w:rPr>
            </w:pPr>
            <w:r>
              <w:rPr>
                <w:rFonts w:ascii="Arial" w:cs="Arial" w:eastAsia="Arial" w:hAnsi="Arial"/>
                <w:sz w:val="20"/>
                <w:szCs w:val="20"/>
                <w:color w:val="0000FF"/>
              </w:rPr>
              <w:t>4,550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79.26</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5"/>
              </w:rPr>
              <w:t>NQ 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01/25/2028</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right"/>
              <w:ind w:right="53"/>
              <w:spacing w:after="0"/>
              <w:rPr>
                <w:sz w:val="20"/>
                <w:szCs w:val="20"/>
                <w:color w:val="auto"/>
              </w:rPr>
            </w:pPr>
            <w:r>
              <w:rPr>
                <w:rFonts w:ascii="Arial" w:cs="Arial" w:eastAsia="Arial" w:hAnsi="Arial"/>
                <w:sz w:val="20"/>
                <w:szCs w:val="20"/>
                <w:color w:val="0000FF"/>
              </w:rPr>
              <w:t>3,231</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8"/>
              </w:rPr>
              <w:t>110.15</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5"/>
              </w:rPr>
              <w:t>NQ 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01/25/2029</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right"/>
              <w:ind w:right="53"/>
              <w:spacing w:after="0"/>
              <w:rPr>
                <w:sz w:val="20"/>
                <w:szCs w:val="20"/>
                <w:color w:val="auto"/>
              </w:rPr>
            </w:pPr>
            <w:r>
              <w:rPr>
                <w:rFonts w:ascii="Arial" w:cs="Arial" w:eastAsia="Arial" w:hAnsi="Arial"/>
                <w:sz w:val="20"/>
                <w:szCs w:val="20"/>
                <w:color w:val="0000FF"/>
              </w:rPr>
              <w:t>4,533</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8"/>
              </w:rPr>
              <w:t>104.41</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5"/>
              </w:rPr>
              <w:t>NQ 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(5)</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01/24/2030</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right"/>
              <w:ind w:right="53"/>
              <w:spacing w:after="0"/>
              <w:rPr>
                <w:sz w:val="20"/>
                <w:szCs w:val="20"/>
                <w:color w:val="auto"/>
              </w:rPr>
            </w:pPr>
            <w:r>
              <w:rPr>
                <w:rFonts w:ascii="Arial" w:cs="Arial" w:eastAsia="Arial" w:hAnsi="Arial"/>
                <w:sz w:val="20"/>
                <w:szCs w:val="20"/>
                <w:color w:val="0000FF"/>
              </w:rPr>
              <w:t>5,378</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8"/>
              </w:rPr>
              <w:t>130.52</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5"/>
              </w:rPr>
              <w:t>NQ 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(6)</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01/28/2031</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right"/>
              <w:ind w:right="53"/>
              <w:spacing w:after="0"/>
              <w:rPr>
                <w:sz w:val="20"/>
                <w:szCs w:val="20"/>
                <w:color w:val="auto"/>
              </w:rPr>
            </w:pPr>
            <w:r>
              <w:rPr>
                <w:rFonts w:ascii="Arial" w:cs="Arial" w:eastAsia="Arial" w:hAnsi="Arial"/>
                <w:sz w:val="20"/>
                <w:szCs w:val="20"/>
                <w:color w:val="0000FF"/>
              </w:rPr>
              <w:t>3,379</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8"/>
              </w:rPr>
              <w:t>169.23</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3,506 shares subject to terms of restricted stock units awarded under the Issuer's long-term incentive plans.</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became exercisable in four equal annual installments beginning on January 26, 2018.</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became exercisable in four equal annual installments beginning on January 25, 2019.</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became exercisable in four equal annual installments beginning on January 25, 2020.</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became exercisable in four equal annual installments beginning on January 24, 2021.</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becomes exercisable in four equal annual installments beginning on January 28, 2022.</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Katharine Kane,</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04/29/2021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 In Fact</w:t>
            </w:r>
          </w:p>
        </w:tc>
        <w:tc>
          <w:tcPr>
            <w:tcW w:w="6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902"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AUTHORIZATION</w:t>
      </w:r>
    </w:p>
    <w:p>
      <w:pPr>
        <w:spacing w:after="0" w:line="200" w:lineRule="exact"/>
        <w:rPr>
          <w:sz w:val="20"/>
          <w:szCs w:val="20"/>
          <w:color w:val="auto"/>
        </w:rPr>
      </w:pPr>
    </w:p>
    <w:p>
      <w:pPr>
        <w:spacing w:after="0" w:line="255" w:lineRule="exact"/>
        <w:rPr>
          <w:sz w:val="20"/>
          <w:szCs w:val="20"/>
          <w:color w:val="auto"/>
        </w:rPr>
      </w:pPr>
    </w:p>
    <w:p>
      <w:pPr>
        <w:ind w:right="1079"/>
        <w:spacing w:after="0" w:line="236" w:lineRule="auto"/>
        <w:rPr>
          <w:sz w:val="20"/>
          <w:szCs w:val="20"/>
          <w:color w:val="auto"/>
        </w:rPr>
      </w:pPr>
      <w:r>
        <w:rPr>
          <w:rFonts w:ascii="Courier New" w:cs="Courier New" w:eastAsia="Courier New" w:hAnsi="Courier New"/>
          <w:sz w:val="20"/>
          <w:szCs w:val="20"/>
          <w:color w:val="auto"/>
        </w:rPr>
        <w:t>I hereby authorize Cynthia Hoff Trochu, Katharine Kane, Elizabeth M. Bedell, Rick Logsdon, Shanon J. Leonard, and Erin E. Hilton or any one</w:t>
      </w:r>
    </w:p>
    <w:p>
      <w:pPr>
        <w:spacing w:after="0" w:line="5" w:lineRule="exact"/>
        <w:rPr>
          <w:sz w:val="20"/>
          <w:szCs w:val="20"/>
          <w:color w:val="auto"/>
        </w:rPr>
      </w:pPr>
    </w:p>
    <w:p>
      <w:pPr>
        <w:ind w:right="1079"/>
        <w:spacing w:after="0" w:line="266" w:lineRule="auto"/>
        <w:rPr>
          <w:sz w:val="20"/>
          <w:szCs w:val="20"/>
          <w:color w:val="auto"/>
        </w:rPr>
      </w:pPr>
      <w:r>
        <w:rPr>
          <w:rFonts w:ascii="Courier New" w:cs="Courier New" w:eastAsia="Courier New" w:hAnsi="Courier New"/>
          <w:sz w:val="18"/>
          <w:szCs w:val="18"/>
          <w:color w:val="auto"/>
        </w:rPr>
        <w:t>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200" w:lineRule="exact"/>
        <w:rPr>
          <w:sz w:val="20"/>
          <w:szCs w:val="20"/>
          <w:color w:val="auto"/>
        </w:rPr>
      </w:pPr>
    </w:p>
    <w:p>
      <w:pPr>
        <w:spacing w:after="0" w:line="239" w:lineRule="exact"/>
        <w:rPr>
          <w:sz w:val="20"/>
          <w:szCs w:val="20"/>
          <w:color w:val="auto"/>
        </w:rPr>
      </w:pPr>
    </w:p>
    <w:p>
      <w:pPr>
        <w:ind w:right="1079"/>
        <w:spacing w:after="0" w:line="236" w:lineRule="auto"/>
        <w:rPr>
          <w:sz w:val="20"/>
          <w:szCs w:val="20"/>
          <w:color w:val="auto"/>
        </w:rPr>
      </w:pPr>
      <w:r>
        <w:rPr>
          <w:rFonts w:ascii="Courier New" w:cs="Courier New" w:eastAsia="Courier New" w:hAnsi="Courier New"/>
          <w:sz w:val="20"/>
          <w:szCs w:val="20"/>
          <w:color w:val="auto"/>
        </w:rPr>
        <w:t>I acknowledge that the persons authorized hereunder are not assuming, nor is the Company assuming, any of my responsibilities to comply with Section 16 of the Exchange Act and other relevant securities laws.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Dated as of the 23 day of April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Julie C. Knecht</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59349" TargetMode="External"/><Relationship Id="rId11"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2021-04-29T17:08:25Z</dcterms:created>
  <dcterms:modified xsi:type="dcterms:W3CDTF">2021-04-29T17:08:25Z</dcterms:modified>
</cp:coreProperties>
</file>