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ind w:right="-539"/>
        <w:spacing w:after="0"/>
        <w:rPr>
          <w:sz w:val="20"/>
          <w:szCs w:val="20"/>
          <w:color w:val="auto"/>
        </w:rPr>
      </w:pPr>
      <w:r>
        <w:rPr>
          <w:rFonts w:ascii="Arial" w:cs="Arial" w:eastAsia="Arial" w:hAnsi="Arial"/>
          <w:sz w:val="22"/>
          <w:szCs w:val="22"/>
          <w:b w:val="1"/>
          <w:bCs w:val="1"/>
          <w:color w:val="auto"/>
        </w:rPr>
        <w:t>SECURITIES AND EXCHANGE COMMISSION</w:t>
      </w: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519430</wp:posOffset>
            </wp:positionV>
            <wp:extent cx="21869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jc w:val="center"/>
        <w:ind w:right="-539"/>
        <w:spacing w:after="0"/>
        <w:rPr>
          <w:sz w:val="20"/>
          <w:szCs w:val="20"/>
          <w:color w:val="auto"/>
        </w:rPr>
      </w:pPr>
      <w:r>
        <w:rPr>
          <w:rFonts w:ascii="Arial" w:cs="Arial" w:eastAsia="Arial" w:hAnsi="Arial"/>
          <w:sz w:val="22"/>
          <w:szCs w:val="22"/>
          <w:b w:val="1"/>
          <w:bCs w:val="1"/>
          <w:color w:val="auto"/>
        </w:rPr>
        <w:t>FORM 8-K</w:t>
      </w:r>
    </w:p>
    <w:p>
      <w:pPr>
        <w:spacing w:after="0" w:line="215"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ind w:left="2580"/>
        <w:spacing w:after="0"/>
        <w:rPr>
          <w:sz w:val="20"/>
          <w:szCs w:val="20"/>
          <w:color w:val="auto"/>
        </w:rPr>
      </w:pPr>
      <w:r>
        <w:rPr>
          <w:rFonts w:ascii="Arial" w:cs="Arial" w:eastAsia="Arial" w:hAnsi="Arial"/>
          <w:sz w:val="17"/>
          <w:szCs w:val="17"/>
          <w:b w:val="1"/>
          <w:bCs w:val="1"/>
          <w:color w:val="auto"/>
        </w:rPr>
        <w:t>DATE OF REPORT (DATE OF EARLIEST EVENT REPORTED): July 25,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539115</wp:posOffset>
            </wp:positionV>
            <wp:extent cx="21869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jc w:val="center"/>
        <w:ind w:right="-539"/>
        <w:spacing w:after="0"/>
        <w:rPr>
          <w:sz w:val="20"/>
          <w:szCs w:val="20"/>
          <w:color w:val="auto"/>
        </w:rPr>
      </w:pPr>
      <w:r>
        <w:rPr>
          <w:rFonts w:ascii="Arial" w:cs="Arial" w:eastAsia="Arial" w:hAnsi="Arial"/>
          <w:sz w:val="32"/>
          <w:szCs w:val="32"/>
          <w:b w:val="1"/>
          <w:bCs w:val="1"/>
          <w:color w:val="auto"/>
        </w:rPr>
        <w:t>TEXAS INSTRUMENTS INCORPORATED</w:t>
      </w:r>
    </w:p>
    <w:p>
      <w:pPr>
        <w:spacing w:after="0" w:line="40"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0900"/>
          </w:cols>
          <w:pgMar w:left="240" w:top="787" w:right="75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001-03761</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75-0289970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4040" w:space="720"/>
            <w:col w:w="2760" w:space="720"/>
            <w:col w:w="2660"/>
          </w:cols>
          <w:pgMar w:left="240" w:top="787" w:right="759" w:bottom="1440" w:gutter="0" w:footer="0" w:header="0"/>
          <w:type w:val="continuous"/>
        </w:sectPr>
      </w:pPr>
    </w:p>
    <w:p>
      <w:pPr>
        <w:spacing w:after="0" w:line="30"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0900"/>
          </w:cols>
          <w:pgMar w:left="240" w:top="787" w:right="759" w:bottom="1440" w:gutter="0" w:footer="0" w:header="0"/>
          <w:type w:val="continuous"/>
        </w:sectPr>
      </w:pPr>
    </w:p>
    <w:p>
      <w:pPr>
        <w:spacing w:after="0" w:line="241"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(972) 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532130</wp:posOffset>
            </wp:positionV>
            <wp:extent cx="21869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0900"/>
          </w:cols>
          <w:pgMar w:left="240" w:top="787" w:right="7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ITEM 2.02. Results of Operations and Financial Condition</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Registrant’s news release dated July 25, 2011, regarding its second-quarter 2011 results of operations and financial condition is attached hereto as Exhibit 99 and is incorporated by reference herein.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ITEM 9.01. Exhibits</w:t>
      </w:r>
    </w:p>
    <w:p>
      <w:pPr>
        <w:sectPr>
          <w:pgSz w:w="11900" w:h="16838" w:orient="portrait"/>
          <w:cols w:equalWidth="0" w:num="1">
            <w:col w:w="11420"/>
          </w:cols>
          <w:pgMar w:left="240" w:top="517" w:right="239" w:bottom="1058" w:gutter="0" w:footer="0" w:header="0"/>
        </w:sectPr>
      </w:pPr>
    </w:p>
    <w:p>
      <w:pPr>
        <w:spacing w:after="0" w:line="225" w:lineRule="exact"/>
        <w:rPr>
          <w:sz w:val="20"/>
          <w:szCs w:val="20"/>
          <w:color w:val="auto"/>
        </w:rPr>
      </w:pPr>
    </w:p>
    <w:p>
      <w:pPr>
        <w:jc w:val="center"/>
        <w:ind w:left="580"/>
        <w:spacing w:after="0"/>
        <w:rPr>
          <w:sz w:val="20"/>
          <w:szCs w:val="20"/>
          <w:color w:val="auto"/>
        </w:rPr>
      </w:pPr>
      <w:r>
        <w:rPr>
          <w:rFonts w:ascii="Arial" w:cs="Arial" w:eastAsia="Arial" w:hAnsi="Arial"/>
          <w:sz w:val="16"/>
          <w:szCs w:val="16"/>
          <w:color w:val="auto"/>
        </w:rPr>
        <w:t>Designation</w:t>
      </w:r>
    </w:p>
    <w:p>
      <w:pPr>
        <w:spacing w:after="0" w:line="46"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of Exhibit</w:t>
      </w:r>
    </w:p>
    <w:p>
      <w:pPr>
        <w:spacing w:after="0" w:line="9"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in this</w:t>
      </w:r>
    </w:p>
    <w:p>
      <w:pPr>
        <w:spacing w:after="0" w:line="9"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13893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8938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57715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71515" cy="17145"/>
                    </a:xfrm>
                    <a:prstGeom prst="rect">
                      <a:avLst/>
                    </a:prstGeom>
                    <a:noFill/>
                  </pic:spPr>
                </pic:pic>
              </a:graphicData>
            </a:graphic>
          </wp:anchor>
        </w:drawing>
      </w:r>
    </w:p>
    <w:p>
      <w:pPr>
        <w:spacing w:after="0" w:line="225" w:lineRule="exact"/>
        <w:rPr>
          <w:sz w:val="20"/>
          <w:szCs w:val="20"/>
          <w:color w:val="auto"/>
        </w:rPr>
      </w:pPr>
    </w:p>
    <w:p>
      <w:pPr>
        <w:sectPr>
          <w:pgSz w:w="11900" w:h="16838" w:orient="portrait"/>
          <w:cols w:equalWidth="0" w:num="2">
            <w:col w:w="1620" w:space="720"/>
            <w:col w:w="9080"/>
          </w:cols>
          <w:pgMar w:left="240" w:top="517" w:right="239" w:bottom="1058" w:gutter="0" w:footer="0" w:header="0"/>
          <w:type w:val="continuous"/>
        </w:sectPr>
      </w:pPr>
    </w:p>
    <w:p>
      <w:pPr>
        <w:spacing w:after="0" w:line="38" w:lineRule="exact"/>
        <w:rPr>
          <w:sz w:val="20"/>
          <w:szCs w:val="20"/>
          <w:color w:val="auto"/>
        </w:rPr>
      </w:pPr>
    </w:p>
    <w:p>
      <w:pPr>
        <w:ind w:left="2340" w:hanging="1328"/>
        <w:spacing w:after="0"/>
        <w:tabs>
          <w:tab w:leader="none" w:pos="2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Registrant’s News Release</w:t>
      </w:r>
    </w:p>
    <w:p>
      <w:pPr>
        <w:spacing w:after="0" w:line="23" w:lineRule="exact"/>
        <w:rPr>
          <w:rFonts w:ascii="Arial" w:cs="Arial" w:eastAsia="Arial" w:hAnsi="Arial"/>
          <w:sz w:val="18"/>
          <w:szCs w:val="18"/>
          <w:color w:val="auto"/>
        </w:rPr>
      </w:pPr>
    </w:p>
    <w:p>
      <w:pPr>
        <w:ind w:left="2340"/>
        <w:spacing w:after="0"/>
        <w:rPr>
          <w:rFonts w:ascii="Arial" w:cs="Arial" w:eastAsia="Arial" w:hAnsi="Arial"/>
          <w:sz w:val="18"/>
          <w:szCs w:val="18"/>
          <w:color w:val="auto"/>
        </w:rPr>
      </w:pPr>
      <w:r>
        <w:rPr>
          <w:rFonts w:ascii="Arial" w:cs="Arial" w:eastAsia="Arial" w:hAnsi="Arial"/>
          <w:sz w:val="18"/>
          <w:szCs w:val="18"/>
          <w:color w:val="auto"/>
        </w:rPr>
        <w:t>Dated July 25, 2011 (furnished pursuant to Item 2.02)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25"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660" w:hanging="139"/>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Market demand for semiconductors, particularly in key markets such as communications, computing, industrial and consumer electronics;</w:t>
      </w:r>
    </w:p>
    <w:p>
      <w:pPr>
        <w:spacing w:after="0" w:line="34" w:lineRule="exact"/>
        <w:rPr>
          <w:rFonts w:ascii="Arial" w:cs="Arial" w:eastAsia="Arial" w:hAnsi="Arial"/>
          <w:sz w:val="17"/>
          <w:szCs w:val="17"/>
          <w:color w:val="auto"/>
        </w:rPr>
      </w:pPr>
    </w:p>
    <w:p>
      <w:pPr>
        <w:ind w:left="660" w:hanging="139"/>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0" w:lineRule="exact"/>
        <w:rPr>
          <w:rFonts w:ascii="Arial" w:cs="Arial" w:eastAsia="Arial" w:hAnsi="Arial"/>
          <w:sz w:val="17"/>
          <w:szCs w:val="17"/>
          <w:color w:val="auto"/>
        </w:rPr>
      </w:pPr>
    </w:p>
    <w:p>
      <w:pPr>
        <w:ind w:left="660" w:hanging="139"/>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660" w:hanging="139"/>
        <w:spacing w:after="0" w:line="281"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1" w:lineRule="exact"/>
        <w:rPr>
          <w:rFonts w:ascii="Arial" w:cs="Arial" w:eastAsia="Arial" w:hAnsi="Arial"/>
          <w:sz w:val="16"/>
          <w:szCs w:val="16"/>
          <w:color w:val="auto"/>
        </w:rPr>
      </w:pPr>
    </w:p>
    <w:p>
      <w:pPr>
        <w:ind w:left="660" w:hanging="139"/>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9" w:lineRule="exact"/>
        <w:rPr>
          <w:rFonts w:ascii="Arial" w:cs="Arial" w:eastAsia="Arial" w:hAnsi="Arial"/>
          <w:sz w:val="18"/>
          <w:szCs w:val="18"/>
          <w:color w:val="auto"/>
        </w:rPr>
      </w:pPr>
    </w:p>
    <w:p>
      <w:pPr>
        <w:ind w:left="660" w:right="20" w:hanging="139"/>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211"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TI’s most recent Form 10-K. The forward-looking statements included in this report on Form 8-K are made only as of the date of this report, and TI undertakes no obligation to update the forward-looking statements to reflect subsequent events or circumstances.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tabs>
          <w:tab w:leader="none" w:pos="5660" w:val="left"/>
          <w:tab w:leader="none" w:pos="6260" w:val="left"/>
        </w:tabs>
        <w:rPr>
          <w:sz w:val="20"/>
          <w:szCs w:val="20"/>
          <w:color w:val="auto"/>
        </w:rPr>
      </w:pPr>
      <w:r>
        <w:rPr>
          <w:rFonts w:ascii="Arial" w:cs="Arial" w:eastAsia="Arial" w:hAnsi="Arial"/>
          <w:sz w:val="18"/>
          <w:szCs w:val="18"/>
          <w:color w:val="auto"/>
        </w:rPr>
        <w:t>Date: July 25,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14605</wp:posOffset>
            </wp:positionV>
            <wp:extent cx="32670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17" w:right="239" w:bottom="1058" w:gutter="0" w:footer="0" w:header="0"/>
          <w:type w:val="continuous"/>
        </w:sectPr>
      </w:pPr>
    </w:p>
    <w:bookmarkStart w:id="2" w:name="page3"/>
    <w:bookmarkEnd w:id="2"/>
    <w:p>
      <w:pPr>
        <w:jc w:val="right"/>
        <w:spacing w:after="0"/>
        <w:rPr>
          <w:sz w:val="20"/>
          <w:szCs w:val="20"/>
          <w:color w:val="auto"/>
        </w:rPr>
      </w:pPr>
      <w:r>
        <w:rPr>
          <w:rFonts w:ascii="Arial" w:cs="Arial" w:eastAsia="Arial" w:hAnsi="Arial"/>
          <w:sz w:val="22"/>
          <w:szCs w:val="22"/>
          <w:u w:val="single" w:color="auto"/>
          <w:color w:val="auto"/>
        </w:rPr>
        <w:t>Exhibit 99</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TI reports financial results for 2Q11</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Conference call on TI website at 4:30 p.m. Central time today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www.ti.com/ir</w:t>
      </w:r>
    </w:p>
    <w:p>
      <w:pPr>
        <w:spacing w:after="0" w:line="23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DALLAS (July 25, 2011) – Texas Instruments Incorporated (TI) (NYSE: TXN) today announced second-quarter revenue of $3.46 billion, net income of $672 million and earnings per share of 56 cents.</w:t>
      </w:r>
    </w:p>
    <w:p>
      <w:pPr>
        <w:spacing w:after="0" w:line="19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“We are pleased with the continued success of the TI portfolio in Analog and Embedded Processing. Sequential revenue growth was driven by Embedded Processing up 12 percent and Analog up 3 percent, and we believe we again gained market share in both segments,” said Rich Templeton, TI’s chairman, president and chief executive officer. “In the quarter, we also resumed production ahead of schedule at our Japan factories that were damaged in the earthquake, thanks to excellent work by our teams on the ground.</w:t>
      </w:r>
    </w:p>
    <w:p>
      <w:pPr>
        <w:spacing w:after="0" w:line="21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expect growth in the third quarter, but because of mixed macroeconomic and market signals we are prepared for a broader-than-normal range of growth possibilities. We note that production at some computing and consumer manufacturers appears lukewarm even though we’re heading into the back-to-school and holiday seasons. At the same time, Asian distributor resales have been strong, demand from our Japanese customers is increasing and our backlog increased in the second quarter. We’ve planned for modest sequential growth in the third quarter, yet are prepared to support higher demand if it materializes.”</w:t>
      </w:r>
    </w:p>
    <w:p>
      <w:pPr>
        <w:spacing w:after="0" w:line="21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TI’s pending acquisition of National Semiconductor has cleared all antitrust reviews with the exception of China, which is underway. The company continues to expect the transaction to close before the end of the year.</w:t>
      </w:r>
    </w:p>
    <w:p>
      <w:pPr>
        <w:spacing w:after="0" w:line="197"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“We look forward to welcoming the people of National Semiconductor and to expanding the portfolio of unique products we can offer our Analog customers,” Templeton concluded.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2Q11 financial summary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are in millions of dollars, except per-share amounts.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vs.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2Q11</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2Q10</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2Q10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1Q11</w:t>
            </w:r>
          </w:p>
        </w:tc>
        <w:tc>
          <w:tcPr>
            <w:tcW w:w="12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vs. 1Q11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3,458</w:t>
            </w:r>
          </w:p>
        </w:tc>
        <w:tc>
          <w:tcPr>
            <w:tcW w:w="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3,496</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3,392</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Operating profit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905</w:t>
            </w: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1,107</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908</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672</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769</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666</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Earnings per share</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0.56</w:t>
            </w: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0.62</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0.55</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operations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631</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562</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516</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TI’s operating profit was negatively impacted by about $50 million due to costs associated with the March earthquake in Japan. These costs were net of proceeds from ongoing insurance claims and were included in cost of revenue in the company’s Other segment. Costs of $13 million associated with TI’s pending acquisition of National Semiconductor also were included in the Other segment.</w:t>
      </w:r>
    </w:p>
    <w:p>
      <w:pPr>
        <w:spacing w:after="0" w:line="208"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Operating profit declined from a year ago primarily due to lower gross profit, which declined as a result of the earthquake-related costs, lower factory utilization and lower revenue. Compared with the prior quarter, operating profit was about even as profit from higher revenue was offset by lower factory utilization, higher earthquake-related costs and higher operating expenses.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20" w:type="dxa"/>
            <w:vAlign w:val="bottom"/>
            <w:gridSpan w:val="3"/>
          </w:tcPr>
          <w:p>
            <w:pPr>
              <w:spacing w:after="0"/>
              <w:rPr>
                <w:sz w:val="20"/>
                <w:szCs w:val="20"/>
                <w:color w:val="auto"/>
              </w:rPr>
            </w:pPr>
            <w:r>
              <w:rPr>
                <w:rFonts w:ascii="Arial" w:cs="Arial" w:eastAsia="Arial" w:hAnsi="Arial"/>
                <w:sz w:val="18"/>
                <w:szCs w:val="18"/>
                <w:b w:val="1"/>
                <w:bCs w:val="1"/>
                <w:color w:val="auto"/>
              </w:rPr>
              <w:t>2Q11 segment results</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438"/>
        </w:trPr>
        <w:tc>
          <w:tcPr>
            <w:tcW w:w="20" w:type="dxa"/>
            <w:vAlign w:val="bottom"/>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1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vs.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2Q11</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2Q10</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2Q10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1Q11</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vs. 1Q11</w:t>
            </w: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Analog:</w:t>
            </w:r>
          </w:p>
        </w:tc>
        <w:tc>
          <w:tcPr>
            <w:tcW w:w="2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1,588</w:t>
            </w: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1,512</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1,536</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446</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472</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418</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Embedded Processing:</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596</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516</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533</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141</w:t>
            </w: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115</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102</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Wireless:</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558</w:t>
            </w: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727</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658</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w:t>
            </w: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716</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741</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665</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236</w:t>
            </w: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355</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247</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120" w:firstLine="8"/>
        <w:spacing w:after="0" w:line="277" w:lineRule="auto"/>
        <w:tabs>
          <w:tab w:leader="none" w:pos="13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net costs from the earthquake in Japan of about $50 million in the second quarter of 2011 and about $30 million in the first quarter of 2011. Also, includes acquisition-related costs of $13 million in the second quarter of 2011 and $2 million in the first quarter of 2011.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Analog: </w:t>
      </w:r>
      <w:r>
        <w:rPr>
          <w:rFonts w:ascii="Arial" w:cs="Arial" w:eastAsia="Arial" w:hAnsi="Arial"/>
          <w:sz w:val="18"/>
          <w:szCs w:val="18"/>
          <w:i w:val="1"/>
          <w:iCs w:val="1"/>
          <w:color w:val="auto"/>
        </w:rPr>
        <w:t>(includes high-volume analog &amp; logic, high-performance analog and power management products)</w:t>
      </w:r>
    </w:p>
    <w:p>
      <w:pPr>
        <w:spacing w:after="0" w:line="27" w:lineRule="exact"/>
        <w:rPr>
          <w:sz w:val="20"/>
          <w:szCs w:val="20"/>
          <w:color w:val="auto"/>
        </w:rPr>
      </w:pPr>
    </w:p>
    <w:p>
      <w:pPr>
        <w:ind w:left="340" w:hanging="228"/>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Compared with the year-ago and the prior quarters, the increase in revenue was due to higher revenue from the combination of power management and high-performance analog.</w:t>
      </w:r>
    </w:p>
    <w:p>
      <w:pPr>
        <w:ind w:left="340" w:hanging="228"/>
        <w:spacing w:after="0" w:line="261"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profit decreased from the year-ago quarter due to higher operating expenses and higher manufacturing costs, which were due to capacity additions. Operating profit increased from the prior quarter primarily due to higher gross profit.</w:t>
      </w:r>
    </w:p>
    <w:p>
      <w:pPr>
        <w:sectPr>
          <w:pgSz w:w="11900" w:h="16838" w:orient="portrait"/>
          <w:cols w:equalWidth="0" w:num="1">
            <w:col w:w="11420"/>
          </w:cols>
          <w:pgMar w:left="240" w:top="118" w:right="239" w:bottom="0" w:gutter="0" w:footer="0" w:header="0"/>
        </w:sectPr>
      </w:pPr>
    </w:p>
    <w:bookmarkStart w:id="3" w:name="page4"/>
    <w:bookmarkEnd w:id="3"/>
    <w:p>
      <w:pPr>
        <w:ind w:right="300"/>
        <w:spacing w:after="0" w:line="261" w:lineRule="auto"/>
        <w:rPr>
          <w:sz w:val="20"/>
          <w:szCs w:val="20"/>
          <w:color w:val="auto"/>
        </w:rPr>
      </w:pPr>
      <w:r>
        <w:rPr>
          <w:rFonts w:ascii="Arial" w:cs="Arial" w:eastAsia="Arial" w:hAnsi="Arial"/>
          <w:sz w:val="18"/>
          <w:szCs w:val="18"/>
          <w:b w:val="1"/>
          <w:bCs w:val="1"/>
          <w:color w:val="auto"/>
        </w:rPr>
        <w:t xml:space="preserve">Embedded Processing: </w:t>
      </w:r>
      <w:r>
        <w:rPr>
          <w:rFonts w:ascii="Arial" w:cs="Arial" w:eastAsia="Arial" w:hAnsi="Arial"/>
          <w:sz w:val="18"/>
          <w:szCs w:val="18"/>
          <w:i w:val="1"/>
          <w:iCs w:val="1"/>
          <w:color w:val="auto"/>
        </w:rPr>
        <w:t>(includes digital signal processor and microcontroller catalog products that are sold across a wide variety of markets, as well as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application-specific products that are used in communications infrastructure and automotive electronics)</w:t>
      </w:r>
    </w:p>
    <w:p>
      <w:pPr>
        <w:ind w:left="340" w:hanging="228"/>
        <w:spacing w:after="0" w:line="281"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Compared with the year-ago and the prior quarters, the increase in revenue was primarily due to higher revenue from products sold into communications infrastructure applications. Revenue from catalog products and products sold into automotive applications increased to a lesser extent.</w:t>
      </w:r>
    </w:p>
    <w:p>
      <w:pPr>
        <w:spacing w:after="0" w:line="1" w:lineRule="exact"/>
        <w:rPr>
          <w:rFonts w:ascii="Arial" w:cs="Arial" w:eastAsia="Arial" w:hAnsi="Arial"/>
          <w:sz w:val="16"/>
          <w:szCs w:val="16"/>
          <w:color w:val="auto"/>
        </w:rPr>
      </w:pPr>
    </w:p>
    <w:p>
      <w:pPr>
        <w:ind w:left="340" w:hanging="228"/>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profit increased from the year-ago and the prior quarters due to higher gross profit.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Wireless: </w:t>
      </w:r>
      <w:r>
        <w:rPr>
          <w:rFonts w:ascii="Arial" w:cs="Arial" w:eastAsia="Arial" w:hAnsi="Arial"/>
          <w:sz w:val="18"/>
          <w:szCs w:val="18"/>
          <w:i w:val="1"/>
          <w:iCs w:val="1"/>
          <w:color w:val="auto"/>
        </w:rPr>
        <w:t>(includes connectivity products, OMAP™ applications processors and baseband products)</w:t>
      </w:r>
    </w:p>
    <w:p>
      <w:pPr>
        <w:spacing w:after="0" w:line="27" w:lineRule="exact"/>
        <w:rPr>
          <w:sz w:val="20"/>
          <w:szCs w:val="20"/>
          <w:color w:val="auto"/>
        </w:rPr>
      </w:pPr>
    </w:p>
    <w:p>
      <w:pPr>
        <w:ind w:left="340" w:hanging="228"/>
        <w:spacing w:after="0" w:line="250"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Compared with the year-ago and the prior quarters, the decline in revenue was due to lower revenue from baseband products. Revenue from the combination of applications processors and connectivity products grew in both comparisons.</w:t>
      </w:r>
    </w:p>
    <w:p>
      <w:pPr>
        <w:ind w:left="340" w:hanging="228"/>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Operating profit decreased from the year-ago and the prior quarters primarily due to lower gross profit.</w:t>
      </w:r>
    </w:p>
    <w:p>
      <w:pPr>
        <w:spacing w:after="0" w:line="234" w:lineRule="exact"/>
        <w:rPr>
          <w:sz w:val="20"/>
          <w:szCs w:val="20"/>
          <w:color w:val="auto"/>
        </w:rPr>
      </w:pPr>
    </w:p>
    <w:p>
      <w:pPr>
        <w:ind w:right="60"/>
        <w:spacing w:after="0" w:line="218" w:lineRule="auto"/>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i w:val="1"/>
          <w:iCs w:val="1"/>
          <w:color w:val="auto"/>
        </w:rPr>
        <w:t>(includes DLP</w:t>
      </w:r>
      <w:r>
        <w:rPr>
          <w:rFonts w:ascii="Arial" w:cs="Arial" w:eastAsia="Arial" w:hAnsi="Arial"/>
          <w:sz w:val="25"/>
          <w:szCs w:val="25"/>
          <w:i w:val="1"/>
          <w:i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products, custom ASIC products, calculators and royalties, as well as products sold under transitional supply agreements associated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with recently acquired factories)</w:t>
      </w:r>
    </w:p>
    <w:p>
      <w:pPr>
        <w:spacing w:after="0" w:line="1" w:lineRule="exact"/>
        <w:rPr>
          <w:sz w:val="20"/>
          <w:szCs w:val="20"/>
          <w:color w:val="auto"/>
        </w:rPr>
      </w:pPr>
    </w:p>
    <w:p>
      <w:pPr>
        <w:ind w:left="340" w:hanging="228"/>
        <w:spacing w:after="0" w:line="281"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Compared with the year-ago quarter, the decline in revenue was primarily due to lower revenue from DLP products, lower royalties and the sale of a cable modem product line in the fourth quarter of 2010. These declines were partially offset by higher revenue from transitional supply agreements.</w:t>
      </w:r>
    </w:p>
    <w:p>
      <w:pPr>
        <w:spacing w:after="0" w:line="1" w:lineRule="exact"/>
        <w:rPr>
          <w:rFonts w:ascii="Arial" w:cs="Arial" w:eastAsia="Arial" w:hAnsi="Arial"/>
          <w:sz w:val="16"/>
          <w:szCs w:val="16"/>
          <w:color w:val="auto"/>
        </w:rPr>
      </w:pPr>
    </w:p>
    <w:p>
      <w:pPr>
        <w:ind w:left="340" w:right="20" w:hanging="228"/>
        <w:spacing w:after="0" w:line="250"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Compared with the prior quarter, the increase in revenue was due to higher seasonal calculator revenue, which was partially offset by lower revenue from DLP products.</w:t>
      </w:r>
    </w:p>
    <w:p>
      <w:pPr>
        <w:ind w:left="340" w:hanging="228"/>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Operating profit decreased from the year-ago and the prior quarters due to earthquake-related costs and acquisition-related costs.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2Q11 additional financial information</w:t>
      </w:r>
    </w:p>
    <w:p>
      <w:pPr>
        <w:spacing w:after="0" w:line="256" w:lineRule="exact"/>
        <w:rPr>
          <w:sz w:val="20"/>
          <w:szCs w:val="20"/>
          <w:color w:val="auto"/>
        </w:rPr>
      </w:pPr>
    </w:p>
    <w:p>
      <w:pPr>
        <w:ind w:left="340" w:hanging="228"/>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Orders were $3.60 billion, down 3 percent from the year-ago quarter and about even with the prior quarter.</w:t>
      </w:r>
    </w:p>
    <w:p>
      <w:pPr>
        <w:spacing w:after="0" w:line="23" w:lineRule="exact"/>
        <w:rPr>
          <w:rFonts w:ascii="Arial" w:cs="Arial" w:eastAsia="Arial" w:hAnsi="Arial"/>
          <w:sz w:val="18"/>
          <w:szCs w:val="18"/>
          <w:color w:val="auto"/>
        </w:rPr>
      </w:pPr>
    </w:p>
    <w:p>
      <w:pPr>
        <w:jc w:val="both"/>
        <w:ind w:left="340" w:right="20" w:hanging="228"/>
        <w:spacing w:after="0" w:line="250"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Inventory was $1.76 billion at the end of the quarter, up $413 million from a year ago and up $84 million from the prior quarter. The increase in both comparisons was primarily due to the company building inventory for higher customer service levels, which included the ramp-up of new manufacturing capacity.</w:t>
      </w:r>
    </w:p>
    <w:p>
      <w:pPr>
        <w:spacing w:after="0" w:line="1" w:lineRule="exact"/>
        <w:rPr>
          <w:rFonts w:ascii="Arial" w:cs="Arial" w:eastAsia="Arial" w:hAnsi="Arial"/>
          <w:sz w:val="18"/>
          <w:szCs w:val="18"/>
          <w:color w:val="auto"/>
        </w:rPr>
      </w:pPr>
    </w:p>
    <w:p>
      <w:pPr>
        <w:ind w:left="340" w:hanging="228"/>
        <w:spacing w:after="0" w:line="250"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Capital expenditures were $276 million in the quarter compared with $283 million a year ago and $194 million in the prior quarter. Capital expenditures in the quarter were primarily for assembly and test equipment used in the company’s manufacturing operations.</w:t>
      </w:r>
    </w:p>
    <w:p>
      <w:pPr>
        <w:ind w:left="340" w:hanging="228"/>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used $452 million in the quarter to repurchase 13.0 million shares of its common stock and paid dividends of $150 million.</w:t>
      </w:r>
    </w:p>
    <w:p>
      <w:pPr>
        <w:spacing w:after="0" w:line="9" w:lineRule="exact"/>
        <w:rPr>
          <w:rFonts w:ascii="Arial" w:cs="Arial" w:eastAsia="Arial" w:hAnsi="Arial"/>
          <w:sz w:val="18"/>
          <w:szCs w:val="18"/>
          <w:color w:val="auto"/>
        </w:rPr>
      </w:pPr>
    </w:p>
    <w:p>
      <w:pPr>
        <w:ind w:left="340" w:hanging="228"/>
        <w:spacing w:after="0" w:line="261"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fund its pending acquisition of National Semiconductor, TI issued $3.5 billion of debt in the second quarter and $1.2 billion of commercial paper in July.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Outlook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For the third quarter of 2011, TI expects:</w:t>
      </w:r>
    </w:p>
    <w:p>
      <w:pPr>
        <w:spacing w:after="0" w:line="252" w:lineRule="exact"/>
        <w:rPr>
          <w:sz w:val="20"/>
          <w:szCs w:val="20"/>
          <w:color w:val="auto"/>
        </w:rPr>
      </w:pPr>
    </w:p>
    <w:p>
      <w:pPr>
        <w:ind w:left="500" w:hanging="226"/>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Revenue: $3.40 – 3.70 billion</w:t>
      </w:r>
    </w:p>
    <w:p>
      <w:pPr>
        <w:spacing w:after="0" w:line="23" w:lineRule="exact"/>
        <w:rPr>
          <w:rFonts w:ascii="Arial" w:cs="Arial" w:eastAsia="Arial" w:hAnsi="Arial"/>
          <w:sz w:val="18"/>
          <w:szCs w:val="18"/>
          <w:color w:val="auto"/>
        </w:rPr>
      </w:pPr>
    </w:p>
    <w:p>
      <w:pPr>
        <w:ind w:left="500" w:hanging="226"/>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Earnings per share: $0.55 – 0.65</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TI will update its third-quarter outlook on September 8,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 the full year of 2011, TI expects approximately the following:</w:t>
      </w:r>
    </w:p>
    <w:p>
      <w:pPr>
        <w:spacing w:after="0" w:line="252" w:lineRule="exact"/>
        <w:rPr>
          <w:sz w:val="20"/>
          <w:szCs w:val="20"/>
          <w:color w:val="auto"/>
        </w:rPr>
      </w:pPr>
    </w:p>
    <w:p>
      <w:pPr>
        <w:ind w:left="500" w:hanging="226"/>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R&amp;D expense: $1.7 billion</w:t>
      </w:r>
    </w:p>
    <w:p>
      <w:pPr>
        <w:spacing w:after="0" w:line="23" w:lineRule="exact"/>
        <w:rPr>
          <w:rFonts w:ascii="Arial" w:cs="Arial" w:eastAsia="Arial" w:hAnsi="Arial"/>
          <w:sz w:val="18"/>
          <w:szCs w:val="18"/>
          <w:color w:val="auto"/>
        </w:rPr>
      </w:pPr>
    </w:p>
    <w:p>
      <w:pPr>
        <w:ind w:left="500" w:hanging="226"/>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Capital expenditures: $0.9 billion</w:t>
      </w:r>
    </w:p>
    <w:p>
      <w:pPr>
        <w:spacing w:after="0" w:line="9" w:lineRule="exact"/>
        <w:rPr>
          <w:rFonts w:ascii="Arial" w:cs="Arial" w:eastAsia="Arial" w:hAnsi="Arial"/>
          <w:sz w:val="18"/>
          <w:szCs w:val="18"/>
          <w:color w:val="auto"/>
        </w:rPr>
      </w:pPr>
    </w:p>
    <w:p>
      <w:pPr>
        <w:ind w:left="500" w:hanging="226"/>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Depreciation: $0.9 billion</w:t>
      </w:r>
    </w:p>
    <w:p>
      <w:pPr>
        <w:spacing w:after="0" w:line="9" w:lineRule="exact"/>
        <w:rPr>
          <w:rFonts w:ascii="Arial" w:cs="Arial" w:eastAsia="Arial" w:hAnsi="Arial"/>
          <w:sz w:val="18"/>
          <w:szCs w:val="18"/>
          <w:color w:val="auto"/>
        </w:rPr>
      </w:pPr>
    </w:p>
    <w:p>
      <w:pPr>
        <w:ind w:left="500" w:hanging="226"/>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Annual effective tax rate: 27%, down from the prior expectation of 28%</w:t>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and per-share amounts)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7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2840" w:type="dxa"/>
            <w:vAlign w:val="bottom"/>
            <w:tcBorders>
              <w:bottom w:val="single" w:sz="8" w:color="auto"/>
            </w:tcBorders>
            <w:gridSpan w:val="6"/>
            <w:shd w:val="clear" w:color="auto" w:fill="CCEEFF"/>
          </w:tcPr>
          <w:p>
            <w:pPr>
              <w:jc w:val="center"/>
              <w:ind w:left="710"/>
              <w:spacing w:after="0"/>
              <w:rPr>
                <w:sz w:val="20"/>
                <w:szCs w:val="20"/>
                <w:color w:val="auto"/>
              </w:rPr>
            </w:pPr>
            <w:r>
              <w:rPr>
                <w:rFonts w:ascii="Arial" w:cs="Arial" w:eastAsia="Arial" w:hAnsi="Arial"/>
                <w:sz w:val="18"/>
                <w:szCs w:val="18"/>
                <w:b w:val="1"/>
                <w:bCs w:val="1"/>
                <w:color w:val="auto"/>
                <w:w w:val="92"/>
              </w:rPr>
              <w:t>For Three Months Ended</w:t>
            </w:r>
          </w:p>
        </w:tc>
        <w:tc>
          <w:tcPr>
            <w:tcW w:w="9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center"/>
              <w:ind w:right="460"/>
              <w:spacing w:after="0" w:line="198" w:lineRule="exact"/>
              <w:rPr>
                <w:sz w:val="20"/>
                <w:szCs w:val="20"/>
                <w:color w:val="auto"/>
              </w:rPr>
            </w:pPr>
            <w:r>
              <w:rPr>
                <w:rFonts w:ascii="Arial" w:cs="Arial" w:eastAsia="Arial" w:hAnsi="Arial"/>
                <w:sz w:val="18"/>
                <w:szCs w:val="18"/>
                <w:b w:val="1"/>
                <w:bCs w:val="1"/>
                <w:color w:val="auto"/>
                <w:w w:val="88"/>
              </w:rPr>
              <w:t>June 30,</w:t>
            </w:r>
          </w:p>
        </w:tc>
        <w:tc>
          <w:tcPr>
            <w:tcW w:w="160" w:type="dxa"/>
            <w:vAlign w:val="bottom"/>
            <w:shd w:val="clear" w:color="auto" w:fill="CCEEFF"/>
          </w:tcPr>
          <w:p>
            <w:pPr>
              <w:spacing w:after="0"/>
              <w:rPr>
                <w:sz w:val="17"/>
                <w:szCs w:val="17"/>
                <w:color w:val="auto"/>
              </w:rPr>
            </w:pPr>
          </w:p>
        </w:tc>
        <w:tc>
          <w:tcPr>
            <w:tcW w:w="1240" w:type="dxa"/>
            <w:vAlign w:val="bottom"/>
            <w:tcBorders>
              <w:right w:val="single" w:sz="8" w:color="CCEEFF"/>
            </w:tcBorders>
            <w:gridSpan w:val="2"/>
            <w:shd w:val="clear" w:color="auto" w:fill="CCEEFF"/>
          </w:tcPr>
          <w:p>
            <w:pPr>
              <w:jc w:val="center"/>
              <w:ind w:right="440"/>
              <w:spacing w:after="0" w:line="198" w:lineRule="exact"/>
              <w:rPr>
                <w:sz w:val="20"/>
                <w:szCs w:val="20"/>
                <w:color w:val="auto"/>
              </w:rPr>
            </w:pPr>
            <w:r>
              <w:rPr>
                <w:rFonts w:ascii="Arial" w:cs="Arial" w:eastAsia="Arial" w:hAnsi="Arial"/>
                <w:sz w:val="18"/>
                <w:szCs w:val="18"/>
                <w:b w:val="1"/>
                <w:bCs w:val="1"/>
                <w:color w:val="auto"/>
                <w:w w:val="88"/>
              </w:rPr>
              <w:t>June 30,</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40"/>
              <w:spacing w:after="0" w:line="198" w:lineRule="exact"/>
              <w:rPr>
                <w:sz w:val="20"/>
                <w:szCs w:val="20"/>
                <w:color w:val="auto"/>
              </w:rPr>
            </w:pPr>
            <w:r>
              <w:rPr>
                <w:rFonts w:ascii="Arial" w:cs="Arial" w:eastAsia="Arial" w:hAnsi="Arial"/>
                <w:sz w:val="18"/>
                <w:szCs w:val="18"/>
                <w:b w:val="1"/>
                <w:bCs w:val="1"/>
                <w:color w:val="auto"/>
                <w:w w:val="98"/>
              </w:rPr>
              <w:t>Mar.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2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3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center"/>
              <w:ind w:right="90"/>
              <w:spacing w:after="0"/>
              <w:rPr>
                <w:sz w:val="20"/>
                <w:szCs w:val="20"/>
                <w:color w:val="auto"/>
              </w:rPr>
            </w:pPr>
            <w:r>
              <w:rPr>
                <w:rFonts w:ascii="Arial" w:cs="Arial" w:eastAsia="Arial" w:hAnsi="Arial"/>
                <w:sz w:val="18"/>
                <w:szCs w:val="18"/>
                <w:b w:val="1"/>
                <w:bCs w:val="1"/>
                <w:color w:val="auto"/>
                <w:w w:val="89"/>
              </w:rPr>
              <w:t>2010</w:t>
            </w:r>
          </w:p>
        </w:tc>
        <w:tc>
          <w:tcPr>
            <w:tcW w:w="260" w:type="dxa"/>
            <w:vAlign w:val="bottom"/>
            <w:tcBorders>
              <w:bottom w:val="single" w:sz="8" w:color="CCEEFF"/>
              <w:right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3,458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3,496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Cost of revenue</w:t>
            </w: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1,705</w:t>
            </w: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1,602</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1,664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1,753</w:t>
            </w:r>
          </w:p>
        </w:tc>
        <w:tc>
          <w:tcPr>
            <w:tcW w:w="1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1,894</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Research and development (R&amp;D)</w:t>
            </w: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424</w:t>
            </w: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392</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(SG&amp;A)</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411</w:t>
            </w:r>
          </w:p>
        </w:tc>
        <w:tc>
          <w:tcPr>
            <w:tcW w:w="1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378</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Restructuring expense</w:t>
            </w: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Acquisition cost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13</w:t>
            </w:r>
          </w:p>
        </w:tc>
        <w:tc>
          <w:tcPr>
            <w:tcW w:w="1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Operating profit</w:t>
            </w: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905</w:t>
            </w: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1,107</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10</w:t>
            </w:r>
          </w:p>
        </w:tc>
        <w:tc>
          <w:tcPr>
            <w:tcW w:w="1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Interest and debt expense</w:t>
            </w: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6</w:t>
            </w: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909</w:t>
            </w:r>
          </w:p>
        </w:tc>
        <w:tc>
          <w:tcPr>
            <w:tcW w:w="1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1,111</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237</w:t>
            </w: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342</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672</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8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.57</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.63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.56</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Average shares outstanding (millions):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8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1,156</w:t>
            </w: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1,208</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1,180</w:t>
            </w:r>
          </w:p>
        </w:tc>
        <w:tc>
          <w:tcPr>
            <w:tcW w:w="160" w:type="dxa"/>
            <w:vAlign w:val="bottom"/>
            <w:shd w:val="clear" w:color="auto" w:fill="CCEEFF"/>
          </w:tcPr>
          <w:p>
            <w:pPr>
              <w:spacing w:after="0"/>
              <w:rPr>
                <w:sz w:val="21"/>
                <w:szCs w:val="21"/>
                <w:color w:val="auto"/>
              </w:rPr>
            </w:pP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1,221</w:t>
            </w:r>
          </w:p>
        </w:tc>
        <w:tc>
          <w:tcPr>
            <w:tcW w:w="1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share of common stock</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Percentage of revenue: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50.7%</w:t>
            </w:r>
          </w:p>
        </w:tc>
        <w:tc>
          <w:tcPr>
            <w:tcW w:w="1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54.2%</w:t>
            </w:r>
          </w:p>
        </w:tc>
        <w:tc>
          <w:tcPr>
            <w:tcW w:w="1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R&amp;D</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12.3%</w:t>
            </w:r>
          </w:p>
        </w:tc>
        <w:tc>
          <w:tcPr>
            <w:tcW w:w="1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SG&amp;A</w:t>
            </w:r>
          </w:p>
        </w:tc>
        <w:tc>
          <w:tcPr>
            <w:tcW w:w="1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11.9%</w:t>
            </w:r>
          </w:p>
        </w:tc>
        <w:tc>
          <w:tcPr>
            <w:tcW w:w="1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10.8%</w:t>
            </w:r>
          </w:p>
        </w:tc>
        <w:tc>
          <w:tcPr>
            <w:tcW w:w="1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26.2%</w:t>
            </w:r>
          </w:p>
        </w:tc>
        <w:tc>
          <w:tcPr>
            <w:tcW w:w="16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31.7%</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As required by accounting rule ASC 260, net income allocated to unvested restricted stock units (RSUs) on which we pay dividend equivalents is excluded from the calculation of EPS. The amount excluded from earnings per common share was $10 million, $11 million and $10 million for the quarters ending June 30, 2011, June 30, 2010 and March 31, 2011.</w:t>
      </w:r>
    </w:p>
    <w:p>
      <w:pPr>
        <w:sectPr>
          <w:pgSz w:w="11900" w:h="16838" w:orient="portrait"/>
          <w:cols w:equalWidth="0" w:num="1">
            <w:col w:w="11420"/>
          </w:cols>
          <w:pgMar w:left="240" w:top="513"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7"/>
              </w:rPr>
              <w:t>June 30,</w:t>
            </w:r>
          </w:p>
        </w:tc>
        <w:tc>
          <w:tcPr>
            <w:tcW w:w="18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June 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Mar.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4,501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1,138</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Short-term investments</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1,899</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1,167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 net of allowances of ($23), ($21) and ($20)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1,672</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1,715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Raw materials</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148</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Work in process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970</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Finished goods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644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439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1,762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793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566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10,860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6,130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7,044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at cost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6,573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6,831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Less accumulated depreciation</w:t>
            </w: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(2,859)</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(3,591)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(3,055)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3,714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3,240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Long-term investments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334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557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924</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Acquisition-related intangibles</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63</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925</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Capitalized software licenses, net</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184</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229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Overfunded retirement plans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25</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17,098</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12,164</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13,310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623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542</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Accrued compensation</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428</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418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 payable</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65</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Accrued expenses and other liabilities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637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560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1,753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3,498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Underfunded retirement plans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532</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92</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Deferred credits and other liabilities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Total liabilities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6,195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2,409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tcPr>
          <w:p>
            <w:pPr>
              <w:ind w:left="160"/>
              <w:spacing w:after="0" w:line="201" w:lineRule="exact"/>
              <w:rPr>
                <w:sz w:val="20"/>
                <w:szCs w:val="20"/>
                <w:color w:val="auto"/>
              </w:rPr>
            </w:pPr>
            <w:r>
              <w:rPr>
                <w:rFonts w:ascii="Arial" w:cs="Arial" w:eastAsia="Arial" w:hAnsi="Arial"/>
                <w:sz w:val="18"/>
                <w:szCs w:val="18"/>
                <w:color w:val="auto"/>
              </w:rPr>
              <w:t>Preferred stock, $25 par value. Authorized -- 10,000,000 shares. Participating cumulative</w:t>
            </w:r>
          </w:p>
        </w:tc>
        <w:tc>
          <w:tcPr>
            <w:tcW w:w="180" w:type="dxa"/>
            <w:vAlign w:val="bottom"/>
          </w:tcPr>
          <w:p>
            <w:pPr>
              <w:spacing w:after="0"/>
              <w:rPr>
                <w:sz w:val="17"/>
                <w:szCs w:val="17"/>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preferred. None issued.</w:t>
            </w:r>
          </w:p>
        </w:tc>
        <w:tc>
          <w:tcPr>
            <w:tcW w:w="18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2"/>
              </w:rPr>
              <w:t>Common stock, $1 par value. Authorized -- 2,400,000,000 shares. Shares issued: June 30, 2011 -</w:t>
            </w:r>
          </w:p>
        </w:tc>
        <w:tc>
          <w:tcPr>
            <w:tcW w:w="18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1,741</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- 1,740,530,417; June 30, 2010 -- 1,739,888,675; Mar. 31, 2011 -- 1,740,394,740</w:t>
            </w:r>
          </w:p>
        </w:tc>
        <w:tc>
          <w:tcPr>
            <w:tcW w:w="180" w:type="dxa"/>
            <w:vAlign w:val="bottom"/>
            <w:shd w:val="clear" w:color="auto" w:fill="CCEEFF"/>
          </w:tcPr>
          <w:p>
            <w:pPr>
              <w:spacing w:after="0"/>
              <w:rPr>
                <w:sz w:val="20"/>
                <w:szCs w:val="20"/>
                <w:color w:val="auto"/>
              </w:rPr>
            </w:pPr>
          </w:p>
        </w:tc>
        <w:tc>
          <w:tcPr>
            <w:tcW w:w="120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Paid-in capital</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1,108</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1,127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25,726</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23,194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25,206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tcPr>
          <w:p>
            <w:pPr>
              <w:ind w:left="160"/>
              <w:spacing w:after="0" w:line="201" w:lineRule="exact"/>
              <w:rPr>
                <w:sz w:val="20"/>
                <w:szCs w:val="20"/>
                <w:color w:val="auto"/>
              </w:rPr>
            </w:pPr>
            <w:r>
              <w:rPr>
                <w:rFonts w:ascii="Arial" w:cs="Arial" w:eastAsia="Arial" w:hAnsi="Arial"/>
                <w:sz w:val="18"/>
                <w:szCs w:val="18"/>
                <w:color w:val="auto"/>
              </w:rPr>
              <w:t>Less treasury common stock at cost:</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Shares: June 30, 2011 -- 585,209,754; June 30, 2010 --</w:t>
            </w:r>
          </w:p>
        </w:tc>
        <w:tc>
          <w:tcPr>
            <w:tcW w:w="180" w:type="dxa"/>
            <w:vAlign w:val="bottom"/>
          </w:tcPr>
          <w:p>
            <w:pPr>
              <w:spacing w:after="0"/>
              <w:rPr>
                <w:sz w:val="18"/>
                <w:szCs w:val="18"/>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(16,986)</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ind w:left="280"/>
              <w:spacing w:after="0"/>
              <w:rPr>
                <w:sz w:val="20"/>
                <w:szCs w:val="20"/>
                <w:color w:val="auto"/>
              </w:rPr>
            </w:pPr>
            <w:r>
              <w:rPr>
                <w:rFonts w:ascii="Arial" w:cs="Arial" w:eastAsia="Arial" w:hAnsi="Arial"/>
                <w:sz w:val="18"/>
                <w:szCs w:val="18"/>
                <w:color w:val="auto"/>
              </w:rPr>
              <w:t>544,693,240; Mar. 31, 2011 -- 579,225,953</w:t>
            </w:r>
          </w:p>
        </w:tc>
        <w:tc>
          <w:tcPr>
            <w:tcW w:w="18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(15,652)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(16,738)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income (loss), net of taxes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(686)</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Total stockholders’ equity</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10,903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9,755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10,574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17,098</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12,164</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756"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7"/>
          </w:tcPr>
          <w:p>
            <w:pPr>
              <w:jc w:val="center"/>
              <w:ind w:left="790"/>
              <w:spacing w:after="0"/>
              <w:rPr>
                <w:sz w:val="20"/>
                <w:szCs w:val="20"/>
                <w:color w:val="auto"/>
              </w:rPr>
            </w:pPr>
            <w:r>
              <w:rPr>
                <w:rFonts w:ascii="Arial" w:cs="Arial" w:eastAsia="Arial" w:hAnsi="Arial"/>
                <w:sz w:val="18"/>
                <w:szCs w:val="18"/>
                <w:b w:val="1"/>
                <w:bCs w:val="1"/>
                <w:color w:val="auto"/>
                <w:w w:val="93"/>
              </w:rPr>
              <w:t>For Three Months Ended</w:t>
            </w:r>
          </w:p>
        </w:tc>
        <w:tc>
          <w:tcPr>
            <w:tcW w:w="10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580"/>
              <w:spacing w:after="0" w:line="198" w:lineRule="exact"/>
              <w:rPr>
                <w:sz w:val="20"/>
                <w:szCs w:val="20"/>
                <w:color w:val="auto"/>
              </w:rPr>
            </w:pPr>
            <w:r>
              <w:rPr>
                <w:rFonts w:ascii="Arial" w:cs="Arial" w:eastAsia="Arial" w:hAnsi="Arial"/>
                <w:sz w:val="18"/>
                <w:szCs w:val="18"/>
                <w:b w:val="1"/>
                <w:bCs w:val="1"/>
                <w:color w:val="auto"/>
              </w:rPr>
              <w:t>June 30,</w:t>
            </w:r>
          </w:p>
        </w:tc>
        <w:tc>
          <w:tcPr>
            <w:tcW w:w="2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center"/>
              <w:ind w:right="360"/>
              <w:spacing w:after="0" w:line="198" w:lineRule="exact"/>
              <w:rPr>
                <w:sz w:val="20"/>
                <w:szCs w:val="20"/>
                <w:color w:val="auto"/>
              </w:rPr>
            </w:pPr>
            <w:r>
              <w:rPr>
                <w:rFonts w:ascii="Arial" w:cs="Arial" w:eastAsia="Arial" w:hAnsi="Arial"/>
                <w:sz w:val="18"/>
                <w:szCs w:val="18"/>
                <w:b w:val="1"/>
                <w:bCs w:val="1"/>
                <w:color w:val="auto"/>
                <w:w w:val="88"/>
              </w:rPr>
              <w:t>June 30,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center"/>
              <w:ind w:right="360"/>
              <w:spacing w:after="0" w:line="198" w:lineRule="exact"/>
              <w:rPr>
                <w:sz w:val="20"/>
                <w:szCs w:val="20"/>
                <w:color w:val="auto"/>
              </w:rPr>
            </w:pPr>
            <w:r>
              <w:rPr>
                <w:rFonts w:ascii="Arial" w:cs="Arial" w:eastAsia="Arial" w:hAnsi="Arial"/>
                <w:sz w:val="18"/>
                <w:szCs w:val="18"/>
                <w:b w:val="1"/>
                <w:bCs w:val="1"/>
                <w:color w:val="auto"/>
                <w:w w:val="92"/>
              </w:rPr>
              <w:t>Mar.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8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2011</w:t>
            </w:r>
          </w:p>
        </w:tc>
        <w:tc>
          <w:tcPr>
            <w:tcW w:w="2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center"/>
              <w:ind w:right="130"/>
              <w:spacing w:after="0"/>
              <w:rPr>
                <w:sz w:val="20"/>
                <w:szCs w:val="20"/>
                <w:color w:val="auto"/>
              </w:rPr>
            </w:pPr>
            <w:r>
              <w:rPr>
                <w:rFonts w:ascii="Arial" w:cs="Arial" w:eastAsia="Arial" w:hAnsi="Arial"/>
                <w:sz w:val="18"/>
                <w:szCs w:val="18"/>
                <w:b w:val="1"/>
                <w:bCs w:val="1"/>
                <w:color w:val="auto"/>
                <w:w w:val="89"/>
              </w:rPr>
              <w:t>2010</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2011</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672</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769</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Adjustments to net income:</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Depreciation</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220</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of acquisition-related intangibles</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6</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24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(46)</w:t>
            </w:r>
          </w:p>
        </w:tc>
        <w:tc>
          <w:tcPr>
            <w:tcW w:w="2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(decrease) from changes in:</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24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(102)</w:t>
            </w:r>
          </w:p>
        </w:tc>
        <w:tc>
          <w:tcPr>
            <w:tcW w:w="2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(84)</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w:t>
            </w:r>
          </w:p>
        </w:tc>
        <w:tc>
          <w:tcPr>
            <w:tcW w:w="2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240"/>
              <w:spacing w:after="0"/>
              <w:rPr>
                <w:sz w:val="20"/>
                <w:szCs w:val="20"/>
                <w:color w:val="auto"/>
              </w:rPr>
            </w:pPr>
            <w:r>
              <w:rPr>
                <w:rFonts w:ascii="Arial" w:cs="Arial" w:eastAsia="Arial" w:hAnsi="Arial"/>
                <w:sz w:val="18"/>
                <w:szCs w:val="18"/>
                <w:color w:val="auto"/>
              </w:rPr>
              <w:t>Accrued compensation</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80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taxes payable</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(240)</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631</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Additions to property, plant and equipment</w:t>
            </w:r>
          </w:p>
        </w:tc>
        <w:tc>
          <w:tcPr>
            <w:tcW w:w="20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(276)</w:t>
            </w:r>
          </w:p>
        </w:tc>
        <w:tc>
          <w:tcPr>
            <w:tcW w:w="2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short-term investments</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(816)</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80" w:type="dxa"/>
            <w:vAlign w:val="bottom"/>
          </w:tcPr>
          <w:p>
            <w:pPr>
              <w:ind w:left="160"/>
              <w:spacing w:after="0" w:line="201" w:lineRule="exact"/>
              <w:rPr>
                <w:sz w:val="20"/>
                <w:szCs w:val="20"/>
                <w:color w:val="auto"/>
              </w:rPr>
            </w:pPr>
            <w:r>
              <w:rPr>
                <w:rFonts w:ascii="Arial" w:cs="Arial" w:eastAsia="Arial" w:hAnsi="Arial"/>
                <w:sz w:val="18"/>
                <w:szCs w:val="18"/>
                <w:color w:val="auto"/>
              </w:rPr>
              <w:t>Sales, redemptions and maturities of short-term</w:t>
            </w:r>
          </w:p>
        </w:tc>
        <w:tc>
          <w:tcPr>
            <w:tcW w:w="200" w:type="dxa"/>
            <w:vAlign w:val="bottom"/>
          </w:tcPr>
          <w:p>
            <w:pPr>
              <w:spacing w:after="0"/>
              <w:rPr>
                <w:sz w:val="17"/>
                <w:szCs w:val="17"/>
                <w:color w:val="auto"/>
              </w:rPr>
            </w:pPr>
          </w:p>
        </w:tc>
        <w:tc>
          <w:tcPr>
            <w:tcW w:w="134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rPr>
              <w:t>505</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80" w:type="dxa"/>
            <w:vAlign w:val="bottom"/>
          </w:tcPr>
          <w:p>
            <w:pPr>
              <w:ind w:left="240"/>
              <w:spacing w:after="0"/>
              <w:rPr>
                <w:sz w:val="20"/>
                <w:szCs w:val="20"/>
                <w:color w:val="auto"/>
              </w:rPr>
            </w:pPr>
            <w:r>
              <w:rPr>
                <w:rFonts w:ascii="Arial" w:cs="Arial" w:eastAsia="Arial" w:hAnsi="Arial"/>
                <w:sz w:val="18"/>
                <w:szCs w:val="18"/>
                <w:color w:val="auto"/>
              </w:rPr>
              <w:t>investments</w:t>
            </w:r>
          </w:p>
        </w:tc>
        <w:tc>
          <w:tcPr>
            <w:tcW w:w="200" w:type="dxa"/>
            <w:vAlign w:val="bottom"/>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1,033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long-term investments</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Redemptions and sales of long-term investments</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investing activities</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(544)</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Proceeds from issuance of long-term debt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3,497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Issuance costs for long-term debt</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(12)</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Dividends paid</w:t>
            </w:r>
          </w:p>
        </w:tc>
        <w:tc>
          <w:tcPr>
            <w:tcW w:w="20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(150)</w:t>
            </w:r>
          </w:p>
        </w:tc>
        <w:tc>
          <w:tcPr>
            <w:tcW w:w="2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and other common stock transactions</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180</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Excess tax benefit from share-based payments</w:t>
            </w:r>
          </w:p>
        </w:tc>
        <w:tc>
          <w:tcPr>
            <w:tcW w:w="20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8</w:t>
            </w:r>
          </w:p>
        </w:tc>
        <w:tc>
          <w:tcPr>
            <w:tcW w:w="2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repurchases</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(452)</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Net cash provided by (used in) financing activities</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3,071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(845)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3,158</w:t>
            </w: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1,343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4,501</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in prior periods' financial statements have been reclassified to conform to the current presentation.</w:t>
      </w:r>
    </w:p>
    <w:p>
      <w:pPr>
        <w:sectPr>
          <w:pgSz w:w="11900" w:h="16838" w:orient="portrait"/>
          <w:cols w:equalWidth="0" w:num="1">
            <w:col w:w="11420"/>
          </w:cols>
          <w:pgMar w:left="240" w:top="27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  #  #</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2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660" w:hanging="139"/>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Market demand for semiconductors, particularly in key markets such as communications, computing, industrial and consumer electronics;</w:t>
      </w:r>
    </w:p>
    <w:p>
      <w:pPr>
        <w:spacing w:after="0" w:line="34" w:lineRule="exact"/>
        <w:rPr>
          <w:rFonts w:ascii="Arial" w:cs="Arial" w:eastAsia="Arial" w:hAnsi="Arial"/>
          <w:sz w:val="17"/>
          <w:szCs w:val="17"/>
          <w:color w:val="auto"/>
        </w:rPr>
      </w:pPr>
    </w:p>
    <w:p>
      <w:pPr>
        <w:ind w:left="660" w:hanging="139"/>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660" w:hanging="13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ind w:left="660" w:hanging="13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0" w:lineRule="exact"/>
        <w:rPr>
          <w:rFonts w:ascii="Arial" w:cs="Arial" w:eastAsia="Arial" w:hAnsi="Arial"/>
          <w:sz w:val="17"/>
          <w:szCs w:val="17"/>
          <w:color w:val="auto"/>
        </w:rPr>
      </w:pPr>
    </w:p>
    <w:p>
      <w:pPr>
        <w:ind w:left="660" w:hanging="139"/>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660" w:hanging="139"/>
        <w:spacing w:after="0" w:line="281"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1" w:lineRule="exact"/>
        <w:rPr>
          <w:rFonts w:ascii="Arial" w:cs="Arial" w:eastAsia="Arial" w:hAnsi="Arial"/>
          <w:sz w:val="16"/>
          <w:szCs w:val="16"/>
          <w:color w:val="auto"/>
        </w:rPr>
      </w:pPr>
    </w:p>
    <w:p>
      <w:pPr>
        <w:ind w:left="660" w:hanging="139"/>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9" w:lineRule="exact"/>
        <w:rPr>
          <w:rFonts w:ascii="Arial" w:cs="Arial" w:eastAsia="Arial" w:hAnsi="Arial"/>
          <w:sz w:val="18"/>
          <w:szCs w:val="18"/>
          <w:color w:val="auto"/>
        </w:rPr>
      </w:pPr>
    </w:p>
    <w:p>
      <w:pPr>
        <w:ind w:left="660" w:right="20" w:hanging="139"/>
        <w:spacing w:after="0" w:line="261"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21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TI’s most recent Form 10-K. The forward-looking statements included in this release are made only as of the date of this release, and TI undertakes no obligation to update the forward-looking statements to reflect subsequent events or circumstances.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Texas Instruments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Texas Instruments semiconductor innovations help 80,000 customers unlock the possibilities of the world as it could be – smarter, safer, greener, healthier and more fun. Our commitment to building a better future is ingrained in everything we do – from the responsible manufacturing of our semiconductors, to caring for our employees, to giving back inside our communities. This is just the beginning of our story. Learn more at </w:t>
      </w:r>
      <w:r>
        <w:rPr>
          <w:rFonts w:ascii="Arial" w:cs="Arial" w:eastAsia="Arial" w:hAnsi="Arial"/>
          <w:sz w:val="17"/>
          <w:szCs w:val="17"/>
          <w:u w:val="single" w:color="auto"/>
          <w:color w:val="auto"/>
        </w:rPr>
        <w:t>www.ti.com</w:t>
      </w:r>
      <w:r>
        <w:rPr>
          <w:rFonts w:ascii="Arial" w:cs="Arial" w:eastAsia="Arial" w:hAnsi="Arial"/>
          <w:sz w:val="17"/>
          <w:szCs w:val="17"/>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TI trademarks: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OMAP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trademarks are the property of their respective owners.</w:t>
      </w:r>
    </w:p>
    <w:sectPr>
      <w:pgSz w:w="11900" w:h="16838" w:orient="portrait"/>
      <w:cols w:equalWidth="0" w:num="1">
        <w:col w:w="11420"/>
      </w:cols>
      <w:pgMar w:left="240" w:top="5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99"/>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Ÿ"/>
      <w:numFmt w:val="bullet"/>
      <w:start w:val="1"/>
    </w:lvl>
  </w:abstractNum>
  <w:abstractNum w:abstractNumId="5">
    <w:nsid w:val="5BD062C2"/>
    <w:multiLevelType w:val="hybridMultilevel"/>
    <w:lvl w:ilvl="0">
      <w:lvlJc w:val="left"/>
      <w:lvlText w:val="Ÿ"/>
      <w:numFmt w:val="bullet"/>
      <w:start w:val="1"/>
    </w:lvl>
  </w:abstractNum>
  <w:abstractNum w:abstractNumId="6">
    <w:nsid w:val="12200854"/>
    <w:multiLevelType w:val="hybridMultilevel"/>
    <w:lvl w:ilvl="0">
      <w:lvlJc w:val="left"/>
      <w:lvlText w:val="Ÿ"/>
      <w:numFmt w:val="bullet"/>
      <w:start w:val="1"/>
    </w:lvl>
  </w:abstractNum>
  <w:abstractNum w:abstractNumId="7">
    <w:nsid w:val="4DB127F8"/>
    <w:multiLevelType w:val="hybridMultilevel"/>
    <w:lvl w:ilvl="0">
      <w:lvlJc w:val="left"/>
      <w:lvlText w:val="Ÿ"/>
      <w:numFmt w:val="bullet"/>
      <w:start w:val="1"/>
    </w:lvl>
  </w:abstractNum>
  <w:abstractNum w:abstractNumId="8">
    <w:nsid w:val="216231B"/>
    <w:multiLevelType w:val="hybridMultilevel"/>
    <w:lvl w:ilvl="0">
      <w:lvlJc w:val="left"/>
      <w:lvlText w:val="Ÿ"/>
      <w:numFmt w:val="bullet"/>
      <w:start w:val="1"/>
    </w:lvl>
  </w:abstractNum>
  <w:abstractNum w:abstractNumId="9">
    <w:nsid w:val="1F16E9E8"/>
    <w:multiLevelType w:val="hybridMultilevel"/>
    <w:lvl w:ilvl="0">
      <w:lvlJc w:val="left"/>
      <w:lvlText w:val="Ÿ"/>
      <w:numFmt w:val="bullet"/>
      <w:start w:val="1"/>
    </w:lvl>
  </w:abstractNum>
  <w:abstractNum w:abstractNumId="10">
    <w:nsid w:val="1190CDE7"/>
    <w:multiLevelType w:val="hybridMultilevel"/>
    <w:lvl w:ilvl="0">
      <w:lvlJc w:val="left"/>
      <w:lvlText w:val="Ÿ"/>
      <w:numFmt w:val="bullet"/>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2019-12-10T03:55:09Z</dcterms:created>
  <dcterms:modified xsi:type="dcterms:W3CDTF">2019-12-10T03:55:09Z</dcterms:modified>
</cp:coreProperties>
</file>