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01/28/2010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92,501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459,363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01/29/2010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50,000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22.7193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409,363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410.87</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3,202.57</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01/28/2010</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277,500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ind w:left="40"/>
              <w:spacing w:after="0"/>
              <w:rPr>
                <w:sz w:val="20"/>
                <w:szCs w:val="20"/>
                <w:color w:val="auto"/>
              </w:rPr>
            </w:pPr>
            <w:r>
              <w:rPr>
                <w:rFonts w:ascii="Arial" w:cs="Arial" w:eastAsia="Arial" w:hAnsi="Arial"/>
                <w:sz w:val="13"/>
                <w:szCs w:val="13"/>
                <w:color w:val="0000FF"/>
              </w:rPr>
              <w:t>01/28/2020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277,500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277,500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4-27-2009. The price in Table 1 is a weighted average sale price. The sales were at prices ranging from $22.29 to $23.2525.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12-31-09. (Interests in this account are denominated in units. Consequently, share amount shown is an estimate.) This statement does not include changes in beneficial ownership of shares held in this account occurring after 12-31-09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2019-12-17T00:04:59Z</dcterms:created>
  <dcterms:modified xsi:type="dcterms:W3CDTF">2019-12-17T00:04:59Z</dcterms:modified>
</cp:coreProperties>
</file>