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4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405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01/31/2014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jc w:val="center"/>
              <w:ind w:left="64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center"/>
              <w:ind w:left="646"/>
              <w:spacing w:after="0"/>
              <w:rPr>
                <w:sz w:val="20"/>
                <w:szCs w:val="20"/>
                <w:color w:val="auto"/>
              </w:rPr>
            </w:pPr>
            <w:r>
              <w:rPr>
                <w:rFonts w:ascii="Arial" w:cs="Arial" w:eastAsia="Arial" w:hAnsi="Arial"/>
                <w:sz w:val="17"/>
                <w:szCs w:val="17"/>
                <w:color w:val="0000FF"/>
                <w:w w:val="91"/>
              </w:rPr>
              <w:t>01/31/2014</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6"/>
              <w:spacing w:after="0"/>
              <w:rPr>
                <w:sz w:val="20"/>
                <w:szCs w:val="20"/>
                <w:color w:val="auto"/>
              </w:rPr>
            </w:pPr>
            <w:r>
              <w:rPr>
                <w:rFonts w:ascii="Arial" w:cs="Arial" w:eastAsia="Arial" w:hAnsi="Arial"/>
                <w:sz w:val="17"/>
                <w:szCs w:val="17"/>
                <w:color w:val="0000FF"/>
              </w:rPr>
              <w:t>50,000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21.55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165,312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center"/>
              <w:ind w:left="646"/>
              <w:spacing w:after="0"/>
              <w:rPr>
                <w:sz w:val="20"/>
                <w:szCs w:val="20"/>
                <w:color w:val="auto"/>
              </w:rPr>
            </w:pPr>
            <w:r>
              <w:rPr>
                <w:rFonts w:ascii="Arial" w:cs="Arial" w:eastAsia="Arial" w:hAnsi="Arial"/>
                <w:sz w:val="17"/>
                <w:szCs w:val="17"/>
                <w:color w:val="0000FF"/>
                <w:w w:val="91"/>
              </w:rPr>
              <w:t>01/31/2014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6"/>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42.4037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115,312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center"/>
              <w:ind w:left="646"/>
              <w:spacing w:after="0"/>
              <w:rPr>
                <w:sz w:val="20"/>
                <w:szCs w:val="20"/>
                <w:color w:val="auto"/>
              </w:rPr>
            </w:pPr>
            <w:r>
              <w:rPr>
                <w:rFonts w:ascii="Arial" w:cs="Arial" w:eastAsia="Arial" w:hAnsi="Arial"/>
                <w:sz w:val="17"/>
                <w:szCs w:val="17"/>
                <w:color w:val="0000FF"/>
                <w:w w:val="91"/>
              </w:rPr>
              <w:t>01/31/2014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right"/>
              <w:ind w:right="46"/>
              <w:spacing w:after="0"/>
              <w:rPr>
                <w:sz w:val="20"/>
                <w:szCs w:val="20"/>
                <w:color w:val="auto"/>
              </w:rPr>
            </w:pPr>
            <w:r>
              <w:rPr>
                <w:rFonts w:ascii="Arial" w:cs="Arial" w:eastAsia="Arial" w:hAnsi="Arial"/>
                <w:sz w:val="17"/>
                <w:szCs w:val="17"/>
                <w:color w:val="0000FF"/>
              </w:rPr>
              <w:t>31,668</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42.3099</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83,644</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238.6</w:t>
            </w:r>
            <w:r>
              <w:rPr>
                <w:rFonts w:ascii="Arial" w:cs="Arial" w:eastAsia="Arial" w:hAnsi="Arial"/>
                <w:sz w:val="22"/>
                <w:szCs w:val="22"/>
                <w:color w:val="008000"/>
                <w:w w:val="85"/>
                <w:vertAlign w:val="superscript"/>
              </w:rPr>
              <w:t>(4)</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7"/>
              </w:rPr>
              <w:t>6,446.16</w:t>
            </w:r>
            <w:r>
              <w:rPr>
                <w:rFonts w:ascii="Arial" w:cs="Arial" w:eastAsia="Arial" w:hAnsi="Arial"/>
                <w:sz w:val="22"/>
                <w:szCs w:val="22"/>
                <w:color w:val="008000"/>
                <w:w w:val="87"/>
                <w:vertAlign w:val="superscript"/>
              </w:rPr>
              <w:t>(5)</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01/31/2014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$42.4150 to 42.4000.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2-7-2013. The sales were at prices ranging from $41.3725 to $42.6400. The price in Table I is the weighted average sale price.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12-31-2013. (Interests in this account are denominated in units. Consequently, share amount shown is an estimate.) This statement does not include changes in beneficial ownership of shares held in such account occurring after 12-31-2013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02/03/2014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2019-12-17T01:38:09Z</dcterms:created>
  <dcterms:modified xsi:type="dcterms:W3CDTF">2019-12-17T01:38:09Z</dcterms:modified>
</cp:coreProperties>
</file>