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jc w:val="both"/>
        <w:ind w:right="2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12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5120" w:type="dxa"/>
            <w:vAlign w:val="bottom"/>
            <w:vMerge w:val="continue"/>
          </w:tcPr>
          <w:p>
            <w:pPr>
              <w:spacing w:after="0"/>
              <w:rPr>
                <w:sz w:val="9"/>
                <w:szCs w:val="9"/>
                <w:color w:val="auto"/>
              </w:rPr>
            </w:pPr>
          </w:p>
        </w:tc>
        <w:tc>
          <w:tcPr>
            <w:tcW w:w="38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ind w:left="26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11180" w:type="dxa"/>
            <w:vAlign w:val="bottom"/>
            <w:gridSpan w:val="3"/>
          </w:tcPr>
          <w:p>
            <w:pPr>
              <w:ind w:left="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0"/>
        </w:trPr>
        <w:tc>
          <w:tcPr>
            <w:tcW w:w="7340" w:type="dxa"/>
            <w:vAlign w:val="bottom"/>
            <w:gridSpan w:val="2"/>
          </w:tcPr>
          <w:p>
            <w:pPr>
              <w:ind w:left="40"/>
              <w:spacing w:after="0"/>
              <w:rPr>
                <w:sz w:val="20"/>
                <w:szCs w:val="20"/>
                <w:color w:val="auto"/>
              </w:rPr>
            </w:pPr>
            <w:r>
              <w:rPr>
                <w:rFonts w:ascii="Arial" w:cs="Arial" w:eastAsia="Arial" w:hAnsi="Arial"/>
                <w:sz w:val="18"/>
                <w:szCs w:val="18"/>
                <w:color w:val="auto"/>
                <w:w w:val="94"/>
              </w:rPr>
              <w:t>or revised financial accounting standards provided pursuant to Section 13(a) of the Exchange Act</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5260" w:right="1980" w:hanging="5255"/>
        <w:spacing w:after="0" w:line="231"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8"/>
          <w:szCs w:val="18"/>
          <w:color w:val="auto"/>
        </w:rPr>
        <w:t>972,195,072</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4"/>
              </w:rPr>
              <w:t>For Three Months</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3"/>
              </w:rPr>
              <w:t>Ended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6"/>
          </w:tcPr>
          <w:p>
            <w:pPr>
              <w:ind w:left="120"/>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74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160" w:type="dxa"/>
            <w:vAlign w:val="bottom"/>
          </w:tcPr>
          <w:p>
            <w:pPr>
              <w:spacing w:after="0"/>
              <w:rPr>
                <w:sz w:val="19"/>
                <w:szCs w:val="19"/>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3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2017</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2018</w:t>
            </w:r>
          </w:p>
        </w:tc>
        <w:tc>
          <w:tcPr>
            <w:tcW w:w="3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120" w:type="dxa"/>
            <w:vAlign w:val="bottom"/>
            <w:shd w:val="clear" w:color="auto" w:fill="CCEEFF"/>
          </w:tcPr>
          <w:p>
            <w:pPr>
              <w:spacing w:after="0"/>
              <w:rPr>
                <w:sz w:val="18"/>
                <w:szCs w:val="18"/>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2,740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5,066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769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19"/>
                <w:szCs w:val="19"/>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r>
      <w:tr>
        <w:trPr>
          <w:trHeight w:val="207"/>
        </w:trPr>
        <w:tc>
          <w:tcPr>
            <w:tcW w:w="742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1,712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1,480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3,260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2,732</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7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7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980</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1,001</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20" w:type="dxa"/>
            <w:vAlign w:val="bottom"/>
            <w:shd w:val="clear" w:color="auto" w:fill="CCEEFF"/>
          </w:tcPr>
          <w:p>
            <w:pPr>
              <w:spacing w:after="0"/>
              <w:rPr>
                <w:sz w:val="18"/>
                <w:szCs w:val="18"/>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(22)</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r>
      <w:tr>
        <w:trPr>
          <w:trHeight w:val="21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4"/>
              </w:rPr>
              <w:t>For Three Months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3"/>
              </w:rPr>
              <w:t>Ended</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7"/>
              </w:rPr>
              <w:t>For Six Months Ended</w:t>
            </w:r>
          </w:p>
        </w:tc>
      </w:tr>
      <w:tr>
        <w:trPr>
          <w:trHeight w:val="219"/>
        </w:trPr>
        <w:tc>
          <w:tcPr>
            <w:tcW w:w="73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2017</w:t>
            </w:r>
          </w:p>
        </w:tc>
        <w:tc>
          <w:tcPr>
            <w:tcW w:w="4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00" w:type="dxa"/>
            <w:vAlign w:val="bottom"/>
            <w:shd w:val="clear" w:color="auto" w:fill="CCEEFF"/>
          </w:tcPr>
          <w:p>
            <w:pPr>
              <w:spacing w:after="0"/>
              <w:rPr>
                <w:sz w:val="18"/>
                <w:szCs w:val="18"/>
                <w:color w:val="auto"/>
              </w:rPr>
            </w:pPr>
          </w:p>
        </w:tc>
      </w:tr>
      <w:tr>
        <w:trPr>
          <w:trHeight w:val="213"/>
        </w:trPr>
        <w:tc>
          <w:tcPr>
            <w:tcW w:w="738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Change in fair value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7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2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1,426</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2,784</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($9) and ($8)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856</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2,090</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9,592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5,025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(2,170)</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2,855</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18,527</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472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5,066</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1,229</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7,893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1,867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36,413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June 30, 2018 – 766,450,417; December 31, 2017 – 757,657,217</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(29,016)</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(371)</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10,634</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18,527</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8"/>
              </w:rPr>
              <w:t>For Six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280" w:type="dxa"/>
            <w:vAlign w:val="bottom"/>
            <w:gridSpan w:val="4"/>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2,771</w:t>
            </w:r>
          </w:p>
        </w:tc>
        <w:tc>
          <w:tcPr>
            <w:tcW w:w="220" w:type="dxa"/>
            <w:vAlign w:val="bottom"/>
          </w:tcPr>
          <w:p>
            <w:pPr>
              <w:spacing w:after="0"/>
              <w:rPr>
                <w:sz w:val="18"/>
                <w:szCs w:val="18"/>
                <w:color w:val="auto"/>
              </w:rPr>
            </w:pP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Deferred taxes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(1,860)</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3"/>
          <w:szCs w:val="13"/>
          <w:color w:val="auto"/>
        </w:rPr>
        <w:t>®</w:t>
      </w:r>
      <w:r>
        <w:rPr>
          <w:rFonts w:ascii="Arial" w:cs="Arial" w:eastAsia="Arial" w:hAnsi="Arial"/>
          <w:sz w:val="15"/>
          <w:szCs w:val="15"/>
          <w:color w:val="auto"/>
        </w:rPr>
        <w:t xml:space="preserve"> products, calculators and custom ASIC products.</w:t>
      </w:r>
    </w:p>
    <w:p>
      <w:pPr>
        <w:spacing w:after="0" w:line="1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For 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Analog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2,690</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2,411</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5,256</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943</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1,869</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4,017</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7,806</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Analog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1,263</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1,077</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2,429</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1,712</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geographic area information includes revenue based on product shipment destination.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For 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614</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472</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19"/>
                <w:szCs w:val="19"/>
                <w:color w:val="auto"/>
              </w:rPr>
            </w:pP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1,535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9"/>
                <w:szCs w:val="19"/>
                <w:color w:val="auto"/>
              </w:rPr>
            </w:pPr>
          </w:p>
        </w:tc>
      </w:tr>
      <w:tr>
        <w:trPr>
          <w:trHeight w:val="213"/>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4,017</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7,806</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8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including Hong Kong, was $1.7 billion and $1.6 billion in the second quarters of 2018 and 2017, respectively, and $3.3 billion and $3.1 billion in the first six months of 2018 and 2017,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consolidated financial statements have been prepared in accordance with accounting principles generally accepted in the United States (GAAP) and on the same basis as the audited financial statements included in our annual report on Form 10-K for the year ended December 31, 2017, except for the effects of adopting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Consolidated Statements of Income, Comprehensive Income and Cash Flows for the periods ended June 30, 2018 and 2017, and the Consolidated Balance Sheet as of June 30, 2018,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2017. The results for the three- and six-month periods are not necessarily indicative of a full year’s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 primarily from the sale of semiconductor products, either directly to a customer or to a distributor, or at the conclusion of a consignment process. We have a variety of types of contracts with our customers and distributors. In determining whether a contract exists, we evaluate the terms of the agreement, the relationship with the customer or distributor and their ability to pay.</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 revenue from sales of our products, including sales to our distributors, at a point in time, generally upon shipment or delivery to the customer or distributor, depending upon the terms of the sales order. Control is considered transferred when title and risk of loss pass, when the customer becomes obligated to pay and, where required, when the customer has accepted the products. For sales to distributors, payment is due on our standard commercial terms and is not contingent upon resale of the products.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from sales of our products that is subject to inventory consignment agreements is recognized at a point in time, when the customer or distributor pulls product from consignment inventory that we store at designated locations. Transfer of control occurs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 of revenue recognized is adjusted based on allowances, which are prepared on a portfolio basis using a most likely amount methodology based on analysis of historical data, current economic conditions and contractual terms. These allowances, which are not material, generally include adjustments for pricing arrangements, product returns and incentives. The length of time between invoicing and payment is not significant under any of our payment terms. In instances where the timing of revenue recognition differs from the timing of invoicing, we have determined our contracts generally do not include a significant financing component.</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accounts receivable aging. When collection is at risk, we assess the impact on amounts recorded for bad debts and, if necessary, record a charge in the period such determination is made.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 shipping fees, if any, received from customers in revenue. We include shipping and handling costs in COR. The majority of our customers pay these fees directly to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w w:val="99"/>
              </w:rPr>
              <w:t>For Three Months Ended June 30,</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Income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Income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1,405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1,056</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 basic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1,394</w:t>
            </w:r>
          </w:p>
        </w:tc>
        <w:tc>
          <w:tcPr>
            <w:tcW w:w="2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977</w:t>
            </w:r>
          </w:p>
        </w:tc>
        <w:tc>
          <w:tcPr>
            <w:tcW w:w="4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1.43</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3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994</w:t>
            </w:r>
          </w:p>
        </w:tc>
        <w:tc>
          <w:tcPr>
            <w:tcW w:w="5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1,405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1,056</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1,394</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w:t>
            </w:r>
          </w:p>
        </w:tc>
        <w:tc>
          <w:tcPr>
            <w:tcW w:w="48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For Six Months Ended June 30,</w:t>
            </w: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Income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Income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2,771</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2,053</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(23)</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 basic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2,748</w:t>
            </w:r>
          </w:p>
        </w:tc>
        <w:tc>
          <w:tcPr>
            <w:tcW w:w="2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980</w:t>
            </w:r>
          </w:p>
        </w:tc>
        <w:tc>
          <w:tcPr>
            <w:tcW w:w="4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2.80</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3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996</w:t>
            </w:r>
          </w:p>
        </w:tc>
        <w:tc>
          <w:tcPr>
            <w:tcW w:w="5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2,771</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2,053</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(22)</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2,749</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1,001</w:t>
            </w:r>
          </w:p>
        </w:tc>
        <w:tc>
          <w:tcPr>
            <w:tcW w:w="48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2.75</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Potentially dilutive securities representing 5 million and 6 million shares of common stock that were outstanding during the second quarters of 2018 and 2017, and during the first six months of 2018 and 2017, respectively, were excluded from the computation of diluted earnings per common share for these periods because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June 30, 2018.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4 for a description of fair value and the definition of Level 2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2014-09, Revenue from Contracts with Customers (Topic 606)</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This standard provides a single set of guidelines for revenue recognition to be used across all industries and requires additional disclosures. We adopted Accounting Standards Codification Topic 606 (ASC 606) as of January 1, 2018, using the modified retrospective transition method applied only to contracts that were not completed as of the adoption date. The reported results for 2018 reflect the application of the new accounting guidance, while the reported results for prior period amounts are not adjusted and continue to be reported in accordance with our historical accounting under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most significant impact from adopting the standard relates to our accounting for royalty income on licenses of intellectual property; however, the effect of such change during any individual reporting period will not materially impact our results of operations and financial position. Although royalty income is recorded within OI&amp;E, the new revenue guidance applies to these agreements by analogy, and therefore, such agreements have been evaluated for ASC transition considerations. Under ASC 606, royalty income for our fixed-rate royalty agreements is bifurcated between two performance obligations: providing a right to use our initial patent portfolio and the right to access our future patents when those patents are developed. We have determined that the value of these agreements is allocated more heavily to the initial performance obligation. As a result, income from these agreements is recognized predominately at the time of contract execution rather than ratably over the life of the agreements, accelerating the timing of when we recognize royalty income in OI&amp;E.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timing of revenue recognition, billings and cash collections may result in billed accounts receivable, unbilled receivables (contract assets), and customer advances and deposits (contract liabilities). These items are included in other current and non-current assets and liabilities on the Consolidated Balance Sheets.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time frame between when the customer places an order for products and when it is shipped is less than 12 months. Generally, we invoice customers for payment upon shipment or when goods are pulled from consignment inventory, which results in an unconditional right to consideration. Our contract assets are primarily related to our rights to consideration for satisfied or partially satisfied performance obligations on our royalty agreements for which payment has not been received as of the reporting date.</w:t>
      </w:r>
    </w:p>
    <w:p>
      <w:pPr>
        <w:spacing w:after="0" w:line="18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recognized an increase to opening retained earnings of $206 million, net of taxes, as of January 1, 2018, due to the cumulative impact of adopting ASC 606, with the impact primarily related to our fixed payment patent licensing agreements that were not completed as of the adoption date. A contract asset of $283 million and deferred tax liabilities of $55 million were recorded as of January 1, 2018, related to the transition period adjustments.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Occasionally, as of the end of a reporting period, some of the performance obligations associated with contracts will have been unsatisfied or only partially satisfied. In accordance with the practical expedients available in the guidance, we do not disclose the value of unsatisfied performance obligations for contracts with an original expected duration of one year or less. Similarly, we do not disclose information for variable-rate consideration on our sales-based or usage-based royalties for our patent licenses.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royalty income from licensing our patent portfolios, income is allocated to performance obligations that have not yet been satisfied. The remaining performance obligations represent contracted income that has not yet been recognized, including amounts that will be invoiced and recognized as income in future periods. As of June 30, 2018, we had $72 million of remaining performance obligations that had not yet been satisfied. We expect to recognize 22 percent of our remaining performance obligations as income over the next 12 months and the remainder thereafter.</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2018, we had contract assets of $275 million. During the six months ended June 30, 2018, our contract assets were reduced by $8 million, due to $16 million of cash received offset by $8 million of income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incur commission expenses paid to internal sales personnel that are incremental to obtaining contracts with customers. We generally expense sales commissions when incurred because the amortization period would have been one year or less. These costs are included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standards were adopted during the current period and did not have a material impact on our financial position and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ASU</w:t>
            </w:r>
          </w:p>
        </w:tc>
        <w:tc>
          <w:tcPr>
            <w:tcW w:w="12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03"/>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2016-01</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6"/>
              </w:rPr>
              <w:t>Financial Instruments – Overall (Subtopic 825-10): Recognition and Measurement of Financial Assets and Financial</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Liabilities</w:t>
            </w:r>
          </w:p>
        </w:tc>
        <w:tc>
          <w:tcPr>
            <w:tcW w:w="1600" w:type="dxa"/>
            <w:vAlign w:val="bottom"/>
            <w:shd w:val="clear" w:color="auto" w:fill="CCEEFF"/>
          </w:tcPr>
          <w:p>
            <w:pPr>
              <w:spacing w:after="0"/>
              <w:rPr>
                <w:sz w:val="18"/>
                <w:szCs w:val="18"/>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6"/>
                <w:szCs w:val="16"/>
                <w:color w:val="auto"/>
              </w:rPr>
              <w:t>ASU No. 2017-01</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Business Combinations (Topic 805): Clarifying the Definition of a Business</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2018</w:t>
            </w: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2017-05</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7"/>
              </w:rPr>
              <w:t>Other Income – Gains and Losses from the Derecognition of Nonfinancial Assets (Subtopic 610-20): Clarifying the</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Scope of Asset Derecognition Guidance and Accounting for Partial Sales of Nonfinancial Assets</w:t>
            </w:r>
          </w:p>
        </w:tc>
        <w:tc>
          <w:tcPr>
            <w:tcW w:w="1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We do not expect to have any financing leases at the time of adoption. This standard will be effective for our interim and annual periods beginning January 1, 2019, and must be applied on a modified retrospective basis. In July 2018, the FASB approved an optional transition method to initially account for the impact of the adoption with a cumulative-effect adjustment to the January 1, 2019, rather than the January 1, 2017, financial statements. This will eliminate the need to restate amounts presented prior to January 1, 2019. We will adopt the standard effective January 1, 2019, and we expect to elect this optional transition method, as well as certain practical expedients permitted under the transition guidance within the standard. We are currently evaluating the potential impact of this standard on our financial position, but we do not expect it to have a material impact on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January 1, 2020, and permits earlier application but not before periods beginning January 1, 2019. The standard will be applied using a modified retrospective approach. We are currently evaluating the potential impact of this standard, but we do not expect it to have a material impact on our financial position and results of operations.</w:t>
      </w:r>
    </w:p>
    <w:p>
      <w:pPr>
        <w:spacing w:after="0" w:line="164"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u w:val="single" w:color="auto"/>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standard allows a reclassification of stranded tax effects as a result of the U.S. Tax Cuts and Jobs Act (the Tax Act) from accumulated other comprehensive income to retained earnings. The provisions from this guidance are effective for interim and annual periods beginning after January 1, 2019. Early adoption is permitted. This standard should be applied either in the period of adoption or retrospectively to each period (or periods) in which the effects of the Tax Act are recognized. We plan to adopt this standard during the interim period in which we complete our accounting for the tax effects of the enactment of the Tax Act, applying the guidance to the period of adoption. This standard will have no impact on our results of operations. We are currently evaluating the potential impact of this standard on our financial position.</w:t>
      </w:r>
    </w:p>
    <w:p>
      <w:pPr>
        <w:spacing w:after="0" w:line="200" w:lineRule="exact"/>
        <w:rPr>
          <w:sz w:val="20"/>
          <w:szCs w:val="20"/>
          <w:color w:val="auto"/>
        </w:rPr>
      </w:pPr>
    </w:p>
    <w:p>
      <w:pPr>
        <w:spacing w:after="0" w:line="21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Provision for income taxes was $301 million and $430 million for the second quarters of 2018 and 2017, respectively, and $488 million and $688 million for the first six months of 2018 and 2017,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estimated annual effective tax rate is about 20 percent, which does not include discrete tax items. This differs from the 21 percent statutory corporate tax rate due to the effect of U.S. tax benefits, offset by a 2018 transitional tax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included the provisions of the Tax Act in the calculation of our estimated annual effective tax rate. The estimates could change when additional information on implementation of the provisions of the Tax Act becomes available.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Tax Act was enacted on December 22, 2017. We have not completed our accounting for the tax effects of enactment of the Tax Act. We have made reasonable estimates of the tax on indefinitely reinvested earnings and the effects on our existing deferred tax balances. This resulted in additional tax expense in 2017 of $773 million, consisting of $714 million related to the tax on indefinitely reinvested earnings and $59 million related to remeasuring our existing deferred tax balances.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tax on indefinitely reinvested earnings is based on our non-U.S. post-1986 earnings and profits that we previously deferred from U.S. income taxes. We have not yet completed our calculation of the total post-1986 earnings and profits for these non-U.S. subsidiaries.</w:t>
      </w:r>
    </w:p>
    <w:p>
      <w:pPr>
        <w:spacing w:after="0" w:line="170"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In the first quarter of 2018, we reduced the amount of income tax expense recorded for indefinitely reinvested earnings to $669 million from $714 million recorded in 2017. In the second quarter of 2018, we reduced the amount of income tax expense recorded for the effects of the Tax Act on our deferred tax balances to $50 million from $59 million recorded in 2017. These adjustments did not affect the estimated annual effective tax rate for 2018.</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calculations of the tax effect of the Tax Act for both indefinitely reinvested earnings and deferred tax assets and liabilities are expected to be completed with the preparation of the U.S. 2017 tax return in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62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6"/>
                <w:szCs w:val="16"/>
                <w:color w:val="auto"/>
              </w:rPr>
              <w:t>Discrete tax items</w:t>
            </w:r>
          </w:p>
        </w:tc>
        <w:tc>
          <w:tcPr>
            <w:tcW w:w="6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(172)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430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Estimated annual effective tax rate</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6"/>
                <w:szCs w:val="16"/>
                <w:color w:val="auto"/>
              </w:rPr>
              <w:t>Actual effective tax rate</w:t>
            </w:r>
          </w:p>
        </w:tc>
        <w:tc>
          <w:tcPr>
            <w:tcW w:w="6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classify our investments as available for sale, trading, equity method or non-marketable equity. Most of our investments are debt securities, which are classified as available for sale.</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Available-for-sale and trading securities are stated at fair value, which is generally based on market prices or broker quotes. See </w:t>
      </w:r>
      <w:r>
        <w:rPr>
          <w:rFonts w:ascii="Arial" w:cs="Arial" w:eastAsia="Arial" w:hAnsi="Arial"/>
          <w:sz w:val="16"/>
          <w:szCs w:val="16"/>
          <w:i w:val="1"/>
          <w:iCs w:val="1"/>
          <w:color w:val="auto"/>
        </w:rPr>
        <w:t>Fair-value considerations</w:t>
      </w:r>
      <w:r>
        <w:rPr>
          <w:rFonts w:ascii="Arial" w:cs="Arial" w:eastAsia="Arial" w:hAnsi="Arial"/>
          <w:sz w:val="16"/>
          <w:szCs w:val="16"/>
          <w:color w:val="auto"/>
        </w:rPr>
        <w:t xml:space="preserve"> below. Unrealized gains and losses from available-for-sale debt securities are recorded as an increase or decrease, net of taxes, in AOCI on our Consolidated Balance Sheets. We record other-than-temporary impairments on available-for-sale debt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Cash and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Short-Term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Cash and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Available-for-sale debt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2,756</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2,211</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2,919</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2,211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2018, and December 31, 2017, unrealized gains and losses associated with our available-for-sale investments were not material. We did not recognize any credit losses related to available-for-sale investments for the first six months of 2018 and 2017.</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Proceeds from sales, redemptions and maturities of short-term available-for-sale investments were $1.38 billion and $1.27 billion for the second quarters of 2018 and 2017, respectively, and $2.83 billion and $2.39 billion for the first six months of 2018 and 2017, respectively. Gross realized gains and losses from these sales were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investments as of June 30,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w:t>
            </w:r>
          </w:p>
        </w:tc>
        <w:tc>
          <w:tcPr>
            <w:tcW w:w="120" w:type="dxa"/>
            <w:vAlign w:val="bottom"/>
            <w:shd w:val="clear" w:color="auto" w:fill="CCEEFF"/>
          </w:tcPr>
          <w:p>
            <w:pPr>
              <w:spacing w:after="0"/>
              <w:rPr>
                <w:sz w:val="18"/>
                <w:szCs w:val="18"/>
                <w:color w:val="auto"/>
              </w:rPr>
            </w:pPr>
          </w:p>
        </w:tc>
      </w:tr>
      <w:tr>
        <w:trPr>
          <w:trHeight w:val="210"/>
        </w:trPr>
        <w:tc>
          <w:tcPr>
            <w:tcW w:w="9880" w:type="dxa"/>
            <w:vAlign w:val="bottom"/>
          </w:tcPr>
          <w:p>
            <w:pPr>
              <w:spacing w:after="0"/>
              <w:rPr>
                <w:sz w:val="20"/>
                <w:szCs w:val="20"/>
                <w:color w:val="auto"/>
              </w:rPr>
            </w:pPr>
            <w:r>
              <w:rPr>
                <w:rFonts w:ascii="Arial" w:cs="Arial" w:eastAsia="Arial" w:hAnsi="Arial"/>
                <w:sz w:val="16"/>
                <w:szCs w:val="16"/>
                <w:color w:val="auto"/>
              </w:rPr>
              <w:t>One to two years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Other-than-temporary declines and impairments in the values of our available-for-sale investments, which were recognized in OI&amp;E, were not material in the first six months of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jc w:val="both"/>
        <w:ind w:left="1040" w:right="22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June 30, 2018 and December 31, 2017,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 2018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441</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441</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2,902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3,586</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1,624</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5,210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3,526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920</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was $4.36 billion as of June 30, 2018, and December 31, 2017. There was no impairment of goodwill during the first six months of 2018 or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r>
      <w:tr>
        <w:trPr>
          <w:trHeight w:val="21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7 - 10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Borders>
              <w:bottom w:val="single" w:sz="8" w:color="CCEEFF"/>
            </w:tcBorders>
          </w:tcPr>
          <w:p>
            <w:pPr>
              <w:jc w:val="right"/>
              <w:ind w:right="55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r>
      <w:tr>
        <w:trPr>
          <w:trHeight w:val="210"/>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of acquisition-related intangibles was $79 million for the second quarters of both 2018 and 2017, and $159 million for the first six months of both 2018 and 2017. Fully amortized assets are written off against accumulated amortization.</w:t>
      </w:r>
    </w:p>
    <w:p>
      <w:pPr>
        <w:spacing w:after="0" w:line="36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2"/>
              <w:spacing w:after="0"/>
              <w:rPr>
                <w:sz w:val="20"/>
                <w:szCs w:val="20"/>
                <w:color w:val="auto"/>
              </w:rPr>
            </w:pPr>
            <w:r>
              <w:rPr>
                <w:rFonts w:ascii="Arial" w:cs="Arial" w:eastAsia="Arial" w:hAnsi="Arial"/>
                <w:sz w:val="16"/>
                <w:szCs w:val="16"/>
                <w:b w:val="1"/>
                <w:bCs w:val="1"/>
                <w:color w:val="auto"/>
              </w:rPr>
              <w:t>Retiree Health Care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June 30,</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(17)</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2"/>
              <w:spacing w:after="0"/>
              <w:rPr>
                <w:sz w:val="20"/>
                <w:szCs w:val="20"/>
                <w:color w:val="auto"/>
              </w:rPr>
            </w:pPr>
            <w:r>
              <w:rPr>
                <w:rFonts w:ascii="Arial" w:cs="Arial" w:eastAsia="Arial" w:hAnsi="Arial"/>
                <w:sz w:val="16"/>
                <w:szCs w:val="16"/>
                <w:b w:val="1"/>
                <w:bCs w:val="1"/>
                <w:color w:val="auto"/>
              </w:rPr>
              <w:t>Retiree Health Care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Six Months Ended June 30,</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2018, we had a variable-rate revolving credit facility from a consortium of investment-grade banks that allows us to borrow up to $2 billion until March 2023. The interest rate on borrowings under this credit facility, if drawn, is indexed to the applicable London Interbank Offered Rate (LIBOR). As of June 30, 2018,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$500 million of maturing debt in May 2018.</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second quarter of 2018, we issued an aggregate principal amount of $1.5 billion of fixed-rate, long-term debt due in 2048, comprised of the issuance of $1.3 billion in May 2018 and an additional $200 million in June 2018. We incurred $16 million of issuance and other related costs. We received $1.5 billion in proceeds, net of the original issuance discount and premium, to be used for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Pr>
          <w:p>
            <w:pPr>
              <w:spacing w:after="0"/>
              <w:rPr>
                <w:sz w:val="19"/>
                <w:szCs w:val="19"/>
                <w:color w:val="auto"/>
              </w:rPr>
            </w:pPr>
          </w:p>
        </w:tc>
        <w:tc>
          <w:tcPr>
            <w:tcW w:w="23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r>
      <w:tr>
        <w:trPr>
          <w:trHeight w:val="213"/>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2024 at 2.625%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2027 at 2.90%</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2048 at 4.15%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5,100</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5,066</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Long-term debt</w:t>
            </w:r>
          </w:p>
        </w:tc>
        <w:tc>
          <w:tcPr>
            <w:tcW w:w="14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5,066</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and debt expense was $30 million and $20 million for the second quarters of 2018 and 2017, respectively, and $53 million and $38 million for the first six months of 2018 and 2017, respectively. This was net of the amortization of the debt discounts, premiums and debt issuance costs. Capitalized interest was not material.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 See Note 5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recognized $21 million of restructuring charges on a cumulative basis through June 30, 2018, for severance and benefit costs related to the previously reported reorganization of the product lines within our two reportable segments. We have paid $18 million to terminated employees for severance and benefits. Any further charges are not expected to be material.</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have recognized $36 million of restructuring charges on a cumulative basis through June 30, 2018, for severance and benefits costs, as well as accelerated depreciation, related to the phase out of a manufacturing facility in Greenock, Scotland. Total restructuring charges, primarily severance and benefit costs, are estimated to be about $40 million. The remaining charges are expected to be recognized through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accrued restructuring balances are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items (a)</w:t>
            </w:r>
          </w:p>
        </w:tc>
        <w:tc>
          <w:tcPr>
            <w:tcW w:w="4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2018</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restructuring accrual balances are primarily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six months of 2018 and 2017. The table below details where these transactions are recorded in our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98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Three Months Ended</w:t>
            </w:r>
          </w:p>
        </w:tc>
        <w:tc>
          <w:tcPr>
            <w:tcW w:w="100" w:type="dxa"/>
            <w:vAlign w:val="bottom"/>
          </w:tcPr>
          <w:p>
            <w:pPr>
              <w:spacing w:after="0"/>
              <w:rPr>
                <w:sz w:val="18"/>
                <w:szCs w:val="18"/>
                <w:color w:val="auto"/>
              </w:rPr>
            </w:pPr>
          </w:p>
        </w:tc>
        <w:tc>
          <w:tcPr>
            <w:tcW w:w="182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w w:val="92"/>
              </w:rPr>
              <w:t>For Six Months Ended</w:t>
            </w:r>
          </w:p>
        </w:tc>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w w:val="90"/>
              </w:rPr>
              <w:t>June 30,</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 Related</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2017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Statement of Income Lines</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losses of defined benefit plans: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600" w:type="dxa"/>
            <w:vAlign w:val="bottom"/>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320" w:type="dxa"/>
            <w:vAlign w:val="bottom"/>
            <w:gridSpan w:val="2"/>
          </w:tcPr>
          <w:p>
            <w:pPr>
              <w:ind w:left="60"/>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3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vMerge w:val="restart"/>
          </w:tcPr>
          <w:p>
            <w:pPr>
              <w:ind w:left="6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4200" w:type="dxa"/>
            <w:vAlign w:val="bottom"/>
            <w:vMerge w:val="continue"/>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3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3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3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shares of 2,135,405 and 9,028,819 were issued from treasury shares during the second quarter and first six months of 2018, respectively, related to stock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1040" w:hanging="519"/>
        <w:spacing w:after="0" w:line="293"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 strong foundation of manufacturing and technology. </w:t>
      </w:r>
      <w:r>
        <w:rPr>
          <w:rFonts w:ascii="Arial" w:cs="Arial" w:eastAsia="Arial" w:hAnsi="Arial"/>
          <w:sz w:val="16"/>
          <w:szCs w:val="16"/>
          <w:color w:val="auto"/>
        </w:rPr>
        <w:t>We invest in manufacturing technologies and do most of our manufacturing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increasing factory loadings of our advanced analog 300-millimeter wafers, which have about a 40 percent cost advantage per unpackaged chip over 200-millimeter wafers. 300-millimeter wafers will support the majority of our Analog growth going forward. Additionally, we keep our manufacturing costs low by using mature assets acquired ahead of demand when their prices are most attractive.</w:t>
      </w:r>
    </w:p>
    <w:p>
      <w:pPr>
        <w:spacing w:after="0" w:line="56" w:lineRule="exact"/>
        <w:rPr>
          <w:rFonts w:ascii="Arial" w:cs="Arial" w:eastAsia="Arial" w:hAnsi="Arial"/>
          <w:sz w:val="16"/>
          <w:szCs w:val="16"/>
          <w:color w:val="auto"/>
        </w:rPr>
      </w:pPr>
    </w:p>
    <w:p>
      <w:pPr>
        <w:ind w:left="1040" w:right="22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solve more of these needs than our competitors,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jc w:val="both"/>
        <w:ind w:left="1040" w:right="8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of our products, markets and customer positions. </w:t>
      </w:r>
      <w:r>
        <w:rPr>
          <w:rFonts w:ascii="Arial" w:cs="Arial" w:eastAsia="Arial" w:hAnsi="Arial"/>
          <w:sz w:val="18"/>
          <w:szCs w:val="18"/>
          <w:color w:val="auto"/>
        </w:rPr>
        <w:t>Together, the attributes above result in diverse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 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1040" w:right="12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sz w:val="20"/>
          <w:szCs w:val="20"/>
          <w:color w:val="auto"/>
        </w:rPr>
      </w:pPr>
    </w:p>
    <w:p>
      <w:pPr>
        <w:ind w:left="1520" w:right="120" w:hanging="378"/>
        <w:spacing w:after="0" w:line="259" w:lineRule="auto"/>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76" w:lineRule="exact"/>
        <w:rPr>
          <w:rFonts w:ascii="Courier New" w:cs="Courier New" w:eastAsia="Courier New" w:hAnsi="Courier New"/>
          <w:sz w:val="18"/>
          <w:szCs w:val="18"/>
          <w:color w:val="auto"/>
        </w:rPr>
      </w:pPr>
    </w:p>
    <w:p>
      <w:pPr>
        <w:ind w:left="1520" w:hanging="378"/>
        <w:spacing w:after="0"/>
        <w:tabs>
          <w:tab w:leader="none" w:pos="1520" w:val="left"/>
        </w:tabs>
        <w:numPr>
          <w:ilvl w:val="0"/>
          <w:numId w:val="19"/>
        </w:numPr>
        <w:rPr>
          <w:rFonts w:ascii="Courier New" w:cs="Courier New" w:eastAsia="Courier New" w:hAnsi="Courier New"/>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ind w:left="1520" w:right="40" w:hanging="378"/>
        <w:spacing w:after="0" w:line="259" w:lineRule="auto"/>
        <w:tabs>
          <w:tab w:leader="none" w:pos="152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76" w:lineRule="exact"/>
        <w:rPr>
          <w:rFonts w:ascii="Courier New" w:cs="Courier New" w:eastAsia="Courier New" w:hAnsi="Courier New"/>
          <w:sz w:val="18"/>
          <w:szCs w:val="18"/>
          <w:color w:val="auto"/>
        </w:rPr>
      </w:pPr>
    </w:p>
    <w:p>
      <w:pPr>
        <w:ind w:left="1520" w:right="140" w:hanging="378"/>
        <w:spacing w:after="0" w:line="272" w:lineRule="auto"/>
        <w:tabs>
          <w:tab w:leader="none" w:pos="1520" w:val="left"/>
        </w:tabs>
        <w:numPr>
          <w:ilvl w:val="0"/>
          <w:numId w:val="20"/>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520" w:hanging="378"/>
        <w:spacing w:after="0"/>
        <w:tabs>
          <w:tab w:leader="none" w:pos="152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color w:val="auto"/>
        </w:rPr>
        <w:t>Over time, we have been allocating resources from areas like manufacturing support and SG&amp;A into R&amp;D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second-quarter revenue was $4.02 billion, net income was $1.41 billion and earnings per share (EPS) were $1.40. EPS included a 3 cent discrete tax benefit not in our original guidance.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 increased 9 percent from the same quarter a year ago. Demand for our Analog and Embedded Processing products continued to be strong in the industrial and automotive markets.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cash flow from operations of $6.6 billion for the trailing 12 months again underscored the strength of our business model. Free cash flow for the trailing 12 months was $5.7 billion, or 36.6 percent of revenue. This reflects the quality of our product portfolio, as well as the efficiency of our manufacturing strategy, including the benefit of 300-millimeter Analog production.</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returned $5.6 billion to owners in the past 12 months through stock repurchases and dividends, and our strategy to return to owners all of our free cash flow remains consistent. Over the last 12 months, our dividends represented 41 percent of free cash flow, emphasizing their sustainability.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expect our ongoing annual operating tax rate to be about 20 percent in 2018 and 16 percent starting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second-quarter 2018 compared with second-quarter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$4.02 billion increased $324 million, or 9 percent, due to higher revenue from Analog and Embedded Processing.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Gross profit of $2.62 billion was up $245 million, or 10 percent, primarily due to higher revenue. As a percentage of revenue, gross profit increased to 65.2 percent from 64.3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$825 million compared with $812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$79 million were non-cash. See Note 9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$1.71 billion, or 42.6 percent of revenue, compared with $1.48 billion, or 40.1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$24 million of income compared with $26 million of income.</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Provision for income taxes was $301 million compared with $430 million, which includes discrete tax benefits of $43 million and $28 million, respectively. The decrease in our tax provision was primarily due to a lower U.S. statutory corporate tax rate and other net benefits resulting from the U.S. Tax Cuts and Jobs Act (the Tax Act), partially offset by higher income before income taxes.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annual operating tax rate, which does not include discrete tax items, is about 20 percent compared with 31 percent in 2017. We use “annual operating tax rate” to describe the estimated annual effective tax rate. The 2018 rate differs from the 21 percent U.S. statutory corporate tax rate due to the effect of U.S. tax benefits, offset by a transitional non-cash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$1.41 billion compared with $1.06 billion. EPS was $1.40 compared with $1.03.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Second-quarter 2018 segment results</w:t>
            </w:r>
          </w:p>
        </w:tc>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360" w:type="dxa"/>
            <w:vAlign w:val="bottom"/>
            <w:gridSpan w:val="2"/>
          </w:tcPr>
          <w:p>
            <w:pPr>
              <w:spacing w:after="0"/>
              <w:rPr>
                <w:sz w:val="20"/>
                <w:szCs w:val="20"/>
                <w:color w:val="auto"/>
              </w:rPr>
            </w:pPr>
            <w:r>
              <w:rPr>
                <w:rFonts w:ascii="Arial" w:cs="Arial" w:eastAsia="Arial" w:hAnsi="Arial"/>
                <w:sz w:val="18"/>
                <w:szCs w:val="18"/>
                <w:color w:val="auto"/>
              </w:rPr>
              <w:t>Our segment results compared with the year-ago quarter are as follows: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tc>
        <w:tc>
          <w:tcPr>
            <w:tcW w:w="260" w:type="dxa"/>
            <w:vAlign w:val="bottom"/>
          </w:tcPr>
          <w:p>
            <w:pPr>
              <w:spacing w:after="0"/>
              <w:rPr>
                <w:sz w:val="24"/>
                <w:szCs w:val="24"/>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2Q18</w:t>
            </w:r>
          </w:p>
        </w:tc>
        <w:tc>
          <w:tcPr>
            <w:tcW w:w="4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2Q17</w:t>
            </w:r>
          </w:p>
        </w:tc>
        <w:tc>
          <w:tcPr>
            <w:tcW w:w="360" w:type="dxa"/>
            <w:vAlign w:val="bottom"/>
            <w:vMerge w:val="restart"/>
          </w:tcPr>
          <w:p>
            <w:pPr>
              <w:spacing w:after="0"/>
              <w:rPr>
                <w:sz w:val="24"/>
                <w:szCs w:val="24"/>
                <w:color w:val="auto"/>
              </w:rPr>
            </w:pPr>
          </w:p>
        </w:tc>
        <w:tc>
          <w:tcPr>
            <w:tcW w:w="10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2,690</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47.0%</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Analog revenue increased due to Power and, to a lesser extent, Signal Chain. High Volume revenue decreased due to the mix of products shipped. Operating profit increased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tc>
        <w:tc>
          <w:tcPr>
            <w:tcW w:w="260" w:type="dxa"/>
            <w:vAlign w:val="bottom"/>
          </w:tcPr>
          <w:p>
            <w:pPr>
              <w:spacing w:after="0"/>
              <w:rPr>
                <w:sz w:val="20"/>
                <w:szCs w:val="20"/>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2Q18</w:t>
            </w:r>
          </w:p>
        </w:tc>
        <w:tc>
          <w:tcPr>
            <w:tcW w:w="4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2Q17</w:t>
            </w:r>
          </w:p>
        </w:tc>
        <w:tc>
          <w:tcPr>
            <w:tcW w:w="360" w:type="dxa"/>
            <w:vAlign w:val="bottom"/>
            <w:vMerge w:val="restart"/>
          </w:tcPr>
          <w:p>
            <w:pPr>
              <w:spacing w:after="0"/>
              <w:rPr>
                <w:sz w:val="20"/>
                <w:szCs w:val="20"/>
                <w:color w:val="auto"/>
              </w:rPr>
            </w:pPr>
          </w:p>
        </w:tc>
        <w:tc>
          <w:tcPr>
            <w:tcW w:w="10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Embedded Processing revenue increased in both product lines about equally.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tc>
        <w:tc>
          <w:tcPr>
            <w:tcW w:w="24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2Q18</w:t>
            </w:r>
          </w:p>
        </w:tc>
        <w:tc>
          <w:tcPr>
            <w:tcW w:w="38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2Q17</w:t>
            </w:r>
          </w:p>
        </w:tc>
        <w:tc>
          <w:tcPr>
            <w:tcW w:w="380" w:type="dxa"/>
            <w:vAlign w:val="bottom"/>
            <w:vMerge w:val="restart"/>
          </w:tcPr>
          <w:p>
            <w:pPr>
              <w:spacing w:after="0"/>
              <w:rPr>
                <w:sz w:val="20"/>
                <w:szCs w:val="20"/>
                <w:color w:val="auto"/>
              </w:rPr>
            </w:pPr>
          </w:p>
        </w:tc>
        <w:tc>
          <w:tcPr>
            <w:tcW w:w="10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29.9%</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$30 million, and operating profit declined by $17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first six months of 2018 compared with first six months of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$7.81 billion increased $711 million, or 10 percent, due to higher revenue from Analog and Embedded Processing.</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of $5.07 billion was up $548 million, or 12 percent, primarily due to higher revenue. As a percentage of revenue, gross profit increased to 64.9 percent from 63.7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$1.64 billion compared with $1.62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$159 million were non-cash. See Note 9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$3.26 billion, or 41.8 percent of revenue, compared with $2.73 billion, or 38.5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$52 million of income compared with $47 million of income.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Provision for income taxes was $488 million compared with $688 million, which includes discrete tax benefits of $172 million and $152 million, respectively. The decrease in our tax provision was primarily due to a lower U.S. statutory corporate tax rate and other net benefits resulting from the Tax Act, partially offset by higher income before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$2.77 billion compared with $2.05 billion. EPS was $2.75 compared with $2.00.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Year-to-date segment results</w:t>
            </w:r>
          </w:p>
        </w:tc>
        <w:tc>
          <w:tcPr>
            <w:tcW w:w="5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7360" w:type="dxa"/>
            <w:vAlign w:val="bottom"/>
            <w:gridSpan w:val="2"/>
          </w:tcPr>
          <w:p>
            <w:pPr>
              <w:spacing w:after="0"/>
              <w:rPr>
                <w:sz w:val="20"/>
                <w:szCs w:val="20"/>
                <w:color w:val="auto"/>
              </w:rPr>
            </w:pPr>
            <w:r>
              <w:rPr>
                <w:rFonts w:ascii="Arial" w:cs="Arial" w:eastAsia="Arial" w:hAnsi="Arial"/>
                <w:sz w:val="18"/>
                <w:szCs w:val="18"/>
                <w:color w:val="auto"/>
              </w:rPr>
              <w:t>Our segment results compared with the year-ago period are as follows: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2060" w:type="dxa"/>
            <w:vAlign w:val="bottom"/>
            <w:tcBorders>
              <w:bottom w:val="single" w:sz="8" w:color="CCEEFF"/>
            </w:tcBorders>
          </w:tcPr>
          <w:p>
            <w:pPr>
              <w:spacing w:after="0"/>
              <w:rPr>
                <w:sz w:val="24"/>
                <w:szCs w:val="24"/>
                <w:color w:val="auto"/>
              </w:rPr>
            </w:pPr>
          </w:p>
        </w:tc>
        <w:tc>
          <w:tcPr>
            <w:tcW w:w="53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YTD 2018</w:t>
            </w:r>
          </w:p>
        </w:tc>
        <w:tc>
          <w:tcPr>
            <w:tcW w:w="4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YTD 2017</w:t>
            </w:r>
          </w:p>
        </w:tc>
        <w:tc>
          <w:tcPr>
            <w:tcW w:w="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EEFF"/>
            </w:tcBorders>
          </w:tcPr>
          <w:p>
            <w:pPr>
              <w:spacing w:after="0"/>
              <w:rPr>
                <w:sz w:val="24"/>
                <w:szCs w:val="24"/>
                <w:color w:val="auto"/>
              </w:rPr>
            </w:pPr>
          </w:p>
        </w:tc>
      </w:tr>
      <w:tr>
        <w:trPr>
          <w:trHeight w:val="223"/>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5,256</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2,429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46.2%</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Analog revenue increased due to Power and, to a lesser extent, Signal Chain. High Volume revenue decreased due to the mix of products shipped. Operating profit increased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7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YTD 2018</w:t>
            </w:r>
          </w:p>
        </w:tc>
        <w:tc>
          <w:tcPr>
            <w:tcW w:w="4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YTD 2017</w:t>
            </w:r>
          </w:p>
        </w:tc>
        <w:tc>
          <w:tcPr>
            <w:tcW w:w="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EEFF"/>
            </w:tcBorders>
          </w:tcPr>
          <w:p>
            <w:pPr>
              <w:spacing w:after="0"/>
              <w:rPr>
                <w:sz w:val="24"/>
                <w:szCs w:val="24"/>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1,869</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w:t>
            </w: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Embedded Processing revenue increased in both product lines, led by Processors.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6"/>
        </w:trPr>
        <w:tc>
          <w:tcPr>
            <w:tcW w:w="732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b w:val="1"/>
                <w:bCs w:val="1"/>
                <w:color w:val="auto"/>
              </w:rPr>
              <w:t>YTD 2018</w:t>
            </w:r>
          </w:p>
        </w:tc>
        <w:tc>
          <w:tcPr>
            <w:tcW w:w="1420" w:type="dxa"/>
            <w:vAlign w:val="bottom"/>
            <w:gridSpan w:val="3"/>
          </w:tcPr>
          <w:p>
            <w:pPr>
              <w:ind w:left="120"/>
              <w:spacing w:after="0"/>
              <w:rPr>
                <w:sz w:val="20"/>
                <w:szCs w:val="20"/>
                <w:color w:val="auto"/>
              </w:rPr>
            </w:pPr>
            <w:r>
              <w:rPr>
                <w:rFonts w:ascii="Arial" w:cs="Arial" w:eastAsia="Arial" w:hAnsi="Arial"/>
                <w:sz w:val="18"/>
                <w:szCs w:val="18"/>
                <w:b w:val="1"/>
                <w:bCs w:val="1"/>
                <w:color w:val="auto"/>
              </w:rPr>
              <w:t>YTD 2017</w:t>
            </w:r>
          </w:p>
        </w:tc>
        <w:tc>
          <w:tcPr>
            <w:tcW w:w="12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3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24.8%</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$76 million, and operating profit declined by $40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 end of the second quarter of 2018, total cash (Cash and cash equivalents plus Short-term investments) was $5.13 billion, an increase of $661 million from the end of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were $1.55 billion, an increase of $273 million compared with the end of 2017. Days sales outstanding at the end of the second quarter of 2018 were 35 compared with 31 at the end of 2017.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Inventory was $2.09 billion, an increase of $133 million from the end of 2017. Days of inventory at the end of the second quarter of 2018 were 135 compared with 134 at the end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six months of 2018 were $2.94 billion, an increase of $1.23 billion from the year-ago period. This increase was due to higher Net income and a reduction in cash used for working capital, both of which benefited from a lower tax rate.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2023. This credit facility also serves as support for the issuance of commercial paper. As of June 30, 2018, our credit facility was undrawn, and we had no commercial paper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0" w:name="page21"/>
    <w:bookmarkEnd w:id="20"/>
    <w:p>
      <w:pPr>
        <w:jc w:val="both"/>
        <w:ind w:right="20"/>
        <w:spacing w:after="0" w:line="286" w:lineRule="auto"/>
        <w:rPr>
          <w:sz w:val="20"/>
          <w:szCs w:val="20"/>
          <w:color w:val="auto"/>
        </w:rPr>
      </w:pPr>
      <w:r>
        <w:rPr>
          <w:rFonts w:ascii="Arial" w:cs="Arial" w:eastAsia="Arial" w:hAnsi="Arial"/>
          <w:sz w:val="17"/>
          <w:szCs w:val="17"/>
          <w:color w:val="auto"/>
        </w:rPr>
        <w:t>Investing activities for the first six months of 2018 provided $185 million compared with $259 million in the year-ago period. Capital expenditures were $438 million compared with $278 million in the year-ago period and were primarily for semiconductor manufacturing equipment in both periods. We had proceeds from sales of short-term investments, net of purchases, that provided cash of $621 million compared with $498 million in the year-ago period.</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Financing activities for the first six months of 2018 used $1.86 billion compared with $1.99 billion in the year-ago period. In 2018, we received net proceeds of $1.50 billion from the issuance of fixed-rate, long-term debt and retired maturing debt of $500 million. In the year-ago period, we received net proceeds of $605 million from the issuance of fixed-rate, long-term debt and retired maturing debt of $625 million. Dividends paid were $1.22 billion compared with $998 million in the year-ago period, reflecting an increase in the dividend rate, partially offset by fewer shares outstanding. We used $1.89 billion to repurchase 17.8 million shares of our common stock compared with $1.20 billion used in the year-ago period to repurchase 15.2 million shares. Employee exercises of stock options provided cash proceeds of $280 million compared with $245 million in the year-ago period.</w:t>
      </w:r>
    </w:p>
    <w:p>
      <w:pPr>
        <w:spacing w:after="0" w:line="17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had $2.92 billion of Cash and cash equivalents and $2.21 billion of Short-term investments as of June 30, 2018.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12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70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(GAAP)</w:t>
            </w: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6,589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Capital expenditures</w:t>
            </w:r>
          </w:p>
        </w:tc>
        <w:tc>
          <w:tcPr>
            <w:tcW w:w="7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(855)</w:t>
            </w:r>
          </w:p>
        </w:tc>
        <w:tc>
          <w:tcPr>
            <w:tcW w:w="7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(527)</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 (non-GAAP)</w:t>
            </w: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5,734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70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15,672</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14,184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7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42.0%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7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36.6%</w:t>
            </w:r>
          </w:p>
        </w:tc>
        <w:tc>
          <w:tcPr>
            <w:tcW w:w="7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28.5%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2017. Additionally, in the first six months of 2018, we issued $1.50 billion principal amount of 4.15 percent notes maturing in 2048 and retired $500 million of maturing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Our critical accounting policies are described in </w:t>
      </w:r>
      <w:r>
        <w:rPr>
          <w:rFonts w:ascii="Arial" w:cs="Arial" w:eastAsia="Arial" w:hAnsi="Arial"/>
          <w:sz w:val="18"/>
          <w:szCs w:val="18"/>
          <w:i w:val="1"/>
          <w:iCs w:val="1"/>
          <w:color w:val="auto"/>
        </w:rPr>
        <w:t>Management’s Discussion and Analysis of Financial Condition and Results of Operations – 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our Annual Report on Form 10-K for the year ended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 xml:space="preserve">On January 1, 2018, we adopted Accounting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is discussed in Note 2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2017,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12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color w:val="auto"/>
                <w:w w:val="91"/>
              </w:rPr>
              <w:t>(a)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 xml:space="preserve">Programs </w:t>
            </w:r>
            <w:r>
              <w:rPr>
                <w:rFonts w:ascii="Arial" w:cs="Arial" w:eastAsia="Arial" w:hAnsi="Arial"/>
                <w:sz w:val="15"/>
                <w:szCs w:val="15"/>
                <w:color w:val="auto"/>
                <w:w w:val="89"/>
              </w:rPr>
              <w:t>(a)</w:t>
            </w:r>
          </w:p>
        </w:tc>
      </w:tr>
      <w:tr>
        <w:trPr>
          <w:trHeight w:val="223"/>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2018 through April 30, 2018</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4,568,941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101.79</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4,566,831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billion</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May 1, 2018 through May 31, 2018</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4,417,417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107.98</w:t>
            </w: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4,417,417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82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2018 through June 30, 2018</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503,554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115.48</w:t>
            </w:r>
          </w:p>
        </w:tc>
        <w:tc>
          <w:tcPr>
            <w:tcW w:w="1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503,554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9,489,912 </w:t>
            </w:r>
            <w:r>
              <w:rPr>
                <w:rFonts w:ascii="Arial" w:cs="Arial" w:eastAsia="Arial" w:hAnsi="Arial"/>
                <w:sz w:val="15"/>
                <w:szCs w:val="15"/>
                <w:color w:val="auto"/>
              </w:rPr>
              <w:t>(b)</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 xml:space="preserve">105.40 </w:t>
            </w:r>
            <w:r>
              <w:rPr>
                <w:rFonts w:ascii="Arial" w:cs="Arial" w:eastAsia="Arial" w:hAnsi="Arial"/>
                <w:sz w:val="15"/>
                <w:szCs w:val="15"/>
                <w:color w:val="auto"/>
              </w:rPr>
              <w:t>(b)</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9,487,802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c>
          <w:tcPr>
            <w:tcW w:w="820" w:type="dxa"/>
            <w:vAlign w:val="bottom"/>
          </w:tcPr>
          <w:p>
            <w:pPr>
              <w:ind w:left="60"/>
              <w:spacing w:after="0"/>
              <w:rPr>
                <w:sz w:val="20"/>
                <w:szCs w:val="20"/>
                <w:color w:val="auto"/>
              </w:rPr>
            </w:pPr>
            <w:r>
              <w:rPr>
                <w:rFonts w:ascii="Arial" w:cs="Arial" w:eastAsia="Arial" w:hAnsi="Arial"/>
                <w:sz w:val="18"/>
                <w:szCs w:val="18"/>
                <w:color w:val="auto"/>
              </w:rPr>
              <w:t xml:space="preserve">billion </w:t>
            </w:r>
            <w:r>
              <w:rPr>
                <w:rFonts w:ascii="Arial" w:cs="Arial" w:eastAsia="Arial" w:hAnsi="Arial"/>
                <w:sz w:val="15"/>
                <w:szCs w:val="15"/>
                <w:color w:val="auto"/>
              </w:rPr>
              <w:t>(c)</w:t>
            </w: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$7.5 billion of additional shares of TI common stock announced September 17, 2015. On September 21, 2017, our board of directors authorized the purchase of an additional $6.0 billion of our common stock.</w:t>
      </w:r>
    </w:p>
    <w:p>
      <w:pPr>
        <w:spacing w:after="0" w:line="73" w:lineRule="exact"/>
        <w:rPr>
          <w:rFonts w:ascii="Arial" w:cs="Arial" w:eastAsia="Arial" w:hAnsi="Arial"/>
          <w:sz w:val="18"/>
          <w:szCs w:val="18"/>
          <w:color w:val="auto"/>
        </w:rPr>
      </w:pPr>
    </w:p>
    <w:p>
      <w:pPr>
        <w:ind w:left="460" w:right="7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open-market purchases, 2,110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June 30, 2018, this amount consisted of the remaining portion of the $7.5 billion authorized in September 2015 and the $6.0 billion authorized in September 2017. No expiration date has been specified for these authorizations.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306" w:lineRule="exact"/>
        <w:rPr>
          <w:sz w:val="20"/>
          <w:szCs w:val="20"/>
          <w:color w:val="auto"/>
        </w:rPr>
      </w:pPr>
    </w:p>
    <w:p>
      <w:pPr>
        <w:jc w:val="center"/>
        <w:ind w:right="9960"/>
        <w:spacing w:after="0"/>
        <w:rPr>
          <w:sz w:val="20"/>
          <w:szCs w:val="20"/>
          <w:color w:val="auto"/>
        </w:rPr>
      </w:pPr>
      <w:r>
        <w:rPr>
          <w:rFonts w:ascii="Arial" w:cs="Arial" w:eastAsia="Arial" w:hAnsi="Arial"/>
          <w:sz w:val="18"/>
          <w:szCs w:val="18"/>
          <w:b w:val="1"/>
          <w:bCs w:val="1"/>
          <w:color w:val="auto"/>
        </w:rPr>
        <w:t>Designation</w:t>
      </w:r>
    </w:p>
    <w:p>
      <w:pPr>
        <w:spacing w:after="0" w:line="27" w:lineRule="exact"/>
        <w:rPr>
          <w:sz w:val="20"/>
          <w:szCs w:val="20"/>
          <w:color w:val="auto"/>
        </w:rPr>
      </w:pPr>
    </w:p>
    <w:p>
      <w:pPr>
        <w:jc w:val="center"/>
        <w:ind w:right="9960"/>
        <w:spacing w:after="0"/>
        <w:rPr>
          <w:sz w:val="20"/>
          <w:szCs w:val="20"/>
          <w:color w:val="auto"/>
        </w:rPr>
      </w:pPr>
      <w:r>
        <w:rPr>
          <w:rFonts w:ascii="Arial" w:cs="Arial" w:eastAsia="Arial" w:hAnsi="Arial"/>
          <w:sz w:val="18"/>
          <w:szCs w:val="18"/>
          <w:b w:val="1"/>
          <w:bCs w:val="1"/>
          <w:color w:val="auto"/>
        </w:rPr>
        <w:t>of Exhibits</w:t>
      </w:r>
    </w:p>
    <w:p>
      <w:pPr>
        <w:spacing w:after="0" w:line="9" w:lineRule="exact"/>
        <w:rPr>
          <w:sz w:val="20"/>
          <w:szCs w:val="20"/>
          <w:color w:val="auto"/>
        </w:rPr>
      </w:pPr>
    </w:p>
    <w:p>
      <w:pPr>
        <w:jc w:val="center"/>
        <w:ind w:right="9960"/>
        <w:spacing w:after="0"/>
        <w:rPr>
          <w:sz w:val="20"/>
          <w:szCs w:val="20"/>
          <w:color w:val="auto"/>
        </w:rPr>
      </w:pPr>
      <w:r>
        <w:rPr>
          <w:rFonts w:ascii="Arial" w:cs="Arial" w:eastAsia="Arial" w:hAnsi="Arial"/>
          <w:sz w:val="18"/>
          <w:szCs w:val="18"/>
          <w:b w:val="1"/>
          <w:bCs w:val="1"/>
          <w:color w:val="auto"/>
        </w:rPr>
        <w:t>in This</w:t>
      </w:r>
    </w:p>
    <w:p>
      <w:pPr>
        <w:spacing w:after="0" w:line="9" w:lineRule="exact"/>
        <w:rPr>
          <w:sz w:val="20"/>
          <w:szCs w:val="20"/>
          <w:color w:val="auto"/>
        </w:rPr>
      </w:pPr>
    </w:p>
    <w:p>
      <w:pPr>
        <w:jc w:val="both"/>
        <w:ind w:left="440"/>
        <w:spacing w:after="0"/>
        <w:tabs>
          <w:tab w:leader="none" w:pos="1440" w:val="left"/>
        </w:tabs>
        <w:rPr>
          <w:sz w:val="20"/>
          <w:szCs w:val="20"/>
          <w:color w:val="auto"/>
        </w:rPr>
      </w:pPr>
      <w:r>
        <w:rPr>
          <w:rFonts w:ascii="Arial" w:cs="Arial" w:eastAsia="Arial" w:hAnsi="Arial"/>
          <w:sz w:val="18"/>
          <w:szCs w:val="18"/>
          <w:b w:val="1"/>
          <w:bCs w:val="1"/>
          <w:color w:val="auto"/>
        </w:rPr>
        <w:t>Report</w:t>
      </w:r>
      <w:r>
        <w:rPr>
          <w:sz w:val="20"/>
          <w:szCs w:val="20"/>
          <w:color w:val="auto"/>
        </w:rPr>
        <w:tab/>
      </w: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p>
      <w:pPr>
        <w:spacing w:after="0" w:line="14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3(a)</w:t>
      </w:r>
    </w:p>
    <w:p>
      <w:pPr>
        <w:spacing w:after="0" w:line="29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3(b)</w:t>
      </w:r>
    </w:p>
    <w:p>
      <w:pPr>
        <w:spacing w:after="0" w:line="29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4(a)</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4(b)</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10(a)</w:t>
      </w:r>
    </w:p>
    <w:p>
      <w:pPr>
        <w:spacing w:after="0" w:line="6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31(a)</w:t>
      </w:r>
    </w:p>
    <w:p>
      <w:pPr>
        <w:spacing w:after="0" w:line="6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31(b)</w:t>
      </w:r>
    </w:p>
    <w:p>
      <w:pPr>
        <w:spacing w:after="0" w:line="6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32(a)</w:t>
      </w:r>
    </w:p>
    <w:p>
      <w:pPr>
        <w:spacing w:after="0" w:line="6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32(b)</w:t>
      </w:r>
    </w:p>
    <w:p>
      <w:pPr>
        <w:spacing w:after="0" w:line="63"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101.ins</w:t>
      </w:r>
    </w:p>
    <w:p>
      <w:pPr>
        <w:spacing w:after="0" w:line="7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auto"/>
        </w:rPr>
        <w:t>101.sch</w:t>
      </w:r>
    </w:p>
    <w:p>
      <w:pPr>
        <w:spacing w:after="0" w:line="9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77" w:lineRule="auto"/>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Restated Certificate of Incorporation of the Registrant, dated April 18, 1985, as amended (incorporated by reference to Exhibit 3(a) of the</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Registrant's Annual Report on Form 10-K for the year ended December 31, 2014).</w:t>
        </w:r>
      </w:hyperlink>
    </w:p>
    <w:p>
      <w:pPr>
        <w:spacing w:after="0" w:line="22" w:lineRule="exact"/>
        <w:rPr>
          <w:sz w:val="20"/>
          <w:szCs w:val="20"/>
          <w:color w:val="auto"/>
        </w:rPr>
      </w:pPr>
    </w:p>
    <w:p>
      <w:pPr>
        <w:ind w:right="260"/>
        <w:spacing w:after="0" w:line="277" w:lineRule="auto"/>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By-Laws of the Registrant (incorporated by reference to Exhibit 3 of the Registrant's Current Report on Form 8-K filed December 12,</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-1905</wp:posOffset>
            </wp:positionV>
            <wp:extent cx="72466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 w:lineRule="exact"/>
        <w:rPr>
          <w:sz w:val="20"/>
          <w:szCs w:val="20"/>
          <w:color w:val="auto"/>
        </w:rPr>
      </w:pPr>
    </w:p>
    <w:p>
      <w:pPr>
        <w:ind w:right="180"/>
        <w:spacing w:after="0" w:line="277" w:lineRule="auto"/>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Officer’s Certificate, dated May 7, 2018 (incorporated by reference to Exhibit 4.1 of the Registrant’s Current Report on Form 8-K filed</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May 7, 2018).</w:t>
        </w:r>
      </w:hyperlink>
    </w:p>
    <w:p>
      <w:pPr>
        <w:spacing w:after="0" w:line="22" w:lineRule="exact"/>
        <w:rPr>
          <w:sz w:val="20"/>
          <w:szCs w:val="20"/>
          <w:color w:val="auto"/>
        </w:rPr>
      </w:pPr>
    </w:p>
    <w:p>
      <w:pPr>
        <w:ind w:right="180"/>
        <w:spacing w:after="0" w:line="277"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Officer’s Certificate, dated June 8, 2018 (incorporated by reference to Exhibit 4.1 of the Registrant’s Current Report on Form 8-K filed</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June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-1905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Texas Instruments 2018 Director Compensation Plan.</w:t>
        </w:r>
        <w:r>
          <w:rPr>
            <w:rFonts w:ascii="Arial" w:cs="Arial" w:eastAsia="Arial" w:hAnsi="Arial"/>
            <w:sz w:val="15"/>
            <w:szCs w:val="15"/>
            <w:u w:val="single" w:color="auto"/>
            <w:color w:val="0000EE"/>
          </w:rPr>
          <w: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Certification of Chief Executive Officer of Periodic Report Pursuant to Rule 13a-15(e) or Rule 15d-15(e).</w:t>
        </w:r>
        <w:r>
          <w:rPr>
            <w:rFonts w:ascii="Arial" w:cs="Arial" w:eastAsia="Arial" w:hAnsi="Arial"/>
            <w:sz w:val="15"/>
            <w:szCs w:val="15"/>
            <w:u w:val="single" w:color="auto"/>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31750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Certification of Chief Financial Officer of Periodic Report Pursuant to Rule 13a-15(e) or Rule 15d-15(e).</w:t>
        </w:r>
        <w:r>
          <w:rPr>
            <w:rFonts w:ascii="Arial" w:cs="Arial" w:eastAsia="Arial" w:hAnsi="Arial"/>
            <w:sz w:val="15"/>
            <w:szCs w:val="15"/>
            <w:u w:val="single" w:color="auto"/>
            <w:color w:val="0000EE"/>
          </w:rPr>
          <w: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Certification by Chief Executive Officer of Periodic Report Pursuant to 18 U.S.C. Section 1350.</w:t>
        </w:r>
        <w:r>
          <w:rPr>
            <w:rFonts w:ascii="Arial" w:cs="Arial" w:eastAsia="Arial" w:hAnsi="Arial"/>
            <w:sz w:val="15"/>
            <w:szCs w:val="15"/>
            <w:u w:val="single" w:color="auto"/>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rFonts w:ascii="Arial" w:cs="Arial" w:eastAsia="Arial" w:hAnsi="Arial"/>
          <w:sz w:val="18"/>
          <w:szCs w:val="18"/>
          <w:color w:val="0000EE"/>
        </w:rPr>
      </w:pPr>
      <w:hyperlink w:anchor="page48">
        <w:r>
          <w:rPr>
            <w:rFonts w:ascii="Arial" w:cs="Arial" w:eastAsia="Arial" w:hAnsi="Arial"/>
            <w:sz w:val="18"/>
            <w:szCs w:val="18"/>
            <w:u w:val="single" w:color="auto"/>
            <w:color w:val="0000EE"/>
          </w:rPr>
          <w:t>Certification by Chief Financial Officer of Periodic Report Pursuant to 18 U.S.C. Section 1350.</w:t>
        </w:r>
        <w:r>
          <w:rPr>
            <w:rFonts w:ascii="Arial" w:cs="Arial" w:eastAsia="Arial" w:hAnsi="Arial"/>
            <w:sz w:val="18"/>
            <w:szCs w:val="18"/>
            <w:color w:val="0000EE"/>
          </w:rPr>
          <w:t xml:space="preserve"> </w:t>
        </w:r>
        <w:r>
          <w:rPr>
            <w:rFonts w:ascii="Arial" w:cs="Arial" w:eastAsia="Arial" w:hAnsi="Arial"/>
            <w:sz w:val="15"/>
            <w:szCs w:val="15"/>
            <w:color w:val="0000EE"/>
          </w:rPr>
          <w:t>†</w:t>
        </w:r>
      </w:hyperlink>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31750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31750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p>
      <w:pPr>
        <w:spacing w:after="0" w:line="144" w:lineRule="exact"/>
        <w:rPr>
          <w:sz w:val="20"/>
          <w:szCs w:val="20"/>
          <w:color w:val="auto"/>
        </w:rPr>
      </w:pPr>
    </w:p>
    <w:p>
      <w:pPr>
        <w:sectPr>
          <w:pgSz w:w="11900" w:h="16838" w:orient="portrait"/>
          <w:cols w:equalWidth="0" w:num="2">
            <w:col w:w="980" w:space="480"/>
            <w:col w:w="9900"/>
          </w:cols>
          <w:pgMar w:left="240" w:top="337" w:right="299" w:bottom="1440" w:gutter="0" w:footer="0" w:header="0"/>
          <w:type w:val="continuous"/>
        </w:sectPr>
      </w:pPr>
    </w:p>
    <w:p>
      <w:pPr>
        <w:ind w:left="380" w:hanging="372"/>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8"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9"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6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86" w:lineRule="exact"/>
        <w:rPr>
          <w:rFonts w:ascii="Arial" w:cs="Arial" w:eastAsia="Arial" w:hAnsi="Arial"/>
          <w:sz w:val="16"/>
          <w:szCs w:val="16"/>
          <w:color w:val="auto"/>
        </w:rPr>
      </w:pPr>
    </w:p>
    <w:p>
      <w:pPr>
        <w:ind w:left="1040" w:right="2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9"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8" w:lineRule="exact"/>
        <w:rPr>
          <w:rFonts w:ascii="Arial" w:cs="Arial" w:eastAsia="Arial" w:hAnsi="Arial"/>
          <w:sz w:val="18"/>
          <w:szCs w:val="18"/>
          <w:color w:val="auto"/>
        </w:rPr>
      </w:pPr>
    </w:p>
    <w:p>
      <w:pPr>
        <w:ind w:left="1040" w:hanging="519"/>
        <w:spacing w:after="0" w:line="29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63"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86" w:lineRule="exact"/>
        <w:rPr>
          <w:rFonts w:ascii="Arial" w:cs="Arial" w:eastAsia="Arial" w:hAnsi="Arial"/>
          <w:sz w:val="16"/>
          <w:szCs w:val="16"/>
          <w:color w:val="auto"/>
        </w:rPr>
      </w:pPr>
    </w:p>
    <w:p>
      <w:pPr>
        <w:ind w:left="1040" w:right="240" w:hanging="519"/>
        <w:spacing w:after="0" w:line="29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1040" w:right="3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8"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6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520" w:type="dxa"/>
            <w:vAlign w:val="bottom"/>
          </w:tcPr>
          <w:p>
            <w:pPr>
              <w:spacing w:after="0"/>
              <w:rPr>
                <w:sz w:val="16"/>
                <w:szCs w:val="16"/>
                <w:color w:val="auto"/>
              </w:rPr>
            </w:pPr>
          </w:p>
        </w:tc>
        <w:tc>
          <w:tcPr>
            <w:tcW w:w="3460" w:type="dxa"/>
            <w:vAlign w:val="bottom"/>
          </w:tcPr>
          <w:p>
            <w:pPr>
              <w:ind w:left="22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52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Senior Vice President and</w:t>
            </w:r>
          </w:p>
        </w:tc>
      </w:tr>
      <w:tr>
        <w:trPr>
          <w:trHeight w:val="230"/>
        </w:trPr>
        <w:tc>
          <w:tcPr>
            <w:tcW w:w="52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10(a)</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2018 DIRECTOR COMPENSATION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Texas Instruments 2018 Director Compensation Plan (“the Plan”) is intended as a successor plan to the Company’s 2009 Director Compensation</w:t>
      </w:r>
    </w:p>
    <w:p>
      <w:pPr>
        <w:spacing w:after="0" w:line="35"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11 of the Plan.</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225" w:lineRule="exact"/>
        <w:rPr>
          <w:rFonts w:ascii="Arial" w:cs="Arial" w:eastAsia="Arial" w:hAnsi="Arial"/>
          <w:sz w:val="18"/>
          <w:szCs w:val="18"/>
          <w:color w:val="auto"/>
        </w:rPr>
      </w:pPr>
    </w:p>
    <w:p>
      <w:pPr>
        <w:ind w:left="720" w:right="160" w:hanging="71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but need not, be executed or acknowledged by a Director. An Award Agreement may be in electronic form.</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25" w:lineRule="exact"/>
        <w:rPr>
          <w:rFonts w:ascii="Arial" w:cs="Arial" w:eastAsia="Arial" w:hAnsi="Arial"/>
          <w:sz w:val="18"/>
          <w:szCs w:val="18"/>
          <w:color w:val="auto"/>
        </w:rPr>
      </w:pPr>
    </w:p>
    <w:p>
      <w:pPr>
        <w:ind w:left="720" w:right="420" w:hanging="71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11(b)(i) on behalf of each Director who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11(b) to have any of his or her Deferred Compensation credited to a cash account.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an event that will be deemed to have occurred:</w:t>
      </w:r>
    </w:p>
    <w:p>
      <w:pPr>
        <w:spacing w:after="0" w:line="225" w:lineRule="exact"/>
        <w:rPr>
          <w:rFonts w:ascii="Arial" w:cs="Arial" w:eastAsia="Arial" w:hAnsi="Arial"/>
          <w:sz w:val="18"/>
          <w:szCs w:val="18"/>
          <w:color w:val="auto"/>
        </w:rPr>
      </w:pPr>
    </w:p>
    <w:p>
      <w:pPr>
        <w:ind w:left="1420" w:right="40" w:hanging="710"/>
        <w:spacing w:after="0" w:line="272" w:lineRule="auto"/>
        <w:tabs>
          <w:tab w:leader="none" w:pos="14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1412" w:right="60" w:hanging="710"/>
        <w:spacing w:after="0" w:line="277" w:lineRule="auto"/>
        <w:tabs>
          <w:tab w:leader="none" w:pos="14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70" w:lineRule="exact"/>
        <w:rPr>
          <w:rFonts w:ascii="Arial" w:cs="Arial" w:eastAsia="Arial" w:hAnsi="Arial"/>
          <w:sz w:val="18"/>
          <w:szCs w:val="18"/>
          <w:color w:val="auto"/>
        </w:rPr>
      </w:pPr>
    </w:p>
    <w:p>
      <w:pPr>
        <w:ind w:left="1412" w:right="40" w:hanging="710"/>
        <w:spacing w:after="0" w:line="288" w:lineRule="auto"/>
        <w:tabs>
          <w:tab w:leader="none" w:pos="1412"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169" w:lineRule="exact"/>
        <w:rPr>
          <w:rFonts w:ascii="Arial" w:cs="Arial" w:eastAsia="Arial" w:hAnsi="Arial"/>
          <w:sz w:val="16"/>
          <w:szCs w:val="16"/>
          <w:color w:val="auto"/>
        </w:rPr>
      </w:pPr>
    </w:p>
    <w:p>
      <w:pPr>
        <w:ind w:left="1412" w:hanging="710"/>
        <w:spacing w:after="0"/>
        <w:tabs>
          <w:tab w:leader="none" w:pos="14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purposes of (i), (ii) and (iii) of this Section 2(g):</w:t>
      </w:r>
    </w:p>
    <w:p>
      <w:pPr>
        <w:spacing w:after="0" w:line="225" w:lineRule="exact"/>
        <w:rPr>
          <w:rFonts w:ascii="Arial" w:cs="Arial" w:eastAsia="Arial" w:hAnsi="Arial"/>
          <w:sz w:val="18"/>
          <w:szCs w:val="18"/>
          <w:color w:val="auto"/>
        </w:rPr>
      </w:pPr>
    </w:p>
    <w:p>
      <w:pPr>
        <w:ind w:left="2112" w:right="20" w:hanging="694"/>
        <w:spacing w:after="0" w:line="277" w:lineRule="auto"/>
        <w:tabs>
          <w:tab w:leader="none" w:pos="2112" w:val="left"/>
        </w:tabs>
        <w:numPr>
          <w:ilvl w:val="2"/>
          <w:numId w:val="25"/>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170" w:lineRule="exact"/>
        <w:rPr>
          <w:rFonts w:ascii="Arial" w:cs="Arial" w:eastAsia="Arial" w:hAnsi="Arial"/>
          <w:sz w:val="18"/>
          <w:szCs w:val="18"/>
          <w:color w:val="auto"/>
        </w:rPr>
      </w:pPr>
    </w:p>
    <w:p>
      <w:pPr>
        <w:ind w:left="2112" w:right="20" w:hanging="694"/>
        <w:spacing w:after="0" w:line="277" w:lineRule="auto"/>
        <w:tabs>
          <w:tab w:leader="none" w:pos="2112" w:val="left"/>
        </w:tabs>
        <w:numPr>
          <w:ilvl w:val="2"/>
          <w:numId w:val="25"/>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170" w:lineRule="exact"/>
        <w:rPr>
          <w:rFonts w:ascii="Arial" w:cs="Arial" w:eastAsia="Arial" w:hAnsi="Arial"/>
          <w:sz w:val="18"/>
          <w:szCs w:val="18"/>
          <w:color w:val="auto"/>
        </w:rPr>
      </w:pPr>
    </w:p>
    <w:p>
      <w:pPr>
        <w:ind w:left="2112" w:right="380" w:hanging="694"/>
        <w:spacing w:after="0" w:line="342" w:lineRule="auto"/>
        <w:tabs>
          <w:tab w:leader="none" w:pos="2112" w:val="left"/>
        </w:tabs>
        <w:numPr>
          <w:ilvl w:val="2"/>
          <w:numId w:val="25"/>
        </w:numPr>
        <w:rPr>
          <w:rFonts w:ascii="Arial" w:cs="Arial" w:eastAsia="Arial" w:hAnsi="Arial"/>
          <w:sz w:val="16"/>
          <w:szCs w:val="16"/>
          <w:color w:val="auto"/>
        </w:rPr>
      </w:pPr>
      <w:r>
        <w:rPr>
          <w:rFonts w:ascii="Arial" w:cs="Arial" w:eastAsia="Arial" w:hAnsi="Arial"/>
          <w:sz w:val="16"/>
          <w:szCs w:val="16"/>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23" w:lineRule="exact"/>
        <w:rPr>
          <w:rFonts w:ascii="Arial" w:cs="Arial" w:eastAsia="Arial" w:hAnsi="Arial"/>
          <w:sz w:val="16"/>
          <w:szCs w:val="16"/>
          <w:color w:val="auto"/>
        </w:rPr>
      </w:pPr>
    </w:p>
    <w:p>
      <w:pPr>
        <w:ind w:left="1412" w:hanging="710"/>
        <w:spacing w:after="0" w:line="264" w:lineRule="auto"/>
        <w:tabs>
          <w:tab w:leader="none" w:pos="14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2(g) be treated as a Change in Control unless such event also constitutes a “change in control event” with respect to the Company within the meaning of Treas. Reg. § 1.409A-3(i)(5) or any successor provision.</w:t>
      </w:r>
    </w:p>
    <w:p>
      <w:pPr>
        <w:spacing w:after="0" w:line="181" w:lineRule="exact"/>
        <w:rPr>
          <w:rFonts w:ascii="Arial" w:cs="Arial" w:eastAsia="Arial" w:hAnsi="Arial"/>
          <w:sz w:val="18"/>
          <w:szCs w:val="18"/>
          <w:color w:val="auto"/>
        </w:rPr>
      </w:pPr>
    </w:p>
    <w:p>
      <w:pPr>
        <w:ind w:left="712" w:hanging="712"/>
        <w:spacing w:after="0"/>
        <w:tabs>
          <w:tab w:leader="none" w:pos="71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left="712" w:hanging="712"/>
        <w:spacing w:after="0"/>
        <w:tabs>
          <w:tab w:leader="none" w:pos="71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9" w:name="page30"/>
    <w:bookmarkEnd w:id="29"/>
    <w:p>
      <w:pPr>
        <w:ind w:left="720" w:right="60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11(a) to be deferred in accordance with this Plan.</w:t>
      </w:r>
    </w:p>
    <w:p>
      <w:pPr>
        <w:spacing w:after="0" w:line="170" w:lineRule="exact"/>
        <w:rPr>
          <w:rFonts w:ascii="Arial" w:cs="Arial" w:eastAsia="Arial" w:hAnsi="Arial"/>
          <w:sz w:val="18"/>
          <w:szCs w:val="18"/>
          <w:color w:val="auto"/>
        </w:rPr>
      </w:pPr>
    </w:p>
    <w:p>
      <w:pPr>
        <w:ind w:left="720" w:right="6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11(a) to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this Plan.</w:t>
      </w:r>
    </w:p>
    <w:p>
      <w:pPr>
        <w:spacing w:after="0" w:line="170" w:lineRule="exact"/>
        <w:rPr>
          <w:rFonts w:ascii="Arial" w:cs="Arial" w:eastAsia="Arial" w:hAnsi="Arial"/>
          <w:sz w:val="18"/>
          <w:szCs w:val="18"/>
          <w:color w:val="auto"/>
        </w:rPr>
      </w:pPr>
    </w:p>
    <w:p>
      <w:pPr>
        <w:ind w:left="720" w:right="42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the receipt of which a Director has elected to defer.</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this Plan is approved by stockholders of the Company.</w:t>
      </w:r>
    </w:p>
    <w:p>
      <w:pPr>
        <w:spacing w:after="0" w:line="225" w:lineRule="exact"/>
        <w:rPr>
          <w:rFonts w:ascii="Arial" w:cs="Arial" w:eastAsia="Arial" w:hAnsi="Arial"/>
          <w:sz w:val="18"/>
          <w:szCs w:val="18"/>
          <w:color w:val="auto"/>
        </w:rPr>
      </w:pPr>
    </w:p>
    <w:p>
      <w:pPr>
        <w:ind w:left="720" w:hanging="712"/>
        <w:spacing w:after="0" w:line="25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188" w:lineRule="exact"/>
        <w:rPr>
          <w:rFonts w:ascii="Arial" w:cs="Arial" w:eastAsia="Arial" w:hAnsi="Arial"/>
          <w:sz w:val="18"/>
          <w:szCs w:val="18"/>
          <w:color w:val="auto"/>
        </w:rPr>
      </w:pPr>
    </w:p>
    <w:p>
      <w:pPr>
        <w:jc w:val="both"/>
        <w:ind w:left="720" w:right="120" w:hanging="712"/>
        <w:spacing w:after="0" w:line="26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NASDAQ Stock Market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on the first previous date on which there is such trading) as reported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GSR Committee.</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“GSR Committee” </w:t>
      </w:r>
      <w:r>
        <w:rPr>
          <w:rFonts w:ascii="Arial" w:cs="Arial" w:eastAsia="Arial" w:hAnsi="Arial"/>
          <w:sz w:val="18"/>
          <w:szCs w:val="18"/>
          <w:color w:val="auto"/>
        </w:rPr>
        <w:t>means the Governance and Stockholder Relations Committee of the Board or any successor committee.</w:t>
      </w:r>
    </w:p>
    <w:p>
      <w:pPr>
        <w:spacing w:after="0" w:line="225" w:lineRule="exact"/>
        <w:rPr>
          <w:rFonts w:ascii="Arial" w:cs="Arial" w:eastAsia="Arial" w:hAnsi="Arial"/>
          <w:sz w:val="18"/>
          <w:szCs w:val="18"/>
          <w:color w:val="auto"/>
        </w:rPr>
      </w:pPr>
    </w:p>
    <w:p>
      <w:pPr>
        <w:ind w:left="720" w:right="32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this Plan to purchase Shares on the terms and conditions set forth in the Plan and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2018 Director Compensation Plan.</w:t>
      </w:r>
    </w:p>
    <w:p>
      <w:pPr>
        <w:spacing w:after="0" w:line="225" w:lineRule="exact"/>
        <w:rPr>
          <w:rFonts w:ascii="Arial" w:cs="Arial" w:eastAsia="Arial" w:hAnsi="Arial"/>
          <w:sz w:val="18"/>
          <w:szCs w:val="18"/>
          <w:color w:val="auto"/>
        </w:rPr>
      </w:pPr>
    </w:p>
    <w:p>
      <w:pPr>
        <w:ind w:left="720" w:right="12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this Plan that is denominated in Shares, each of which represents a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 Share on the terms and conditions set forth in the Plan and the applicable Award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712" w:right="40" w:hanging="712"/>
        <w:spacing w:after="0" w:line="255" w:lineRule="auto"/>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from Service”</w:t>
      </w:r>
      <w:r>
        <w:rPr>
          <w:rFonts w:ascii="Arial" w:cs="Arial" w:eastAsia="Arial" w:hAnsi="Arial"/>
          <w:sz w:val="18"/>
          <w:szCs w:val="18"/>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193" w:lineRule="exact"/>
        <w:rPr>
          <w:rFonts w:ascii="Arial" w:cs="Arial" w:eastAsia="Arial" w:hAnsi="Arial"/>
          <w:sz w:val="18"/>
          <w:szCs w:val="18"/>
          <w:color w:val="auto"/>
        </w:rPr>
      </w:pPr>
    </w:p>
    <w:p>
      <w:pPr>
        <w:ind w:left="1412" w:right="60" w:hanging="710"/>
        <w:spacing w:after="0" w:line="302" w:lineRule="auto"/>
        <w:tabs>
          <w:tab w:leader="none" w:pos="1412"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154" w:lineRule="exact"/>
        <w:rPr>
          <w:rFonts w:ascii="Arial" w:cs="Arial" w:eastAsia="Arial" w:hAnsi="Arial"/>
          <w:sz w:val="16"/>
          <w:szCs w:val="16"/>
          <w:color w:val="auto"/>
        </w:rPr>
      </w:pPr>
    </w:p>
    <w:p>
      <w:pPr>
        <w:ind w:left="1412" w:right="140" w:hanging="710"/>
        <w:spacing w:after="0" w:line="259" w:lineRule="auto"/>
        <w:tabs>
          <w:tab w:leader="none" w:pos="14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186" w:lineRule="exact"/>
        <w:rPr>
          <w:rFonts w:ascii="Arial" w:cs="Arial" w:eastAsia="Arial" w:hAnsi="Arial"/>
          <w:sz w:val="18"/>
          <w:szCs w:val="18"/>
          <w:color w:val="auto"/>
        </w:rPr>
      </w:pPr>
    </w:p>
    <w:p>
      <w:pPr>
        <w:ind w:left="1412" w:right="200" w:hanging="710"/>
        <w:spacing w:after="0" w:line="264" w:lineRule="auto"/>
        <w:tabs>
          <w:tab w:leader="none" w:pos="14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181"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25" w:lineRule="exact"/>
        <w:rPr>
          <w:rFonts w:ascii="Arial" w:cs="Arial" w:eastAsia="Arial" w:hAnsi="Arial"/>
          <w:sz w:val="18"/>
          <w:szCs w:val="18"/>
          <w:color w:val="auto"/>
        </w:rPr>
      </w:pPr>
    </w:p>
    <w:p>
      <w:pPr>
        <w:ind w:left="712" w:hanging="712"/>
        <w:spacing w:after="0" w:line="264" w:lineRule="auto"/>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w:t>
      </w:r>
      <w:r>
        <w:rPr>
          <w:rFonts w:ascii="Arial" w:cs="Arial" w:eastAsia="Arial" w:hAnsi="Arial"/>
          <w:sz w:val="18"/>
          <w:szCs w:val="18"/>
          <w:i w:val="1"/>
          <w:iCs w:val="1"/>
          <w:color w:val="auto"/>
        </w:rPr>
        <w:t xml:space="preserve"> </w:t>
      </w:r>
      <w:r>
        <w:rPr>
          <w:rFonts w:ascii="Arial" w:cs="Arial" w:eastAsia="Arial" w:hAnsi="Arial"/>
          <w:sz w:val="18"/>
          <w:szCs w:val="18"/>
          <w:color w:val="auto"/>
        </w:rPr>
        <w:t>to paragraph (5) thereof) for the applicable period, as determined annually by the Administrator in accordance with Treas. Reg. §1.409A-1(i). In determining whether a Participant is a Specified Employee, the following provisions shall apply:</w:t>
      </w:r>
    </w:p>
    <w:p>
      <w:pPr>
        <w:spacing w:after="0" w:line="181" w:lineRule="exact"/>
        <w:rPr>
          <w:rFonts w:ascii="Arial" w:cs="Arial" w:eastAsia="Arial" w:hAnsi="Arial"/>
          <w:sz w:val="18"/>
          <w:szCs w:val="18"/>
          <w:color w:val="auto"/>
        </w:rPr>
      </w:pPr>
    </w:p>
    <w:p>
      <w:pPr>
        <w:ind w:left="1412" w:right="380" w:hanging="710"/>
        <w:spacing w:after="0" w:line="276" w:lineRule="auto"/>
        <w:tabs>
          <w:tab w:leader="none" w:pos="1412" w:val="left"/>
        </w:tabs>
        <w:numPr>
          <w:ilvl w:val="1"/>
          <w:numId w:val="28"/>
        </w:numPr>
        <w:rPr>
          <w:rFonts w:ascii="Arial" w:cs="Arial" w:eastAsia="Arial" w:hAnsi="Arial"/>
          <w:sz w:val="17"/>
          <w:szCs w:val="17"/>
          <w:color w:val="auto"/>
        </w:rPr>
      </w:pPr>
      <w:r>
        <w:rPr>
          <w:rFonts w:ascii="Arial" w:cs="Arial" w:eastAsia="Arial" w:hAnsi="Arial"/>
          <w:sz w:val="17"/>
          <w:szCs w:val="17"/>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31" w:name="page32"/>
    <w:bookmarkEnd w:id="31"/>
    <w:p>
      <w:pPr>
        <w:ind w:left="1420" w:right="160" w:hanging="710"/>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2(z) shall be treated as a Specified Employee for purposes of this Plan if such Participant experiences a Separation from Service during the 12-month period that begins on the April 1st following the applicable identification date.</w:t>
      </w:r>
    </w:p>
    <w:p>
      <w:pPr>
        <w:spacing w:after="0" w:line="194" w:lineRule="exact"/>
        <w:rPr>
          <w:rFonts w:ascii="Arial" w:cs="Arial" w:eastAsia="Arial" w:hAnsi="Arial"/>
          <w:sz w:val="18"/>
          <w:szCs w:val="18"/>
          <w:color w:val="auto"/>
        </w:rPr>
      </w:pPr>
    </w:p>
    <w:p>
      <w:pPr>
        <w:ind w:left="720" w:right="20" w:hanging="712"/>
        <w:spacing w:after="0" w:line="286"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“Stock Appreciation Right</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“SAR” </w:t>
      </w:r>
      <w:r>
        <w:rPr>
          <w:rFonts w:ascii="Arial" w:cs="Arial" w:eastAsia="Arial" w:hAnsi="Arial"/>
          <w:sz w:val="17"/>
          <w:szCs w:val="17"/>
          <w:color w:val="auto"/>
        </w:rPr>
        <w:t>means a right granted pursuant to Section 10 to receive, upon exercise by the Participant, the excess of (i)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166" w:lineRule="exact"/>
        <w:rPr>
          <w:sz w:val="20"/>
          <w:szCs w:val="20"/>
          <w:color w:val="auto"/>
        </w:rPr>
      </w:pPr>
    </w:p>
    <w:p>
      <w:pPr>
        <w:ind w:left="720" w:hanging="712"/>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11(b)(ii),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11(b), to have any of his or her Deferred Cash Compensation credited to a stock unit account.</w:t>
      </w:r>
    </w:p>
    <w:p>
      <w:pPr>
        <w:spacing w:after="0" w:line="170" w:lineRule="exact"/>
        <w:rPr>
          <w:rFonts w:ascii="Arial" w:cs="Arial" w:eastAsia="Arial" w:hAnsi="Arial"/>
          <w:sz w:val="18"/>
          <w:szCs w:val="18"/>
          <w:color w:val="auto"/>
        </w:rPr>
      </w:pPr>
    </w:p>
    <w:p>
      <w:pPr>
        <w:ind w:left="720" w:right="40" w:hanging="712"/>
        <w:spacing w:after="0" w:line="25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188" w:lineRule="exact"/>
        <w:rPr>
          <w:rFonts w:ascii="Arial" w:cs="Arial" w:eastAsia="Arial" w:hAnsi="Arial"/>
          <w:sz w:val="18"/>
          <w:szCs w:val="18"/>
          <w:color w:val="auto"/>
        </w:rPr>
      </w:pPr>
    </w:p>
    <w:p>
      <w:pPr>
        <w:ind w:left="720" w:hanging="71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SECTION 5. SHARES AVAILABLE FOR AWARDS.</w:t>
      </w:r>
    </w:p>
    <w:p>
      <w:pPr>
        <w:spacing w:after="0" w:line="229" w:lineRule="exact"/>
        <w:rPr>
          <w:sz w:val="20"/>
          <w:szCs w:val="20"/>
          <w:color w:val="auto"/>
        </w:rPr>
      </w:pPr>
    </w:p>
    <w:p>
      <w:pPr>
        <w:ind w:left="720" w:right="380" w:hanging="712"/>
        <w:spacing w:after="0" w:line="26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2,000,000 Shares. Notwithstanding anything to the contrary set forth herein, in any given Year, the total value of Awards granted to any Director shall not exceed $500,000 in grant-date value.</w:t>
      </w:r>
    </w:p>
    <w:p>
      <w:pPr>
        <w:spacing w:after="0" w:line="181" w:lineRule="exact"/>
        <w:rPr>
          <w:rFonts w:ascii="Arial" w:cs="Arial" w:eastAsia="Arial" w:hAnsi="Arial"/>
          <w:sz w:val="18"/>
          <w:szCs w:val="18"/>
          <w:color w:val="auto"/>
        </w:rPr>
      </w:pPr>
    </w:p>
    <w:p>
      <w:pPr>
        <w:ind w:left="720" w:right="80" w:hanging="712"/>
        <w:spacing w:after="0" w:line="25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after the effective date of the Plan, (i) any Shares covered by an Award or Stock Unit Account, or to which such an Award relates, are forfeited, or (ii) 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192" w:lineRule="exact"/>
        <w:rPr>
          <w:rFonts w:ascii="Arial" w:cs="Arial" w:eastAsia="Arial" w:hAnsi="Arial"/>
          <w:sz w:val="18"/>
          <w:szCs w:val="18"/>
          <w:color w:val="auto"/>
        </w:rPr>
      </w:pPr>
    </w:p>
    <w:p>
      <w:pPr>
        <w:ind w:left="720" w:right="120" w:hanging="71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170" w:lineRule="exact"/>
        <w:rPr>
          <w:rFonts w:ascii="Arial" w:cs="Arial" w:eastAsia="Arial" w:hAnsi="Arial"/>
          <w:sz w:val="18"/>
          <w:szCs w:val="18"/>
          <w:color w:val="auto"/>
        </w:rPr>
      </w:pPr>
    </w:p>
    <w:p>
      <w:pPr>
        <w:ind w:left="720" w:hanging="712"/>
        <w:spacing w:after="0" w:line="288"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limits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SECTION 6. EQUITY GRANT UPON INITIAL ELECTION.</w:t>
      </w:r>
    </w:p>
    <w:p>
      <w:pPr>
        <w:spacing w:after="0" w:line="229" w:lineRule="exact"/>
        <w:rPr>
          <w:sz w:val="20"/>
          <w:szCs w:val="20"/>
          <w:color w:val="auto"/>
        </w:rPr>
      </w:pPr>
    </w:p>
    <w:p>
      <w:pPr>
        <w:ind w:left="720" w:right="780" w:hanging="71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Following the effective date of this Plan, each Director shall, effective as of the date of such individual’s initial election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to the Board, be granted 2,000 Restricted Stock Units.</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The terms and conditions of each Restricted Stock Unit granted under this Section 6 shall be as described in Section 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ANNUAL EQUITY GRANTS.</w:t>
      </w:r>
    </w:p>
    <w:p>
      <w:pPr>
        <w:spacing w:after="0" w:line="229" w:lineRule="exact"/>
        <w:rPr>
          <w:sz w:val="20"/>
          <w:szCs w:val="20"/>
          <w:color w:val="auto"/>
        </w:rPr>
      </w:pPr>
    </w:p>
    <w:p>
      <w:pPr>
        <w:ind w:left="720" w:right="40" w:hanging="712"/>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Annual Grant</w:t>
      </w:r>
      <w:r>
        <w:rPr>
          <w:rFonts w:ascii="Arial" w:cs="Arial" w:eastAsia="Arial" w:hAnsi="Arial"/>
          <w:sz w:val="18"/>
          <w:szCs w:val="18"/>
          <w:color w:val="auto"/>
        </w:rPr>
        <w:t>. Each Director will be granted annually an Option with a grant-date value of approximately $100,000 determined using a Black-Scholes option-pricing model and a Restricted Stock Unit Award with a grant-date value of approximately $100,000, in each case rounded down to the nearest whole share. The Restricted Stock Units granted under this Section 7(a) shall be in addition to any RSUs granted to any Director pursuant to Section 6.</w:t>
      </w:r>
    </w:p>
    <w:p>
      <w:pPr>
        <w:spacing w:after="0" w:line="186" w:lineRule="exact"/>
        <w:rPr>
          <w:rFonts w:ascii="Arial" w:cs="Arial" w:eastAsia="Arial" w:hAnsi="Arial"/>
          <w:sz w:val="18"/>
          <w:szCs w:val="18"/>
          <w:color w:val="auto"/>
        </w:rPr>
      </w:pPr>
    </w:p>
    <w:p>
      <w:pPr>
        <w:ind w:left="720" w:hanging="712"/>
        <w:spacing w:after="0" w:line="25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Effective Date of Annual Grant</w:t>
      </w:r>
      <w:r>
        <w:rPr>
          <w:rFonts w:ascii="Arial" w:cs="Arial" w:eastAsia="Arial" w:hAnsi="Arial"/>
          <w:sz w:val="18"/>
          <w:szCs w:val="18"/>
          <w:color w:val="auto"/>
        </w:rPr>
        <w:t>. In each year the effective date for the annual grant of equity to the Company’s executive officers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 then the third trading day after the release of the Company’s financial results for the first quarter of such year shall be the date the Options and Restricted Stock Units are granted.</w:t>
      </w:r>
    </w:p>
    <w:p>
      <w:pPr>
        <w:spacing w:after="0" w:line="188" w:lineRule="exact"/>
        <w:rPr>
          <w:rFonts w:ascii="Arial" w:cs="Arial" w:eastAsia="Arial" w:hAnsi="Arial"/>
          <w:sz w:val="18"/>
          <w:szCs w:val="18"/>
          <w:color w:val="auto"/>
        </w:rPr>
      </w:pPr>
    </w:p>
    <w:p>
      <w:pPr>
        <w:ind w:left="720" w:right="300" w:hanging="712"/>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Option and Restricted Stock Unit granted under this Section 6 shall be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8 and 9, respectively.</w:t>
      </w:r>
    </w:p>
    <w:p>
      <w:pPr>
        <w:spacing w:after="0" w:line="170" w:lineRule="exact"/>
        <w:rPr>
          <w:rFonts w:ascii="Arial" w:cs="Arial" w:eastAsia="Arial" w:hAnsi="Arial"/>
          <w:sz w:val="18"/>
          <w:szCs w:val="18"/>
          <w:color w:val="auto"/>
        </w:rPr>
      </w:pPr>
    </w:p>
    <w:p>
      <w:pPr>
        <w:ind w:left="720" w:right="340" w:hanging="712"/>
        <w:spacing w:after="0" w:line="26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annual grant as described in this Section 7, the Board shall have the right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the Awards to be granted under this Section 7. In determining whether to reduce any Award and the amount of any reduction, the Board shall take into consideration such factors as the Board shall determine.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OPTIONS.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Options granted under this Plan will be nonstatutory stock options not intended to qualify under Section 422 of the Code and shall have the terms and conditions described in this Section 8:</w:t>
      </w:r>
    </w:p>
    <w:p>
      <w:pPr>
        <w:spacing w:after="0" w:line="170" w:lineRule="exact"/>
        <w:rPr>
          <w:sz w:val="20"/>
          <w:szCs w:val="20"/>
          <w:color w:val="auto"/>
        </w:rPr>
      </w:pPr>
    </w:p>
    <w:p>
      <w:pPr>
        <w:ind w:left="720" w:right="100" w:hanging="712"/>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per share of the Shares on the effective date of the grant as determined in Section 7(b).</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4" w:name="page35"/>
    <w:bookmarkEnd w:id="34"/>
    <w:p>
      <w:pPr>
        <w:ind w:left="720" w:hanging="712"/>
        <w:spacing w:after="0" w:line="264"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or any combination thereof, having a Fair Market Value on the exercise date equal to the relevant exercise price, in which payment of the exercise price with respect to an Option may be made or deemed to have been made.</w:t>
      </w:r>
    </w:p>
    <w:p>
      <w:pPr>
        <w:spacing w:after="0" w:line="181" w:lineRule="exact"/>
        <w:rPr>
          <w:rFonts w:ascii="Arial" w:cs="Arial" w:eastAsia="Arial" w:hAnsi="Arial"/>
          <w:sz w:val="18"/>
          <w:szCs w:val="18"/>
          <w:color w:val="auto"/>
        </w:rPr>
      </w:pPr>
    </w:p>
    <w:p>
      <w:pPr>
        <w:ind w:left="720" w:right="340" w:hanging="712"/>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 8(d), Options shall become exercisable in four equal annual installments commencing on the first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grant.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member of the Board shall be as follows:</w:t>
      </w:r>
    </w:p>
    <w:p>
      <w:pPr>
        <w:spacing w:after="0" w:line="225" w:lineRule="exact"/>
        <w:rPr>
          <w:rFonts w:ascii="Arial" w:cs="Arial" w:eastAsia="Arial" w:hAnsi="Arial"/>
          <w:sz w:val="18"/>
          <w:szCs w:val="18"/>
          <w:color w:val="auto"/>
        </w:rPr>
      </w:pPr>
    </w:p>
    <w:p>
      <w:pPr>
        <w:ind w:left="1420" w:hanging="710"/>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25" w:lineRule="exact"/>
        <w:rPr>
          <w:rFonts w:ascii="Arial" w:cs="Arial" w:eastAsia="Arial" w:hAnsi="Arial"/>
          <w:sz w:val="18"/>
          <w:szCs w:val="18"/>
          <w:color w:val="auto"/>
        </w:rPr>
      </w:pPr>
    </w:p>
    <w:p>
      <w:pPr>
        <w:ind w:left="1420" w:right="160" w:hanging="710"/>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8(c), and shall be exercisable by such Participant’s heirs or legal representatives.</w:t>
      </w:r>
    </w:p>
    <w:p>
      <w:pPr>
        <w:spacing w:after="0" w:line="170" w:lineRule="exact"/>
        <w:rPr>
          <w:rFonts w:ascii="Arial" w:cs="Arial" w:eastAsia="Arial" w:hAnsi="Arial"/>
          <w:sz w:val="18"/>
          <w:szCs w:val="18"/>
          <w:color w:val="auto"/>
        </w:rPr>
      </w:pPr>
    </w:p>
    <w:p>
      <w:pPr>
        <w:ind w:left="1420" w:right="20" w:hanging="710"/>
        <w:spacing w:after="0" w:line="264"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181" w:lineRule="exact"/>
        <w:rPr>
          <w:rFonts w:ascii="Arial" w:cs="Arial" w:eastAsia="Arial" w:hAnsi="Arial"/>
          <w:sz w:val="18"/>
          <w:szCs w:val="18"/>
          <w:color w:val="auto"/>
        </w:rPr>
      </w:pPr>
    </w:p>
    <w:p>
      <w:pPr>
        <w:jc w:val="both"/>
        <w:ind w:left="1420" w:right="440" w:hanging="710"/>
        <w:spacing w:after="0" w:line="264"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Change in Control: If a Participant experiences a Separation From Service (other than for cause) within 24 months after a Change in Control, the provisions of Section 8(c) shall not apply and Options held by the Participant shall be immediately exercisable and shall continue to full term.</w:t>
      </w:r>
    </w:p>
    <w:p>
      <w:pPr>
        <w:spacing w:after="0" w:line="181" w:lineRule="exact"/>
        <w:rPr>
          <w:rFonts w:ascii="Arial" w:cs="Arial" w:eastAsia="Arial" w:hAnsi="Arial"/>
          <w:sz w:val="18"/>
          <w:szCs w:val="18"/>
          <w:color w:val="auto"/>
        </w:rPr>
      </w:pPr>
    </w:p>
    <w:p>
      <w:pPr>
        <w:ind w:left="1420" w:right="40" w:hanging="710"/>
        <w:spacing w:after="0" w:line="302" w:lineRule="auto"/>
        <w:tabs>
          <w:tab w:leader="none" w:pos="14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54" w:lineRule="exact"/>
        <w:rPr>
          <w:rFonts w:ascii="Arial" w:cs="Arial" w:eastAsia="Arial" w:hAnsi="Arial"/>
          <w:sz w:val="16"/>
          <w:szCs w:val="16"/>
          <w:color w:val="auto"/>
        </w:rPr>
      </w:pPr>
    </w:p>
    <w:p>
      <w:pPr>
        <w:ind w:left="720" w:right="340" w:hanging="712"/>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under this Plan shall be evidenced by an Award Agreement with the Company, which shall contain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provisions set forth herein and shall otherwise be consistent with the provisions of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SECTION 9. RESTRICTED STOCK UNITS.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Restricted Stock Unit granted under this Plan shall be paid or settled by the issuance of one Share and shall have the terms and conditions described in this Section 9:</w:t>
      </w:r>
    </w:p>
    <w:p>
      <w:pPr>
        <w:spacing w:after="0" w:line="170" w:lineRule="exact"/>
        <w:rPr>
          <w:sz w:val="20"/>
          <w:szCs w:val="20"/>
          <w:color w:val="auto"/>
        </w:rPr>
      </w:pPr>
    </w:p>
    <w:p>
      <w:pPr>
        <w:ind w:left="720" w:right="80" w:hanging="712"/>
        <w:spacing w:after="0" w:line="264"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 9(b) and subject to a Director’s election to defer the settlement of Restricted Stock Units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 the shares covered by the Restricted Stock Units shall be paid or settled as soon as practicable after the fourth anniversary of the date of grant.</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Termination of Service as a Director</w:t>
      </w:r>
      <w:r>
        <w:rPr>
          <w:rFonts w:ascii="Arial" w:cs="Arial" w:eastAsia="Arial" w:hAnsi="Arial"/>
          <w:sz w:val="18"/>
          <w:szCs w:val="18"/>
          <w:color w:val="auto"/>
        </w:rPr>
        <w:t>. The effect of a Participant's termination of service as a member of the Board shall be as follows:</w:t>
      </w:r>
    </w:p>
    <w:p>
      <w:pPr>
        <w:spacing w:after="0" w:line="225" w:lineRule="exact"/>
        <w:rPr>
          <w:rFonts w:ascii="Arial" w:cs="Arial" w:eastAsia="Arial" w:hAnsi="Arial"/>
          <w:sz w:val="18"/>
          <w:szCs w:val="18"/>
          <w:color w:val="auto"/>
        </w:rPr>
      </w:pPr>
    </w:p>
    <w:p>
      <w:pPr>
        <w:ind w:left="1420" w:hanging="710"/>
        <w:spacing w:after="0" w:line="264"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181" w:lineRule="exact"/>
        <w:rPr>
          <w:rFonts w:ascii="Arial" w:cs="Arial" w:eastAsia="Arial" w:hAnsi="Arial"/>
          <w:sz w:val="18"/>
          <w:szCs w:val="18"/>
          <w:color w:val="auto"/>
        </w:rPr>
      </w:pPr>
    </w:p>
    <w:p>
      <w:pPr>
        <w:ind w:left="1420" w:right="40" w:hanging="710"/>
        <w:spacing w:after="0" w:line="259"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186" w:lineRule="exact"/>
        <w:rPr>
          <w:rFonts w:ascii="Arial" w:cs="Arial" w:eastAsia="Arial" w:hAnsi="Arial"/>
          <w:sz w:val="18"/>
          <w:szCs w:val="18"/>
          <w:color w:val="auto"/>
        </w:rPr>
      </w:pPr>
    </w:p>
    <w:p>
      <w:pPr>
        <w:ind w:left="1420" w:hanging="710"/>
        <w:spacing w:after="0"/>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Separation From Service after a Change in Control:  If a Participant experiences a Separation From Service (other than for cause) within</w:t>
      </w:r>
    </w:p>
    <w:p>
      <w:pPr>
        <w:spacing w:after="0" w:line="46"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24 months after a Change in Control, the provisions of Section 9(a) shall not apply and:</w:t>
      </w:r>
    </w:p>
    <w:p>
      <w:pPr>
        <w:spacing w:after="0" w:line="210" w:lineRule="exact"/>
        <w:rPr>
          <w:rFonts w:ascii="Arial" w:cs="Arial" w:eastAsia="Arial" w:hAnsi="Arial"/>
          <w:sz w:val="16"/>
          <w:szCs w:val="16"/>
          <w:color w:val="auto"/>
        </w:rPr>
      </w:pPr>
    </w:p>
    <w:p>
      <w:pPr>
        <w:ind w:left="2120" w:right="160" w:hanging="694"/>
        <w:spacing w:after="0" w:line="293" w:lineRule="auto"/>
        <w:tabs>
          <w:tab w:leader="none" w:pos="21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164" w:lineRule="exact"/>
        <w:rPr>
          <w:rFonts w:ascii="Arial" w:cs="Arial" w:eastAsia="Arial" w:hAnsi="Arial"/>
          <w:sz w:val="16"/>
          <w:szCs w:val="16"/>
          <w:color w:val="auto"/>
        </w:rPr>
      </w:pPr>
    </w:p>
    <w:p>
      <w:pPr>
        <w:ind w:left="2120" w:right="240" w:hanging="694"/>
        <w:spacing w:after="0" w:line="259" w:lineRule="auto"/>
        <w:tabs>
          <w:tab w:leader="none" w:pos="21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1420" w:right="20" w:hanging="710"/>
        <w:spacing w:after="0" w:line="277"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170" w:lineRule="exact"/>
        <w:rPr>
          <w:rFonts w:ascii="Arial" w:cs="Arial" w:eastAsia="Arial" w:hAnsi="Arial"/>
          <w:sz w:val="18"/>
          <w:szCs w:val="18"/>
          <w:color w:val="auto"/>
        </w:rPr>
      </w:pPr>
    </w:p>
    <w:p>
      <w:pPr>
        <w:ind w:left="720" w:right="200" w:hanging="712"/>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Restricted Stock Unit Agreement</w:t>
      </w:r>
      <w:r>
        <w:rPr>
          <w:rFonts w:ascii="Arial" w:cs="Arial" w:eastAsia="Arial" w:hAnsi="Arial"/>
          <w:sz w:val="16"/>
          <w:szCs w:val="16"/>
          <w:color w:val="auto"/>
        </w:rPr>
        <w:t>. Each Restricted Stock Unit Award granted under this Plan shall be evidenced by an Award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shall contain the terms and conditions set forth herein and shall otherwise be consistent with the provisions of this Plan.</w:t>
      </w:r>
    </w:p>
    <w:p>
      <w:pPr>
        <w:spacing w:after="0" w:line="123" w:lineRule="exact"/>
        <w:rPr>
          <w:rFonts w:ascii="Arial" w:cs="Arial" w:eastAsia="Arial" w:hAnsi="Arial"/>
          <w:sz w:val="16"/>
          <w:szCs w:val="16"/>
          <w:color w:val="auto"/>
        </w:rPr>
      </w:pPr>
    </w:p>
    <w:p>
      <w:pPr>
        <w:ind w:left="720" w:hanging="712"/>
        <w:spacing w:after="0" w:line="255"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193" w:lineRule="exact"/>
        <w:rPr>
          <w:rFonts w:ascii="Arial" w:cs="Arial" w:eastAsia="Arial" w:hAnsi="Arial"/>
          <w:sz w:val="18"/>
          <w:szCs w:val="18"/>
          <w:color w:val="auto"/>
        </w:rPr>
      </w:pPr>
    </w:p>
    <w:p>
      <w:pPr>
        <w:ind w:left="720" w:right="80" w:hanging="712"/>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 or for the benefit of the holder of Restricted Stock Units and delivered to such holder as soon as practicable after such Restricted Stock Units have become payable or settleable in accordance with the terms of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APPRECIATION RIGHTS (SARs).</w:t>
      </w:r>
    </w:p>
    <w:p>
      <w:pPr>
        <w:spacing w:after="0" w:line="229" w:lineRule="exact"/>
        <w:rPr>
          <w:sz w:val="20"/>
          <w:szCs w:val="20"/>
          <w:color w:val="auto"/>
        </w:rPr>
      </w:pPr>
    </w:p>
    <w:p>
      <w:pPr>
        <w:ind w:left="720" w:right="180" w:hanging="712"/>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SARs may be granted to Directors with such terms and conditions as the Administrator shall determine not inconsistent with the provisions of the Plan.</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DEFERRED COMPENSATION.</w:t>
      </w:r>
    </w:p>
    <w:p>
      <w:pPr>
        <w:spacing w:after="0" w:line="229" w:lineRule="exact"/>
        <w:rPr>
          <w:sz w:val="20"/>
          <w:szCs w:val="20"/>
          <w:color w:val="auto"/>
        </w:rPr>
      </w:pPr>
    </w:p>
    <w:p>
      <w:pPr>
        <w:ind w:left="720" w:right="120" w:hanging="712"/>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170" w:lineRule="exact"/>
        <w:rPr>
          <w:rFonts w:ascii="Arial" w:cs="Arial" w:eastAsia="Arial" w:hAnsi="Arial"/>
          <w:sz w:val="18"/>
          <w:szCs w:val="18"/>
          <w:color w:val="auto"/>
        </w:rPr>
      </w:pPr>
    </w:p>
    <w:p>
      <w:pPr>
        <w:ind w:left="720" w:right="300" w:hanging="712"/>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Cash Account or a Stock Unit Account or to any combination thereof.</w:t>
      </w:r>
    </w:p>
    <w:p>
      <w:pPr>
        <w:spacing w:after="0" w:line="170" w:lineRule="exact"/>
        <w:rPr>
          <w:rFonts w:ascii="Arial" w:cs="Arial" w:eastAsia="Arial" w:hAnsi="Arial"/>
          <w:sz w:val="18"/>
          <w:szCs w:val="18"/>
          <w:color w:val="auto"/>
        </w:rPr>
      </w:pPr>
    </w:p>
    <w:p>
      <w:pPr>
        <w:ind w:left="1420" w:hanging="710"/>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20" w:right="80" w:hanging="694"/>
        <w:spacing w:after="0" w:line="277" w:lineRule="auto"/>
        <w:tabs>
          <w:tab w:leader="none" w:pos="2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left="2112" w:right="300" w:hanging="694"/>
        <w:spacing w:after="0" w:line="264" w:lineRule="auto"/>
        <w:tabs>
          <w:tab w:leader="none" w:pos="211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181" w:lineRule="exact"/>
        <w:rPr>
          <w:rFonts w:ascii="Arial" w:cs="Arial" w:eastAsia="Arial" w:hAnsi="Arial"/>
          <w:sz w:val="18"/>
          <w:szCs w:val="18"/>
          <w:color w:val="auto"/>
        </w:rPr>
      </w:pPr>
    </w:p>
    <w:p>
      <w:pPr>
        <w:ind w:left="2112" w:hanging="694"/>
        <w:spacing w:after="0" w:line="255" w:lineRule="auto"/>
        <w:tabs>
          <w:tab w:leader="none" w:pos="211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GSR Committee for each Year.</w:t>
      </w:r>
    </w:p>
    <w:p>
      <w:pPr>
        <w:spacing w:after="0" w:line="193" w:lineRule="exact"/>
        <w:rPr>
          <w:rFonts w:ascii="Arial" w:cs="Arial" w:eastAsia="Arial" w:hAnsi="Arial"/>
          <w:sz w:val="18"/>
          <w:szCs w:val="18"/>
          <w:color w:val="auto"/>
        </w:rPr>
      </w:pPr>
    </w:p>
    <w:p>
      <w:pPr>
        <w:ind w:left="1412" w:hanging="710"/>
        <w:spacing w:after="0"/>
        <w:tabs>
          <w:tab w:leader="none" w:pos="1412"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12" w:right="240" w:hanging="694"/>
        <w:spacing w:after="0" w:line="308" w:lineRule="auto"/>
        <w:tabs>
          <w:tab w:leader="none" w:pos="2112"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146" w:lineRule="exact"/>
        <w:rPr>
          <w:rFonts w:ascii="Arial" w:cs="Arial" w:eastAsia="Arial" w:hAnsi="Arial"/>
          <w:sz w:val="17"/>
          <w:szCs w:val="17"/>
          <w:color w:val="auto"/>
        </w:rPr>
      </w:pPr>
    </w:p>
    <w:p>
      <w:pPr>
        <w:ind w:left="2112" w:right="60" w:hanging="694"/>
        <w:spacing w:after="0" w:line="259" w:lineRule="auto"/>
        <w:tabs>
          <w:tab w:leader="none" w:pos="2112" w:val="left"/>
        </w:tabs>
        <w:numPr>
          <w:ilvl w:val="2"/>
          <w:numId w:val="43"/>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186" w:lineRule="exact"/>
        <w:rPr>
          <w:rFonts w:ascii="Arial" w:cs="Arial" w:eastAsia="Arial" w:hAnsi="Arial"/>
          <w:sz w:val="18"/>
          <w:szCs w:val="18"/>
          <w:color w:val="auto"/>
        </w:rPr>
      </w:pPr>
    </w:p>
    <w:p>
      <w:pPr>
        <w:ind w:left="2112" w:hanging="694"/>
        <w:spacing w:after="0" w:line="302" w:lineRule="auto"/>
        <w:tabs>
          <w:tab w:leader="none" w:pos="2112" w:val="left"/>
        </w:tabs>
        <w:numPr>
          <w:ilvl w:val="2"/>
          <w:numId w:val="43"/>
        </w:numPr>
        <w:rPr>
          <w:rFonts w:ascii="Arial" w:cs="Arial" w:eastAsia="Arial" w:hAnsi="Arial"/>
          <w:sz w:val="16"/>
          <w:szCs w:val="16"/>
          <w:color w:val="auto"/>
        </w:rPr>
      </w:pPr>
      <w:r>
        <w:rPr>
          <w:rFonts w:ascii="Arial" w:cs="Arial" w:eastAsia="Arial" w:hAnsi="Arial"/>
          <w:sz w:val="16"/>
          <w:szCs w:val="16"/>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54" w:lineRule="exact"/>
        <w:rPr>
          <w:rFonts w:ascii="Arial" w:cs="Arial" w:eastAsia="Arial" w:hAnsi="Arial"/>
          <w:sz w:val="16"/>
          <w:szCs w:val="16"/>
          <w:color w:val="auto"/>
        </w:rPr>
      </w:pPr>
    </w:p>
    <w:p>
      <w:pPr>
        <w:ind w:left="712" w:hanging="712"/>
        <w:spacing w:after="0"/>
        <w:tabs>
          <w:tab w:leader="none" w:pos="71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225" w:lineRule="exact"/>
        <w:rPr>
          <w:rFonts w:ascii="Arial" w:cs="Arial" w:eastAsia="Arial" w:hAnsi="Arial"/>
          <w:sz w:val="18"/>
          <w:szCs w:val="18"/>
          <w:color w:val="auto"/>
        </w:rPr>
      </w:pPr>
    </w:p>
    <w:p>
      <w:pPr>
        <w:ind w:left="712" w:hanging="712"/>
        <w:spacing w:after="0"/>
        <w:tabs>
          <w:tab w:leader="none" w:pos="71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8" w:name="page39"/>
    <w:bookmarkEnd w:id="38"/>
    <w:p>
      <w:pPr>
        <w:ind w:left="712" w:right="420" w:hanging="712"/>
        <w:spacing w:after="0" w:line="277"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Time of Election. </w:t>
      </w:r>
      <w:r>
        <w:rPr>
          <w:rFonts w:ascii="Arial" w:cs="Arial" w:eastAsia="Arial" w:hAnsi="Arial"/>
          <w:sz w:val="18"/>
          <w:szCs w:val="18"/>
          <w:color w:val="auto"/>
        </w:rPr>
        <w:t>An election to defer all or any portion of Eligible Compensation for any Year shall be made in writing in the form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Form”) prescribed by the Secretary.</w:t>
      </w:r>
    </w:p>
    <w:p>
      <w:pPr>
        <w:spacing w:after="0" w:line="170" w:lineRule="exact"/>
        <w:rPr>
          <w:rFonts w:ascii="Arial" w:cs="Arial" w:eastAsia="Arial" w:hAnsi="Arial"/>
          <w:sz w:val="18"/>
          <w:szCs w:val="18"/>
          <w:color w:val="auto"/>
        </w:rPr>
      </w:pPr>
    </w:p>
    <w:p>
      <w:pPr>
        <w:ind w:left="1412" w:right="20" w:hanging="710"/>
        <w:spacing w:after="0" w:line="255" w:lineRule="auto"/>
        <w:tabs>
          <w:tab w:leader="none" w:pos="14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193" w:lineRule="exact"/>
        <w:rPr>
          <w:rFonts w:ascii="Arial" w:cs="Arial" w:eastAsia="Arial" w:hAnsi="Arial"/>
          <w:sz w:val="18"/>
          <w:szCs w:val="18"/>
          <w:color w:val="auto"/>
        </w:rPr>
      </w:pPr>
    </w:p>
    <w:p>
      <w:pPr>
        <w:ind w:left="712" w:right="340" w:hanging="712"/>
        <w:spacing w:after="0" w:line="277"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shall be irrevocable</w:t>
      </w:r>
      <w:r>
        <w:rPr>
          <w:rFonts w:ascii="Arial" w:cs="Arial" w:eastAsia="Arial" w:hAnsi="Arial"/>
          <w:sz w:val="18"/>
          <w:szCs w:val="18"/>
          <w:i w:val="1"/>
          <w:iCs w:val="1"/>
          <w:color w:val="auto"/>
        </w:rPr>
        <w:t xml:space="preserve"> </w:t>
      </w:r>
      <w:r>
        <w:rPr>
          <w:rFonts w:ascii="Arial" w:cs="Arial" w:eastAsia="Arial" w:hAnsi="Arial"/>
          <w:sz w:val="18"/>
          <w:szCs w:val="18"/>
          <w:color w:val="auto"/>
        </w:rPr>
        <w:t>upon receipt by the Secretary of a completed Election Form from the Director.</w:t>
      </w:r>
    </w:p>
    <w:p>
      <w:pPr>
        <w:spacing w:after="0" w:line="170" w:lineRule="exact"/>
        <w:rPr>
          <w:rFonts w:ascii="Arial" w:cs="Arial" w:eastAsia="Arial" w:hAnsi="Arial"/>
          <w:sz w:val="18"/>
          <w:szCs w:val="18"/>
          <w:color w:val="auto"/>
        </w:rPr>
      </w:pPr>
    </w:p>
    <w:p>
      <w:pPr>
        <w:ind w:left="712" w:hanging="712"/>
        <w:spacing w:after="0"/>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12" w:hanging="710"/>
        <w:spacing w:after="0"/>
        <w:tabs>
          <w:tab w:leader="none" w:pos="14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225" w:lineRule="exact"/>
        <w:rPr>
          <w:rFonts w:ascii="Arial" w:cs="Arial" w:eastAsia="Arial" w:hAnsi="Arial"/>
          <w:sz w:val="18"/>
          <w:szCs w:val="18"/>
          <w:color w:val="auto"/>
        </w:rPr>
      </w:pPr>
    </w:p>
    <w:p>
      <w:pPr>
        <w:ind w:left="1412" w:right="40" w:hanging="710"/>
        <w:spacing w:after="0" w:line="277" w:lineRule="auto"/>
        <w:tabs>
          <w:tab w:leader="none" w:pos="14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Distributions of units credited to each Participant’s Stock Unit Account shall be made by issuing to such Participant an equivalent number of Shares.</w:t>
      </w:r>
    </w:p>
    <w:p>
      <w:pPr>
        <w:spacing w:after="0" w:line="170" w:lineRule="exact"/>
        <w:rPr>
          <w:rFonts w:ascii="Arial" w:cs="Arial" w:eastAsia="Arial" w:hAnsi="Arial"/>
          <w:sz w:val="18"/>
          <w:szCs w:val="18"/>
          <w:color w:val="auto"/>
        </w:rPr>
      </w:pPr>
    </w:p>
    <w:p>
      <w:pPr>
        <w:ind w:left="1412" w:hanging="710"/>
        <w:spacing w:after="0" w:line="259" w:lineRule="auto"/>
        <w:tabs>
          <w:tab w:leader="none" w:pos="14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186" w:lineRule="exact"/>
        <w:rPr>
          <w:rFonts w:ascii="Arial" w:cs="Arial" w:eastAsia="Arial" w:hAnsi="Arial"/>
          <w:sz w:val="18"/>
          <w:szCs w:val="18"/>
          <w:color w:val="auto"/>
        </w:rPr>
      </w:pPr>
    </w:p>
    <w:p>
      <w:pPr>
        <w:ind w:left="712" w:hanging="712"/>
        <w:spacing w:after="0"/>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225" w:lineRule="exact"/>
        <w:rPr>
          <w:rFonts w:ascii="Arial" w:cs="Arial" w:eastAsia="Arial" w:hAnsi="Arial"/>
          <w:sz w:val="18"/>
          <w:szCs w:val="18"/>
          <w:color w:val="auto"/>
        </w:rPr>
      </w:pPr>
    </w:p>
    <w:p>
      <w:pPr>
        <w:jc w:val="both"/>
        <w:ind w:left="1412" w:right="120" w:hanging="710"/>
        <w:spacing w:after="0" w:line="342" w:lineRule="auto"/>
        <w:tabs>
          <w:tab w:leader="none" w:pos="1412"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Normal Distributions. Except as otherwise hereinafter provided, distributions from a Participant's Deferred Compensation Account shall be made on the first day of the month following such Participant’s Separation from Service on the Board for any reason other than death.</w:t>
      </w:r>
    </w:p>
    <w:p>
      <w:pPr>
        <w:spacing w:after="0" w:line="123" w:lineRule="exact"/>
        <w:rPr>
          <w:rFonts w:ascii="Arial" w:cs="Arial" w:eastAsia="Arial" w:hAnsi="Arial"/>
          <w:sz w:val="16"/>
          <w:szCs w:val="16"/>
          <w:color w:val="auto"/>
        </w:rPr>
      </w:pPr>
    </w:p>
    <w:p>
      <w:pPr>
        <w:ind w:left="1412" w:right="220"/>
        <w:spacing w:after="0" w:line="277" w:lineRule="auto"/>
        <w:rPr>
          <w:rFonts w:ascii="Arial" w:cs="Arial" w:eastAsia="Arial" w:hAnsi="Arial"/>
          <w:sz w:val="16"/>
          <w:szCs w:val="16"/>
          <w:color w:val="auto"/>
        </w:rPr>
      </w:pPr>
      <w:r>
        <w:rPr>
          <w:rFonts w:ascii="Arial" w:cs="Arial" w:eastAsia="Arial" w:hAnsi="Arial"/>
          <w:sz w:val="18"/>
          <w:szCs w:val="18"/>
          <w:color w:val="auto"/>
        </w:rPr>
        <w:t>Notwithstanding the foregoing, no distribution may be made to a Specified Employee before the date that is six months after the date of Separation from Service or, if earlier, the date of death.</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9" w:name="page40"/>
    <w:bookmarkEnd w:id="39"/>
    <w:p>
      <w:pPr>
        <w:ind w:left="710" w:right="140" w:hanging="710"/>
        <w:spacing w:after="0" w:line="279" w:lineRule="auto"/>
        <w:tabs>
          <w:tab w:leader="none" w:pos="71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 in Control. In the event a Participant experiences a Separation From Service (other than for cause) within 24 months after a Change in Control, then, to the extent permitted without additional tax or penalty by Section 409A of the Code, such Participant shall receive a distribution of the balances credited to the Participant’s Account which are attributable to amounts credited to the account. See Section 9(b)(iii) for the effect of such Separation From Service on deferred Restricted Stock Units.</w:t>
      </w:r>
    </w:p>
    <w:p>
      <w:pPr>
        <w:spacing w:after="0" w:line="171" w:lineRule="exact"/>
        <w:rPr>
          <w:rFonts w:ascii="Arial" w:cs="Arial" w:eastAsia="Arial" w:hAnsi="Arial"/>
          <w:sz w:val="17"/>
          <w:szCs w:val="17"/>
          <w:color w:val="auto"/>
        </w:rPr>
      </w:pPr>
    </w:p>
    <w:p>
      <w:pPr>
        <w:ind w:left="710" w:right="60"/>
        <w:spacing w:after="0" w:line="259" w:lineRule="auto"/>
        <w:rPr>
          <w:rFonts w:ascii="Arial" w:cs="Arial" w:eastAsia="Arial" w:hAnsi="Arial"/>
          <w:sz w:val="17"/>
          <w:szCs w:val="17"/>
          <w:color w:val="auto"/>
        </w:rPr>
      </w:pPr>
      <w:r>
        <w:rPr>
          <w:rFonts w:ascii="Arial" w:cs="Arial" w:eastAsia="Arial" w:hAnsi="Arial"/>
          <w:sz w:val="18"/>
          <w:szCs w:val="18"/>
          <w:color w:val="auto"/>
        </w:rPr>
        <w:t>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186" w:lineRule="exact"/>
        <w:rPr>
          <w:rFonts w:ascii="Arial" w:cs="Arial" w:eastAsia="Arial" w:hAnsi="Arial"/>
          <w:sz w:val="17"/>
          <w:szCs w:val="17"/>
          <w:color w:val="auto"/>
        </w:rPr>
      </w:pPr>
    </w:p>
    <w:p>
      <w:pPr>
        <w:jc w:val="both"/>
        <w:ind w:left="710" w:right="80"/>
        <w:spacing w:after="0" w:line="264" w:lineRule="auto"/>
        <w:rPr>
          <w:rFonts w:ascii="Arial" w:cs="Arial" w:eastAsia="Arial" w:hAnsi="Arial"/>
          <w:sz w:val="17"/>
          <w:szCs w:val="17"/>
          <w:color w:val="auto"/>
        </w:rPr>
      </w:pPr>
      <w:r>
        <w:rPr>
          <w:rFonts w:ascii="Arial" w:cs="Arial" w:eastAsia="Arial" w:hAnsi="Arial"/>
          <w:sz w:val="18"/>
          <w:szCs w:val="18"/>
          <w:color w:val="auto"/>
        </w:rPr>
        <w:t>To the extent that distributions of amounts pursuant to this Section 11(h)(ii) are not permitted without additional tax or penalty by Section 409A of the Code, the affected Participant shall receive distribution of the amounts referred to in this Section 11(h)(ii) in accordance with Section 11(h)(i).</w:t>
      </w:r>
    </w:p>
    <w:p>
      <w:pPr>
        <w:spacing w:after="0" w:line="181" w:lineRule="exact"/>
        <w:rPr>
          <w:rFonts w:ascii="Arial" w:cs="Arial" w:eastAsia="Arial" w:hAnsi="Arial"/>
          <w:sz w:val="17"/>
          <w:szCs w:val="17"/>
          <w:color w:val="auto"/>
        </w:rPr>
      </w:pPr>
    </w:p>
    <w:p>
      <w:pPr>
        <w:ind w:left="710" w:right="320" w:hanging="710"/>
        <w:spacing w:after="0" w:line="302" w:lineRule="auto"/>
        <w:tabs>
          <w:tab w:leader="none" w:pos="7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54" w:lineRule="exact"/>
        <w:rPr>
          <w:rFonts w:ascii="Arial" w:cs="Arial" w:eastAsia="Arial" w:hAnsi="Arial"/>
          <w:sz w:val="16"/>
          <w:szCs w:val="16"/>
          <w:color w:val="auto"/>
        </w:rPr>
      </w:pPr>
    </w:p>
    <w:p>
      <w:pPr>
        <w:ind w:left="710"/>
        <w:spacing w:after="0" w:line="273" w:lineRule="auto"/>
        <w:rPr>
          <w:rFonts w:ascii="Arial" w:cs="Arial" w:eastAsia="Arial" w:hAnsi="Arial"/>
          <w:sz w:val="16"/>
          <w:szCs w:val="16"/>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395" w:lineRule="exact"/>
        <w:rPr>
          <w:sz w:val="20"/>
          <w:szCs w:val="20"/>
          <w:color w:val="auto"/>
        </w:rPr>
      </w:pPr>
    </w:p>
    <w:p>
      <w:pPr>
        <w:ind w:left="491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90"/>
          </w:cols>
          <w:pgMar w:left="950" w:top="341" w:right="259" w:bottom="1440" w:gutter="0" w:footer="0" w:header="0"/>
        </w:sectPr>
      </w:pPr>
    </w:p>
    <w:bookmarkStart w:id="40" w:name="page41"/>
    <w:bookmarkEnd w:id="40"/>
    <w:p>
      <w:pPr>
        <w:ind w:left="720" w:hanging="712"/>
        <w:spacing w:after="0" w:line="297"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Notwithstanding the foregoing, in the event of the death of a Participant prior to receipt by such Participant of the full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58" w:lineRule="exact"/>
        <w:rPr>
          <w:rFonts w:ascii="Arial" w:cs="Arial" w:eastAsia="Arial" w:hAnsi="Arial"/>
          <w:sz w:val="16"/>
          <w:szCs w:val="16"/>
          <w:color w:val="auto"/>
        </w:rPr>
      </w:pPr>
    </w:p>
    <w:p>
      <w:pPr>
        <w:ind w:left="720" w:hanging="712"/>
        <w:spacing w:after="0" w:line="276"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Certain Rights Reserved by the Company</w:t>
      </w:r>
      <w:r>
        <w:rPr>
          <w:rFonts w:ascii="Arial" w:cs="Arial" w:eastAsia="Arial" w:hAnsi="Arial"/>
          <w:sz w:val="17"/>
          <w:szCs w:val="17"/>
          <w:color w:val="auto"/>
        </w:rPr>
        <w:t>. In the event that, pursuant to Section 13, the Company suspends, modifies or terminates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172" w:lineRule="exact"/>
        <w:rPr>
          <w:rFonts w:ascii="Arial" w:cs="Arial" w:eastAsia="Arial" w:hAnsi="Arial"/>
          <w:sz w:val="17"/>
          <w:szCs w:val="17"/>
          <w:color w:val="auto"/>
        </w:rPr>
      </w:pPr>
    </w:p>
    <w:p>
      <w:pPr>
        <w:ind w:left="720" w:right="120" w:hanging="712"/>
        <w:spacing w:after="0" w:line="25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STOCK-BASED AWARDS.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SECTION 13. 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25" w:lineRule="exact"/>
        <w:rPr>
          <w:sz w:val="20"/>
          <w:szCs w:val="20"/>
          <w:color w:val="auto"/>
        </w:rPr>
      </w:pPr>
    </w:p>
    <w:p>
      <w:pPr>
        <w:ind w:left="720" w:hanging="712"/>
        <w:spacing w:after="0" w:line="288"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Board may amend, alter, suspend, discontinue or terminate the Plan, including, without limitation, the number of shares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Awards granted pursuant to Sections 6, 7 and 10,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w:t>
      </w:r>
    </w:p>
    <w:p>
      <w:pPr>
        <w:ind w:left="720" w:right="60" w:hanging="10"/>
        <w:spacing w:after="0" w:line="281" w:lineRule="auto"/>
        <w:tabs>
          <w:tab w:leader="none" w:pos="935"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stockholder approval if such approval is necessary to comply with the listing requirements of The NASDAQ Stock Market or (ii) the consent of the affected Participants, if such action would adversely affect the rights of such Participants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or increase the total value of Awards that may be granted in any given Year, in each case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w:t>
      </w:r>
    </w:p>
    <w:p>
      <w:pPr>
        <w:spacing w:after="0" w:line="6" w:lineRule="exact"/>
        <w:rPr>
          <w:rFonts w:ascii="Arial" w:cs="Arial" w:eastAsia="Arial" w:hAnsi="Arial"/>
          <w:sz w:val="16"/>
          <w:szCs w:val="16"/>
          <w:color w:val="auto"/>
        </w:rPr>
      </w:pPr>
    </w:p>
    <w:p>
      <w:pPr>
        <w:ind w:left="720" w:right="40" w:hanging="10"/>
        <w:spacing w:after="0" w:line="253" w:lineRule="auto"/>
        <w:tabs>
          <w:tab w:leader="none" w:pos="9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191" w:lineRule="exact"/>
        <w:rPr>
          <w:rFonts w:ascii="Arial" w:cs="Arial" w:eastAsia="Arial" w:hAnsi="Arial"/>
          <w:sz w:val="18"/>
          <w:szCs w:val="18"/>
          <w:color w:val="auto"/>
        </w:rPr>
      </w:pPr>
    </w:p>
    <w:p>
      <w:pPr>
        <w:ind w:left="720" w:right="860" w:hanging="712"/>
        <w:spacing w:after="0" w:line="342"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Correction of Defects, Omissions and Inconsistencies</w:t>
      </w:r>
      <w:r>
        <w:rPr>
          <w:rFonts w:ascii="Arial" w:cs="Arial" w:eastAsia="Arial" w:hAnsi="Arial"/>
          <w:sz w:val="16"/>
          <w:szCs w:val="16"/>
          <w:color w:val="auto"/>
        </w:rPr>
        <w:t>. The Administrator may correct any defect, supply any omission, or reconcile any</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inconsistency in the Plan or any Award in the manner and to the extent it shall deem desirable to carry the Plan into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229" w:lineRule="exact"/>
        <w:rPr>
          <w:sz w:val="20"/>
          <w:szCs w:val="20"/>
          <w:color w:val="auto"/>
        </w:rPr>
      </w:pPr>
    </w:p>
    <w:p>
      <w:pPr>
        <w:ind w:left="720" w:right="160" w:hanging="712"/>
        <w:spacing w:after="0" w:line="26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Company in respect of any Shares issuable under the Plan in connection with any Award or Account, in whole or in part, unless and until certificates or other indicia of ownership of such shares shall have been issued.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 w:name="page43"/>
    <w:bookmarkEnd w:id="42"/>
    <w:p>
      <w:pPr>
        <w:jc w:val="both"/>
        <w:ind w:left="712" w:right="80" w:hanging="712"/>
        <w:spacing w:after="0" w:line="286" w:lineRule="auto"/>
        <w:tabs>
          <w:tab w:leader="none" w:pos="71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Limits of Transfer of Awards. </w:t>
      </w:r>
      <w:r>
        <w:rPr>
          <w:rFonts w:ascii="Arial" w:cs="Arial" w:eastAsia="Arial" w:hAnsi="Arial"/>
          <w:sz w:val="17"/>
          <w:szCs w:val="17"/>
          <w:color w:val="auto"/>
        </w:rPr>
        <w:t>No Award and no right under any such Award, shall be assignable, alienable, saleable or transferable by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165" w:lineRule="exact"/>
        <w:rPr>
          <w:rFonts w:ascii="Arial" w:cs="Arial" w:eastAsia="Arial" w:hAnsi="Arial"/>
          <w:sz w:val="17"/>
          <w:szCs w:val="17"/>
          <w:color w:val="auto"/>
        </w:rPr>
      </w:pPr>
    </w:p>
    <w:p>
      <w:pPr>
        <w:ind w:left="712" w:right="240" w:hanging="712"/>
        <w:spacing w:after="0" w:line="342" w:lineRule="auto"/>
        <w:tabs>
          <w:tab w:leader="none" w:pos="71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No Limit on Other Compensation Arrangements</w:t>
      </w:r>
      <w:r>
        <w:rPr>
          <w:rFonts w:ascii="Arial" w:cs="Arial" w:eastAsia="Arial" w:hAnsi="Arial"/>
          <w:sz w:val="16"/>
          <w:szCs w:val="16"/>
          <w:color w:val="auto"/>
        </w:rPr>
        <w:t>. Nothing contained in the Plan shall prevent the Company from adopting or continuing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other or additional compensation arrangements, and such arrangements may be either generally applicable or applicable only in specific cases.</w:t>
      </w:r>
    </w:p>
    <w:p>
      <w:pPr>
        <w:spacing w:after="0" w:line="123" w:lineRule="exact"/>
        <w:rPr>
          <w:rFonts w:ascii="Arial" w:cs="Arial" w:eastAsia="Arial" w:hAnsi="Arial"/>
          <w:sz w:val="16"/>
          <w:szCs w:val="16"/>
          <w:color w:val="auto"/>
        </w:rPr>
      </w:pPr>
    </w:p>
    <w:p>
      <w:pPr>
        <w:ind w:left="712" w:right="760" w:hanging="712"/>
        <w:spacing w:after="0" w:line="308" w:lineRule="auto"/>
        <w:tabs>
          <w:tab w:leader="none" w:pos="71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The validity, construction, and effect of the Plan and any rules and regulations relating to the Plan shall be determined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laws of the State of Delaware without giving effect to the principles of conflict of laws thereof.</w:t>
      </w:r>
    </w:p>
    <w:p>
      <w:pPr>
        <w:spacing w:after="0" w:line="146" w:lineRule="exact"/>
        <w:rPr>
          <w:rFonts w:ascii="Arial" w:cs="Arial" w:eastAsia="Arial" w:hAnsi="Arial"/>
          <w:sz w:val="17"/>
          <w:szCs w:val="17"/>
          <w:color w:val="auto"/>
        </w:rPr>
      </w:pPr>
    </w:p>
    <w:p>
      <w:pPr>
        <w:ind w:left="712" w:right="100" w:hanging="712"/>
        <w:spacing w:after="0" w:line="297" w:lineRule="auto"/>
        <w:tabs>
          <w:tab w:leader="none" w:pos="71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58" w:lineRule="exact"/>
        <w:rPr>
          <w:rFonts w:ascii="Arial" w:cs="Arial" w:eastAsia="Arial" w:hAnsi="Arial"/>
          <w:sz w:val="16"/>
          <w:szCs w:val="16"/>
          <w:color w:val="auto"/>
        </w:rPr>
      </w:pPr>
    </w:p>
    <w:p>
      <w:pPr>
        <w:ind w:left="712" w:hanging="712"/>
        <w:spacing w:after="0" w:line="259" w:lineRule="auto"/>
        <w:tabs>
          <w:tab w:leader="none" w:pos="71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186" w:lineRule="exact"/>
        <w:rPr>
          <w:rFonts w:ascii="Arial" w:cs="Arial" w:eastAsia="Arial" w:hAnsi="Arial"/>
          <w:sz w:val="18"/>
          <w:szCs w:val="18"/>
          <w:color w:val="auto"/>
        </w:rPr>
      </w:pPr>
    </w:p>
    <w:p>
      <w:pPr>
        <w:ind w:left="712" w:right="60" w:hanging="712"/>
        <w:spacing w:after="0" w:line="259" w:lineRule="auto"/>
        <w:tabs>
          <w:tab w:leader="none" w:pos="71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186" w:lineRule="exact"/>
        <w:rPr>
          <w:rFonts w:ascii="Arial" w:cs="Arial" w:eastAsia="Arial" w:hAnsi="Arial"/>
          <w:sz w:val="18"/>
          <w:szCs w:val="18"/>
          <w:color w:val="auto"/>
        </w:rPr>
      </w:pPr>
    </w:p>
    <w:p>
      <w:pPr>
        <w:ind w:left="712" w:right="120" w:hanging="712"/>
        <w:spacing w:after="0" w:line="257" w:lineRule="auto"/>
        <w:tabs>
          <w:tab w:leader="none" w:pos="71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3" w:name="page44"/>
    <w:bookmarkEnd w:id="43"/>
    <w:p>
      <w:pPr>
        <w:ind w:left="720" w:hanging="712"/>
        <w:spacing w:after="0" w:line="259"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186" w:lineRule="exact"/>
        <w:rPr>
          <w:rFonts w:ascii="Arial" w:cs="Arial" w:eastAsia="Arial" w:hAnsi="Arial"/>
          <w:sz w:val="18"/>
          <w:szCs w:val="18"/>
          <w:color w:val="auto"/>
        </w:rPr>
      </w:pPr>
    </w:p>
    <w:p>
      <w:pPr>
        <w:ind w:left="720" w:right="740" w:hanging="712"/>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under the Plan will comply with Section 409A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EFFECTIVE DATE OF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12 to amend, alter, adjust, suspend, discontinue, or terminate any such Award or Account, or to waive any conditions or rights thereunder, shall extend beyond such date.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341"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40" w:hanging="5"/>
        <w:spacing w:after="0" w:line="342" w:lineRule="auto"/>
        <w:tabs>
          <w:tab w:leader="none" w:pos="7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2018,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2018</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40" w:hanging="5"/>
        <w:spacing w:after="0" w:line="342" w:lineRule="auto"/>
        <w:tabs>
          <w:tab w:leader="none" w:pos="7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2018,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2018</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5"/>
    </w:lvl>
  </w:abstractNum>
  <w:abstractNum w:abstractNumId="10">
    <w:nsid w:val="614FD4A1"/>
    <w:multiLevelType w:val="hybridMultilevel"/>
    <w:lvl w:ilvl="0">
      <w:lvlJc w:val="left"/>
      <w:lvlText w:val="%1."/>
      <w:numFmt w:val="decimal"/>
      <w:start w:val="6"/>
    </w:lvl>
  </w:abstractNum>
  <w:abstractNum w:abstractNumId="11">
    <w:nsid w:val="419AC241"/>
    <w:multiLevelType w:val="hybridMultilevel"/>
    <w:lvl w:ilvl="0">
      <w:lvlJc w:val="left"/>
      <w:lvlText w:val="%1."/>
      <w:numFmt w:val="decimal"/>
      <w:start w:val="7"/>
    </w:lvl>
  </w:abstractNum>
  <w:abstractNum w:abstractNumId="12">
    <w:nsid w:val="5577F8E1"/>
    <w:multiLevelType w:val="hybridMultilevel"/>
    <w:lvl w:ilvl="0">
      <w:lvlJc w:val="left"/>
      <w:lvlText w:val="%1."/>
      <w:numFmt w:val="decimal"/>
      <w:start w:val="8"/>
    </w:lvl>
  </w:abstractNum>
  <w:abstractNum w:abstractNumId="13">
    <w:nsid w:val="440BADFC"/>
    <w:multiLevelType w:val="hybridMultilevel"/>
    <w:lvl w:ilvl="0">
      <w:lvlJc w:val="left"/>
      <w:lvlText w:val="%1."/>
      <w:numFmt w:val="decimal"/>
      <w:start w:val="9"/>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o"/>
      <w:numFmt w:val="bullet"/>
      <w:start w:val="1"/>
    </w:lvl>
  </w:abstractNum>
  <w:abstractNum w:abstractNumId="19">
    <w:nsid w:val="2463B9EA"/>
    <w:multiLevelType w:val="hybridMultilevel"/>
    <w:lvl w:ilvl="0">
      <w:lvlJc w:val="left"/>
      <w:lvlText w:val="o"/>
      <w:numFmt w:val="bullet"/>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lowerLetter"/>
      <w:start w:val="1"/>
    </w:lvl>
    <w:lvl w:ilvl="1">
      <w:lvlJc w:val="left"/>
      <w:lvlText w:val="(%2)"/>
      <w:numFmt w:val="lowerRoman"/>
      <w:start w:val="1"/>
    </w:lvl>
  </w:abstractNum>
  <w:abstractNum w:abstractNumId="24">
    <w:nsid w:val="153EA43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5">
    <w:nsid w:val="3855585C"/>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6">
    <w:nsid w:val="70A64E2A"/>
    <w:multiLevelType w:val="hybridMultilevel"/>
    <w:lvl w:ilvl="0">
      <w:lvlJc w:val="left"/>
      <w:lvlText w:val="(%1)"/>
      <w:numFmt w:val="lowerLetter"/>
      <w:start w:val="10"/>
    </w:lvl>
  </w:abstractNum>
  <w:abstractNum w:abstractNumId="27">
    <w:nsid w:val="6A2342EC"/>
    <w:multiLevelType w:val="hybridMultilevel"/>
    <w:lvl w:ilvl="0">
      <w:lvlJc w:val="left"/>
      <w:lvlText w:val="(%1)"/>
      <w:numFmt w:val="lowerLetter"/>
      <w:start w:val="23"/>
    </w:lvl>
    <w:lvl w:ilvl="1">
      <w:lvlJc w:val="left"/>
      <w:lvlText w:val="(%2)"/>
      <w:numFmt w:val="lowerRoman"/>
      <w:start w:val="1"/>
    </w:lvl>
  </w:abstractNum>
  <w:abstractNum w:abstractNumId="28">
    <w:nsid w:val="2A487CB0"/>
    <w:multiLevelType w:val="hybridMultilevel"/>
    <w:lvl w:ilvl="0">
      <w:lvlJc w:val="left"/>
      <w:lvlText w:val="%1"/>
      <w:numFmt w:val="lowerLetter"/>
      <w:start w:val="1"/>
    </w:lvl>
    <w:lvl w:ilvl="1">
      <w:lvlJc w:val="left"/>
      <w:lvlText w:val="(%2)"/>
      <w:numFmt w:val="lowerLetter"/>
      <w:start w:val="35"/>
    </w:lvl>
  </w:abstractNum>
  <w:abstractNum w:abstractNumId="29">
    <w:nsid w:val="1D4ED43B"/>
    <w:multiLevelType w:val="hybridMultilevel"/>
    <w:lvl w:ilvl="0">
      <w:lvlJc w:val="left"/>
      <w:lvlText w:val="(%1)"/>
      <w:numFmt w:val="lowerLetter"/>
      <w:start w:val="26"/>
    </w:lvl>
    <w:lvl w:ilvl="1">
      <w:lvlJc w:val="left"/>
      <w:lvlText w:val="%2"/>
      <w:numFmt w:val="lowerLetter"/>
      <w:start w:val="1"/>
    </w:lvl>
  </w:abstractNum>
  <w:abstractNum w:abstractNumId="30">
    <w:nsid w:val="725A06FB"/>
    <w:multiLevelType w:val="hybridMultilevel"/>
    <w:lvl w:ilvl="0">
      <w:lvlJc w:val="left"/>
      <w:lvlText w:val="(%1)"/>
      <w:numFmt w:val="lowerLetter"/>
      <w:start w:val="27"/>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2"/>
    </w:lvl>
    <w:lvl w:ilvl="1">
      <w:lvlJc w:val="left"/>
      <w:lvlText w:val="(%2)"/>
      <w:numFmt w:val="lowerRoman"/>
      <w:start w:val="1"/>
    </w:lvl>
  </w:abstractNum>
  <w:abstractNum w:abstractNumId="36">
    <w:nsid w:val="6DE91B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
    <w:nsid w:val="38437FDB"/>
    <w:multiLevelType w:val="hybridMultilevel"/>
    <w:lvl w:ilvl="0">
      <w:lvlJc w:val="left"/>
      <w:lvlText w:val="%1"/>
      <w:numFmt w:val="lowerLetter"/>
      <w:start w:val="1"/>
    </w:lvl>
    <w:lvl w:ilvl="1">
      <w:lvlJc w:val="left"/>
      <w:lvlText w:val="(%2)"/>
      <w:numFmt w:val="lowerRoman"/>
      <w:start w:val="4"/>
    </w:lvl>
  </w:abstractNum>
  <w:abstractNum w:abstractNumId="38">
    <w:nsid w:val="7644A45C"/>
    <w:multiLevelType w:val="hybridMultilevel"/>
    <w:lvl w:ilvl="0">
      <w:lvlJc w:val="left"/>
      <w:lvlText w:val="(%1)"/>
      <w:numFmt w:val="lowerLetter"/>
      <w:start w:val="3"/>
    </w:lvl>
    <w:lvl w:ilvl="1">
      <w:lvlJc w:val="left"/>
      <w:lvlText w:val="%2"/>
      <w:numFmt w:val="lowerRoman"/>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579478F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2">
    <w:nsid w:val="749ABB4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3">
    <w:nsid w:val="3DC240F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44">
    <w:nsid w:val="1BA026FA"/>
    <w:multiLevelType w:val="hybridMultilevel"/>
    <w:lvl w:ilvl="0">
      <w:lvlJc w:val="left"/>
      <w:lvlText w:val="(%1)"/>
      <w:numFmt w:val="lowerLetter"/>
      <w:start w:val="5"/>
    </w:lvl>
    <w:lvl w:ilvl="1">
      <w:lvlJc w:val="left"/>
      <w:lvlText w:val="(%2)"/>
      <w:numFmt w:val="lowerRoman"/>
      <w:start w:val="1"/>
    </w:lvl>
  </w:abstractNum>
  <w:abstractNum w:abstractNumId="45">
    <w:nsid w:val="79A1DEAA"/>
    <w:multiLevelType w:val="hybridMultilevel"/>
    <w:lvl w:ilvl="0">
      <w:lvlJc w:val="left"/>
      <w:lvlText w:val="(%1)"/>
      <w:numFmt w:val="lowerRoman"/>
      <w:start w:val="2"/>
    </w:lvl>
  </w:abstractNum>
  <w:abstractNum w:abstractNumId="46">
    <w:nsid w:val="75C6C33A"/>
    <w:multiLevelType w:val="hybridMultilevel"/>
    <w:lvl w:ilvl="0">
      <w:lvlJc w:val="left"/>
      <w:lvlText w:val="(%1)"/>
      <w:numFmt w:val="lowerLetter"/>
      <w:start w:val="9"/>
    </w:lvl>
  </w:abstractNum>
  <w:abstractNum w:abstractNumId="47">
    <w:nsid w:val="12E685FB"/>
    <w:multiLevelType w:val="hybridMultilevel"/>
    <w:lvl w:ilvl="0">
      <w:lvlJc w:val="left"/>
      <w:lvlText w:val="(%1)"/>
      <w:numFmt w:val="lowerLetter"/>
      <w:start w:val="1"/>
    </w:lvl>
    <w:lvl w:ilvl="1">
      <w:lvlJc w:val="left"/>
      <w:lvlText w:val="(%2)"/>
      <w:numFmt w:val="lowerLetter"/>
      <w:start w:val="9"/>
    </w:lvl>
  </w:abstractNum>
  <w:abstractNum w:abstractNumId="48">
    <w:nsid w:val="70C6A529"/>
    <w:multiLevelType w:val="hybridMultilevel"/>
    <w:lvl w:ilvl="0">
      <w:lvlJc w:val="left"/>
      <w:lvlText w:val="%1"/>
      <w:numFmt w:val="lowerLetter"/>
      <w:start w:val="1"/>
    </w:lvl>
    <w:lvl w:ilvl="1">
      <w:lvlJc w:val="left"/>
      <w:lvlText w:val="(%2)"/>
      <w:numFmt w:val="lowerLetter"/>
      <w:start w:val="26"/>
    </w:lvl>
  </w:abstractNum>
  <w:abstractNum w:abstractNumId="49">
    <w:nsid w:val="520EEDD1"/>
    <w:multiLevelType w:val="hybridMultilevel"/>
    <w:lvl w:ilvl="0">
      <w:lvlJc w:val="left"/>
      <w:lvlText w:val="(%1)"/>
      <w:numFmt w:val="lowerLetter"/>
      <w:start w:val="2"/>
    </w:lvl>
    <w:lvl w:ilvl="1">
      <w:lvlJc w:val="left"/>
      <w:lvlText w:val="%2"/>
      <w:numFmt w:val="lowerLetter"/>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lowerLetter"/>
      <w:start w:val="9"/>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39" Type="http://schemas.openxmlformats.org/officeDocument/2006/relationships/hyperlink" Target="http://www.sec.gov/Archives/edgar/data/97476/000009747615000003/txn-12312014xexhibit3a.htm" TargetMode="External"/><Relationship Id="rId40" Type="http://schemas.openxmlformats.org/officeDocument/2006/relationships/hyperlink" Target="http://www.sec.gov/Archives/edgar/data/97476/000156459016030135/txn-ex3_6.htm" TargetMode="External"/><Relationship Id="rId42" Type="http://schemas.openxmlformats.org/officeDocument/2006/relationships/hyperlink" Target="http://www.sec.gov/Archives/edgar/data/97476/000119312518154669/d579571dex41.htm" TargetMode="External"/><Relationship Id="rId43" Type="http://schemas.openxmlformats.org/officeDocument/2006/relationships/hyperlink" Target="http://www.sec.gov/Archives/edgar/data/97476/000119312518187735/d60325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2019-12-28T20:50:26Z</dcterms:created>
  <dcterms:modified xsi:type="dcterms:W3CDTF">2019-12-28T20:50:26Z</dcterms:modified>
</cp:coreProperties>
</file>