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141605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169545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ind w:left="520" w:right="42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62" w:lineRule="exact"/>
        <w:rPr>
          <w:sz w:val="24"/>
          <w:szCs w:val="24"/>
          <w:color w:val="auto"/>
        </w:rPr>
      </w:pPr>
    </w:p>
    <w:p>
      <w:pPr>
        <w:ind w:left="520" w:right="40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8"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163195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142240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42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1"/>
              </w:rPr>
              <w:t>Delaware</w:t>
            </w:r>
          </w:p>
        </w:tc>
        <w:tc>
          <w:tcPr>
            <w:tcW w:w="3840" w:type="dxa"/>
            <w:vAlign w:val="bottom"/>
          </w:tcPr>
          <w:p>
            <w:pPr>
              <w:jc w:val="right"/>
              <w:ind w:right="579"/>
              <w:spacing w:after="0"/>
              <w:rPr>
                <w:sz w:val="20"/>
                <w:szCs w:val="20"/>
                <w:color w:val="auto"/>
              </w:rPr>
            </w:pPr>
            <w:r>
              <w:rPr>
                <w:rFonts w:ascii="Arial" w:cs="Arial" w:eastAsia="Arial" w:hAnsi="Arial"/>
                <w:sz w:val="18"/>
                <w:szCs w:val="18"/>
                <w:b w:val="1"/>
                <w:bCs w:val="1"/>
                <w:color w:val="auto"/>
              </w:rPr>
              <w:t>75-0289970</w:t>
            </w:r>
          </w:p>
        </w:tc>
      </w:tr>
      <w:tr>
        <w:trPr>
          <w:trHeight w:val="186"/>
        </w:trPr>
        <w:tc>
          <w:tcPr>
            <w:tcW w:w="4280" w:type="dxa"/>
            <w:vAlign w:val="bottom"/>
          </w:tcPr>
          <w:p>
            <w:pPr>
              <w:jc w:val="center"/>
              <w:ind w:right="1579"/>
              <w:spacing w:after="0"/>
              <w:rPr>
                <w:sz w:val="20"/>
                <w:szCs w:val="20"/>
                <w:color w:val="auto"/>
              </w:rPr>
            </w:pPr>
            <w:r>
              <w:rPr>
                <w:rFonts w:ascii="Arial" w:cs="Arial" w:eastAsia="Arial" w:hAnsi="Arial"/>
                <w:sz w:val="14"/>
                <w:szCs w:val="14"/>
                <w:b w:val="1"/>
                <w:bCs w:val="1"/>
                <w:color w:val="auto"/>
                <w:w w:val="94"/>
              </w:rPr>
              <w:t>(State of Incorporation)</w:t>
            </w:r>
          </w:p>
        </w:tc>
        <w:tc>
          <w:tcPr>
            <w:tcW w:w="3840" w:type="dxa"/>
            <w:vAlign w:val="bottom"/>
          </w:tcPr>
          <w:p>
            <w:pPr>
              <w:jc w:val="center"/>
              <w:ind w:left="155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81"/>
        </w:trPr>
        <w:tc>
          <w:tcPr>
            <w:tcW w:w="4280" w:type="dxa"/>
            <w:vAlign w:val="bottom"/>
          </w:tcPr>
          <w:p>
            <w:pPr>
              <w:jc w:val="center"/>
              <w:ind w:right="1579"/>
              <w:spacing w:after="0"/>
              <w:rPr>
                <w:sz w:val="20"/>
                <w:szCs w:val="20"/>
                <w:color w:val="auto"/>
              </w:rPr>
            </w:pPr>
            <w:r>
              <w:rPr>
                <w:rFonts w:ascii="Arial" w:cs="Arial" w:eastAsia="Arial" w:hAnsi="Arial"/>
                <w:sz w:val="18"/>
                <w:szCs w:val="18"/>
                <w:b w:val="1"/>
                <w:bCs w:val="1"/>
                <w:color w:val="auto"/>
                <w:w w:val="90"/>
              </w:rPr>
              <w:t>12500 TI Boulevard, Dallas, Texas</w:t>
            </w:r>
          </w:p>
        </w:tc>
        <w:tc>
          <w:tcPr>
            <w:tcW w:w="3840" w:type="dxa"/>
            <w:vAlign w:val="bottom"/>
          </w:tcPr>
          <w:p>
            <w:pPr>
              <w:jc w:val="right"/>
              <w:ind w:right="799"/>
              <w:spacing w:after="0"/>
              <w:rPr>
                <w:sz w:val="20"/>
                <w:szCs w:val="20"/>
                <w:color w:val="auto"/>
              </w:rPr>
            </w:pPr>
            <w:r>
              <w:rPr>
                <w:rFonts w:ascii="Arial" w:cs="Arial" w:eastAsia="Arial" w:hAnsi="Arial"/>
                <w:sz w:val="18"/>
                <w:szCs w:val="18"/>
                <w:b w:val="1"/>
                <w:bCs w:val="1"/>
                <w:color w:val="auto"/>
              </w:rPr>
              <w:t>75243</w:t>
            </w:r>
          </w:p>
        </w:tc>
      </w:tr>
      <w:tr>
        <w:trPr>
          <w:trHeight w:val="186"/>
        </w:trPr>
        <w:tc>
          <w:tcPr>
            <w:tcW w:w="4280" w:type="dxa"/>
            <w:vAlign w:val="bottom"/>
          </w:tcPr>
          <w:p>
            <w:pPr>
              <w:jc w:val="center"/>
              <w:ind w:right="15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40" w:type="dxa"/>
            <w:vAlign w:val="bottom"/>
          </w:tcPr>
          <w:p>
            <w:pPr>
              <w:jc w:val="center"/>
              <w:ind w:left="1579"/>
              <w:spacing w:after="0"/>
              <w:rPr>
                <w:sz w:val="20"/>
                <w:szCs w:val="20"/>
                <w:color w:val="auto"/>
              </w:rPr>
            </w:pPr>
            <w:r>
              <w:rPr>
                <w:rFonts w:ascii="Arial" w:cs="Arial" w:eastAsia="Arial" w:hAnsi="Arial"/>
                <w:sz w:val="14"/>
                <w:szCs w:val="14"/>
                <w:b w:val="1"/>
                <w:bCs w:val="1"/>
                <w:color w:val="auto"/>
                <w:w w:val="95"/>
              </w:rPr>
              <w:t>(Zip Code)</w:t>
            </w:r>
          </w:p>
        </w:tc>
      </w:tr>
    </w:tbl>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152400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1" w:lineRule="exact"/>
        <w:rPr>
          <w:sz w:val="24"/>
          <w:szCs w:val="24"/>
          <w:color w:val="auto"/>
        </w:rPr>
      </w:pPr>
    </w:p>
    <w:p>
      <w:pPr>
        <w:ind w:right="4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84"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84" w:lineRule="exact"/>
        <w:rPr>
          <w:sz w:val="24"/>
          <w:szCs w:val="24"/>
          <w:color w:val="auto"/>
        </w:rPr>
      </w:pPr>
    </w:p>
    <w:p>
      <w:pPr>
        <w:ind w:right="60"/>
        <w:spacing w:after="0" w:line="26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40"/>
          </w:cols>
          <w:pgMar w:left="240" w:top="720" w:right="219" w:bottom="1440" w:gutter="0" w:footer="0" w:header="0"/>
        </w:sectPr>
      </w:pP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4400" w:type="dxa"/>
            <w:vAlign w:val="bottom"/>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3560" w:type="dxa"/>
            <w:vAlign w:val="bottom"/>
          </w:tcPr>
          <w:p>
            <w:pPr>
              <w:ind w:left="760"/>
              <w:spacing w:after="0"/>
              <w:rPr>
                <w:sz w:val="20"/>
                <w:szCs w:val="20"/>
                <w:color w:val="auto"/>
              </w:rPr>
            </w:pPr>
            <w:r>
              <w:rPr>
                <w:rFonts w:ascii="Arial" w:cs="Arial" w:eastAsia="Arial" w:hAnsi="Arial"/>
                <w:sz w:val="18"/>
                <w:szCs w:val="18"/>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5"/>
        </w:trPr>
        <w:tc>
          <w:tcPr>
            <w:tcW w:w="4400" w:type="dxa"/>
            <w:vAlign w:val="bottom"/>
          </w:tcPr>
          <w:p>
            <w:pPr>
              <w:ind w:left="20"/>
              <w:spacing w:after="0" w:line="207"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8"/>
                <w:szCs w:val="18"/>
                <w:color w:val="auto"/>
              </w:rPr>
              <w:t xml:space="preserve"> (Do not check if a smaller reporting company)</w:t>
            </w:r>
          </w:p>
        </w:tc>
        <w:tc>
          <w:tcPr>
            <w:tcW w:w="3560" w:type="dxa"/>
            <w:vAlign w:val="bottom"/>
          </w:tcPr>
          <w:p>
            <w:pPr>
              <w:ind w:left="760"/>
              <w:spacing w:after="0"/>
              <w:rPr>
                <w:sz w:val="20"/>
                <w:szCs w:val="20"/>
                <w:color w:val="auto"/>
              </w:rPr>
            </w:pPr>
            <w:r>
              <w:rPr>
                <w:rFonts w:ascii="Arial" w:cs="Arial" w:eastAsia="Arial" w:hAnsi="Arial"/>
                <w:sz w:val="18"/>
                <w:szCs w:val="18"/>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44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0" w:lineRule="exact"/>
        <w:rPr>
          <w:sz w:val="24"/>
          <w:szCs w:val="24"/>
          <w:color w:val="auto"/>
        </w:rPr>
      </w:pPr>
    </w:p>
    <w:p>
      <w:pPr>
        <w:sectPr>
          <w:pgSz w:w="11900" w:h="16838" w:orient="portrait"/>
          <w:cols w:equalWidth="0" w:num="2">
            <w:col w:w="1980" w:space="480"/>
            <w:col w:w="8980"/>
          </w:cols>
          <w:pgMar w:left="240" w:top="720" w:right="219" w:bottom="1440" w:gutter="0" w:footer="0" w:header="0"/>
          <w:type w:val="continuous"/>
        </w:sectPr>
      </w:pP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11180" w:type="dxa"/>
            <w:vAlign w:val="bottom"/>
          </w:tcPr>
          <w:p>
            <w:pPr>
              <w:ind w:left="40"/>
              <w:spacing w:after="0"/>
              <w:rPr>
                <w:sz w:val="20"/>
                <w:szCs w:val="20"/>
                <w:color w:val="auto"/>
              </w:rPr>
            </w:pPr>
            <w:r>
              <w:rPr>
                <w:rFonts w:ascii="Arial" w:cs="Arial" w:eastAsia="Arial" w:hAnsi="Arial"/>
                <w:sz w:val="18"/>
                <w:szCs w:val="18"/>
                <w:color w:val="auto"/>
                <w:w w:val="91"/>
              </w:rPr>
              <w:t>If an emerging growth company, indicate by check mark if the registrant has elected not to use the extended transition period for complying with any new</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11180" w:type="dxa"/>
            <w:vAlign w:val="bottom"/>
          </w:tcPr>
          <w:p>
            <w:pPr>
              <w:ind w:left="40"/>
              <w:spacing w:after="0"/>
              <w:rPr>
                <w:sz w:val="20"/>
                <w:szCs w:val="20"/>
                <w:color w:val="auto"/>
              </w:rPr>
            </w:pPr>
            <w:r>
              <w:rPr>
                <w:rFonts w:ascii="Arial" w:cs="Arial" w:eastAsia="Arial" w:hAnsi="Arial"/>
                <w:sz w:val="18"/>
                <w:szCs w:val="18"/>
                <w:color w:val="auto"/>
              </w:rPr>
              <w:t>or revised financial accounting standards provided pursuant to Section 13(a) of the Exchange Act</w:t>
            </w:r>
          </w:p>
        </w:tc>
        <w:tc>
          <w:tcPr>
            <w:tcW w:w="260" w:type="dxa"/>
            <w:vAlign w:val="bottom"/>
          </w:tcPr>
          <w:p>
            <w:pPr>
              <w:spacing w:after="0"/>
              <w:rPr>
                <w:sz w:val="20"/>
                <w:szCs w:val="20"/>
                <w:color w:val="auto"/>
              </w:rPr>
            </w:pPr>
          </w:p>
        </w:tc>
      </w:tr>
      <w:tr>
        <w:trPr>
          <w:trHeight w:val="240"/>
        </w:trPr>
        <w:tc>
          <w:tcPr>
            <w:tcW w:w="11180" w:type="dxa"/>
            <w:vAlign w:val="bottom"/>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tc>
        <w:tc>
          <w:tcPr>
            <w:tcW w:w="260" w:type="dxa"/>
            <w:vAlign w:val="bottom"/>
          </w:tcPr>
          <w:p>
            <w:pPr>
              <w:spacing w:after="0"/>
              <w:rPr>
                <w:sz w:val="20"/>
                <w:szCs w:val="20"/>
                <w:color w:val="auto"/>
              </w:rPr>
            </w:pPr>
          </w:p>
        </w:tc>
      </w:tr>
      <w:tr>
        <w:trPr>
          <w:trHeight w:val="216"/>
        </w:trPr>
        <w:tc>
          <w:tcPr>
            <w:tcW w:w="11180" w:type="dxa"/>
            <w:vAlign w:val="bottom"/>
          </w:tcPr>
          <w:p>
            <w:pPr>
              <w:jc w:val="center"/>
              <w:ind w:left="150"/>
              <w:spacing w:after="0"/>
              <w:rPr>
                <w:sz w:val="20"/>
                <w:szCs w:val="20"/>
                <w:color w:val="auto"/>
              </w:rPr>
            </w:pPr>
            <w:r>
              <w:rPr>
                <w:rFonts w:ascii="Arial" w:cs="Arial" w:eastAsia="Arial" w:hAnsi="Arial"/>
                <w:sz w:val="18"/>
                <w:szCs w:val="18"/>
                <w:color w:val="auto"/>
                <w:w w:val="89"/>
              </w:rPr>
              <w:t>985,560,591</w:t>
            </w:r>
          </w:p>
        </w:tc>
        <w:tc>
          <w:tcPr>
            <w:tcW w:w="260" w:type="dxa"/>
            <w:vAlign w:val="bottom"/>
          </w:tcPr>
          <w:p>
            <w:pPr>
              <w:spacing w:after="0"/>
              <w:rPr>
                <w:sz w:val="18"/>
                <w:szCs w:val="18"/>
                <w:color w:val="auto"/>
              </w:rPr>
            </w:pPr>
          </w:p>
        </w:tc>
      </w:tr>
      <w:tr>
        <w:trPr>
          <w:trHeight w:val="216"/>
        </w:trPr>
        <w:tc>
          <w:tcPr>
            <w:tcW w:w="11180" w:type="dxa"/>
            <w:vAlign w:val="bottom"/>
          </w:tcPr>
          <w:p>
            <w:pPr>
              <w:jc w:val="center"/>
              <w:ind w:left="170"/>
              <w:spacing w:after="0"/>
              <w:rPr>
                <w:sz w:val="20"/>
                <w:szCs w:val="20"/>
                <w:color w:val="auto"/>
              </w:rPr>
            </w:pPr>
            <w:r>
              <w:rPr>
                <w:rFonts w:ascii="Arial" w:cs="Arial" w:eastAsia="Arial" w:hAnsi="Arial"/>
                <w:sz w:val="18"/>
                <w:szCs w:val="18"/>
                <w:color w:val="auto"/>
                <w:w w:val="90"/>
              </w:rPr>
              <w:t>Number of shares of Registrant’s common stock outstanding as of</w:t>
            </w:r>
          </w:p>
        </w:tc>
        <w:tc>
          <w:tcPr>
            <w:tcW w:w="260" w:type="dxa"/>
            <w:vAlign w:val="bottom"/>
          </w:tcPr>
          <w:p>
            <w:pPr>
              <w:spacing w:after="0"/>
              <w:rPr>
                <w:sz w:val="18"/>
                <w:szCs w:val="18"/>
                <w:color w:val="auto"/>
              </w:rPr>
            </w:pPr>
          </w:p>
        </w:tc>
      </w:tr>
      <w:tr>
        <w:trPr>
          <w:trHeight w:val="230"/>
        </w:trPr>
        <w:tc>
          <w:tcPr>
            <w:tcW w:w="11180" w:type="dxa"/>
            <w:vAlign w:val="bottom"/>
          </w:tcPr>
          <w:p>
            <w:pPr>
              <w:jc w:val="center"/>
              <w:ind w:left="150"/>
              <w:spacing w:after="0"/>
              <w:rPr>
                <w:sz w:val="20"/>
                <w:szCs w:val="20"/>
                <w:color w:val="auto"/>
              </w:rPr>
            </w:pPr>
            <w:r>
              <w:rPr>
                <w:rFonts w:ascii="Arial" w:cs="Arial" w:eastAsia="Arial" w:hAnsi="Arial"/>
                <w:sz w:val="18"/>
                <w:szCs w:val="18"/>
                <w:color w:val="auto"/>
                <w:w w:val="90"/>
              </w:rPr>
              <w:t>October 24, 2017</w:t>
            </w:r>
          </w:p>
        </w:tc>
        <w:tc>
          <w:tcPr>
            <w:tcW w:w="260" w:type="dxa"/>
            <w:vAlign w:val="bottom"/>
          </w:tcPr>
          <w:p>
            <w:pPr>
              <w:spacing w:after="0"/>
              <w:rPr>
                <w:sz w:val="20"/>
                <w:szCs w:val="20"/>
                <w:color w:val="auto"/>
              </w:rPr>
            </w:pPr>
          </w:p>
        </w:tc>
      </w:tr>
      <w:tr>
        <w:trPr>
          <w:trHeight w:val="966"/>
        </w:trPr>
        <w:tc>
          <w:tcPr>
            <w:tcW w:w="11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720" w:right="2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w w:val="93"/>
              </w:rPr>
              <w:t>For Three Months Ended</w:t>
            </w:r>
          </w:p>
        </w:tc>
        <w:tc>
          <w:tcPr>
            <w:tcW w:w="240" w:type="dxa"/>
            <w:vAlign w:val="bottom"/>
          </w:tcPr>
          <w:p>
            <w:pPr>
              <w:spacing w:after="0"/>
              <w:rPr>
                <w:sz w:val="18"/>
                <w:szCs w:val="18"/>
                <w:color w:val="auto"/>
              </w:rPr>
            </w:pPr>
          </w:p>
        </w:tc>
        <w:tc>
          <w:tcPr>
            <w:tcW w:w="2140" w:type="dxa"/>
            <w:vAlign w:val="bottom"/>
            <w:gridSpan w:val="5"/>
          </w:tcPr>
          <w:p>
            <w:pPr>
              <w:jc w:val="right"/>
              <w:ind w:right="420"/>
              <w:spacing w:after="0"/>
              <w:rPr>
                <w:sz w:val="20"/>
                <w:szCs w:val="20"/>
                <w:color w:val="auto"/>
              </w:rPr>
            </w:pPr>
            <w:r>
              <w:rPr>
                <w:rFonts w:ascii="Arial" w:cs="Arial" w:eastAsia="Arial" w:hAnsi="Arial"/>
                <w:sz w:val="16"/>
                <w:szCs w:val="16"/>
                <w:b w:val="1"/>
                <w:bCs w:val="1"/>
                <w:color w:val="auto"/>
                <w:w w:val="94"/>
              </w:rPr>
              <w:t>For Nine Months Ended</w:t>
            </w:r>
          </w:p>
        </w:tc>
      </w:tr>
      <w:tr>
        <w:trPr>
          <w:trHeight w:val="219"/>
        </w:trPr>
        <w:tc>
          <w:tcPr>
            <w:tcW w:w="648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Income</w:t>
            </w:r>
          </w:p>
        </w:tc>
        <w:tc>
          <w:tcPr>
            <w:tcW w:w="200" w:type="dxa"/>
            <w:vAlign w:val="bottom"/>
          </w:tcPr>
          <w:p>
            <w:pPr>
              <w:spacing w:after="0"/>
              <w:rPr>
                <w:sz w:val="19"/>
                <w:szCs w:val="19"/>
                <w:color w:val="auto"/>
              </w:rPr>
            </w:pPr>
          </w:p>
        </w:tc>
        <w:tc>
          <w:tcPr>
            <w:tcW w:w="2360" w:type="dxa"/>
            <w:vAlign w:val="bottom"/>
            <w:gridSpan w:val="5"/>
          </w:tcPr>
          <w:p>
            <w:pPr>
              <w:jc w:val="right"/>
              <w:ind w:right="98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9"/>
                <w:szCs w:val="19"/>
                <w:color w:val="auto"/>
              </w:rPr>
            </w:pPr>
          </w:p>
        </w:tc>
        <w:tc>
          <w:tcPr>
            <w:tcW w:w="2140" w:type="dxa"/>
            <w:vAlign w:val="bottom"/>
            <w:gridSpan w:val="5"/>
          </w:tcPr>
          <w:p>
            <w:pPr>
              <w:jc w:val="right"/>
              <w:ind w:right="760"/>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20" w:type="dxa"/>
            <w:vAlign w:val="bottom"/>
          </w:tcPr>
          <w:p>
            <w:pPr>
              <w:spacing w:after="0"/>
              <w:rPr>
                <w:sz w:val="18"/>
                <w:szCs w:val="18"/>
                <w:color w:val="auto"/>
              </w:rPr>
            </w:pPr>
          </w:p>
        </w:tc>
        <w:tc>
          <w:tcPr>
            <w:tcW w:w="622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 except share and per-share amounts)</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3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4,116</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11,211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9,956</w:t>
            </w:r>
          </w:p>
        </w:tc>
        <w:tc>
          <w:tcPr>
            <w:tcW w:w="120" w:type="dxa"/>
            <w:vAlign w:val="bottom"/>
            <w:shd w:val="clear" w:color="auto" w:fill="CCEEFF"/>
          </w:tcPr>
          <w:p>
            <w:pPr>
              <w:spacing w:after="0"/>
              <w:rPr>
                <w:sz w:val="18"/>
                <w:szCs w:val="18"/>
                <w:color w:val="auto"/>
              </w:rPr>
            </w:pPr>
          </w:p>
        </w:tc>
      </w:tr>
      <w:tr>
        <w:trPr>
          <w:trHeight w:val="213"/>
        </w:trPr>
        <w:tc>
          <w:tcPr>
            <w:tcW w:w="6480" w:type="dxa"/>
            <w:vAlign w:val="bottom"/>
            <w:gridSpan w:val="3"/>
          </w:tcPr>
          <w:p>
            <w:pPr>
              <w:spacing w:after="0"/>
              <w:rPr>
                <w:sz w:val="20"/>
                <w:szCs w:val="20"/>
                <w:color w:val="auto"/>
              </w:rPr>
            </w:pPr>
            <w:r>
              <w:rPr>
                <w:rFonts w:ascii="Arial" w:cs="Arial" w:eastAsia="Arial" w:hAnsi="Arial"/>
                <w:sz w:val="16"/>
                <w:szCs w:val="16"/>
                <w:color w:val="auto"/>
              </w:rPr>
              <w:t>Cost of revenue (COR)</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1,460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1,391</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4,037</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3,836</w:t>
            </w: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2,656</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2,284</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7,174</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3"/>
        </w:trPr>
        <w:tc>
          <w:tcPr>
            <w:tcW w:w="6480" w:type="dxa"/>
            <w:vAlign w:val="bottom"/>
            <w:gridSpan w:val="3"/>
          </w:tcPr>
          <w:p>
            <w:pPr>
              <w:spacing w:after="0"/>
              <w:rPr>
                <w:sz w:val="20"/>
                <w:szCs w:val="20"/>
                <w:color w:val="auto"/>
              </w:rPr>
            </w:pPr>
            <w:r>
              <w:rPr>
                <w:rFonts w:ascii="Arial" w:cs="Arial" w:eastAsia="Arial" w:hAnsi="Arial"/>
                <w:sz w:val="16"/>
                <w:szCs w:val="16"/>
                <w:color w:val="auto"/>
              </w:rPr>
              <w:t>Research and development (R&amp;D)</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375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353</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1,122</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1,016</w:t>
            </w:r>
          </w:p>
        </w:tc>
        <w:tc>
          <w:tcPr>
            <w:tcW w:w="1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Selling, general and administrative (SG&amp;A)</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412</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1,285</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w:t>
            </w:r>
          </w:p>
        </w:tc>
        <w:tc>
          <w:tcPr>
            <w:tcW w:w="120" w:type="dxa"/>
            <w:vAlign w:val="bottom"/>
            <w:shd w:val="clear" w:color="auto" w:fill="CCEEFF"/>
          </w:tcPr>
          <w:p>
            <w:pPr>
              <w:spacing w:after="0"/>
              <w:rPr>
                <w:sz w:val="19"/>
                <w:szCs w:val="19"/>
                <w:color w:val="auto"/>
              </w:rPr>
            </w:pPr>
          </w:p>
        </w:tc>
      </w:tr>
      <w:tr>
        <w:trPr>
          <w:trHeight w:val="213"/>
        </w:trPr>
        <w:tc>
          <w:tcPr>
            <w:tcW w:w="6480" w:type="dxa"/>
            <w:vAlign w:val="bottom"/>
            <w:gridSpan w:val="3"/>
          </w:tcPr>
          <w:p>
            <w:pPr>
              <w:spacing w:after="0"/>
              <w:rPr>
                <w:sz w:val="20"/>
                <w:szCs w:val="20"/>
                <w:color w:val="auto"/>
              </w:rPr>
            </w:pPr>
            <w:r>
              <w:rPr>
                <w:rFonts w:ascii="Arial" w:cs="Arial" w:eastAsia="Arial" w:hAnsi="Arial"/>
                <w:sz w:val="16"/>
                <w:szCs w:val="16"/>
                <w:color w:val="auto"/>
              </w:rPr>
              <w:t>Acquisition charges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239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Restructuring charges/other</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3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3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r>
      <w:tr>
        <w:trPr>
          <w:trHeight w:val="207"/>
        </w:trPr>
        <w:tc>
          <w:tcPr>
            <w:tcW w:w="6480" w:type="dxa"/>
            <w:vAlign w:val="bottom"/>
            <w:gridSpan w:val="3"/>
          </w:tcPr>
          <w:p>
            <w:pPr>
              <w:spacing w:after="0"/>
              <w:rPr>
                <w:sz w:val="20"/>
                <w:szCs w:val="20"/>
                <w:color w:val="auto"/>
              </w:rPr>
            </w:pPr>
            <w:r>
              <w:rPr>
                <w:rFonts w:ascii="Arial" w:cs="Arial" w:eastAsia="Arial" w:hAnsi="Arial"/>
                <w:sz w:val="16"/>
                <w:szCs w:val="16"/>
                <w:color w:val="auto"/>
              </w:rPr>
              <w:t>Operating profit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1,788</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1,408</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4,520</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3,523</w:t>
            </w:r>
          </w:p>
        </w:tc>
        <w:tc>
          <w:tcPr>
            <w:tcW w:w="12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 (expense), net (OI&amp;E)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w:t>
            </w:r>
          </w:p>
        </w:tc>
      </w:tr>
      <w:tr>
        <w:trPr>
          <w:trHeight w:val="213"/>
        </w:trPr>
        <w:tc>
          <w:tcPr>
            <w:tcW w:w="6480" w:type="dxa"/>
            <w:vAlign w:val="bottom"/>
            <w:gridSpan w:val="3"/>
          </w:tcPr>
          <w:p>
            <w:pPr>
              <w:spacing w:after="0"/>
              <w:rPr>
                <w:sz w:val="20"/>
                <w:szCs w:val="20"/>
                <w:color w:val="auto"/>
              </w:rPr>
            </w:pPr>
            <w:r>
              <w:rPr>
                <w:rFonts w:ascii="Arial" w:cs="Arial" w:eastAsia="Arial" w:hAnsi="Arial"/>
                <w:sz w:val="16"/>
                <w:szCs w:val="16"/>
                <w:color w:val="auto"/>
              </w:rPr>
              <w:t>Interest and debt expense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57</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1,789</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1,381</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4,530</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3"/>
        </w:trPr>
        <w:tc>
          <w:tcPr>
            <w:tcW w:w="6480" w:type="dxa"/>
            <w:vAlign w:val="bottom"/>
            <w:gridSpan w:val="3"/>
          </w:tcPr>
          <w:p>
            <w:pPr>
              <w:spacing w:after="0"/>
              <w:rPr>
                <w:sz w:val="20"/>
                <w:szCs w:val="20"/>
                <w:color w:val="auto"/>
              </w:rPr>
            </w:pPr>
            <w:r>
              <w:rPr>
                <w:rFonts w:ascii="Arial" w:cs="Arial" w:eastAsia="Arial" w:hAnsi="Arial"/>
                <w:sz w:val="16"/>
                <w:szCs w:val="16"/>
                <w:color w:val="auto"/>
              </w:rPr>
              <w:t>Provision for income taxes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504</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363</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1,192</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885</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1,285</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3,338</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Earnings per common share (EPS):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3"/>
        </w:trPr>
        <w:tc>
          <w:tcPr>
            <w:tcW w:w="20" w:type="dxa"/>
            <w:vAlign w:val="bottom"/>
          </w:tcPr>
          <w:p>
            <w:pPr>
              <w:spacing w:after="0"/>
              <w:rPr>
                <w:sz w:val="22"/>
                <w:szCs w:val="22"/>
                <w:color w:val="auto"/>
              </w:rPr>
            </w:pPr>
          </w:p>
        </w:tc>
        <w:tc>
          <w:tcPr>
            <w:tcW w:w="646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w:t>
            </w:r>
          </w:p>
        </w:tc>
        <w:tc>
          <w:tcPr>
            <w:tcW w:w="3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3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3.33</w:t>
            </w:r>
          </w:p>
        </w:tc>
        <w:tc>
          <w:tcPr>
            <w:tcW w:w="3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6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1.26</w:t>
            </w:r>
          </w:p>
        </w:tc>
        <w:tc>
          <w:tcPr>
            <w:tcW w:w="3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3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3.26</w:t>
            </w:r>
          </w:p>
        </w:tc>
        <w:tc>
          <w:tcPr>
            <w:tcW w:w="3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6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Average shares outstanding (millions):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3"/>
        </w:trPr>
        <w:tc>
          <w:tcPr>
            <w:tcW w:w="20" w:type="dxa"/>
            <w:vAlign w:val="bottom"/>
          </w:tcPr>
          <w:p>
            <w:pPr>
              <w:spacing w:after="0"/>
              <w:rPr>
                <w:sz w:val="22"/>
                <w:szCs w:val="22"/>
                <w:color w:val="auto"/>
              </w:rPr>
            </w:pPr>
          </w:p>
        </w:tc>
        <w:tc>
          <w:tcPr>
            <w:tcW w:w="646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988</w:t>
            </w:r>
          </w:p>
        </w:tc>
        <w:tc>
          <w:tcPr>
            <w:tcW w:w="3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w:t>
            </w:r>
          </w:p>
        </w:tc>
        <w:tc>
          <w:tcPr>
            <w:tcW w:w="3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993</w:t>
            </w:r>
          </w:p>
        </w:tc>
        <w:tc>
          <w:tcPr>
            <w:tcW w:w="3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1,004</w:t>
            </w:r>
          </w:p>
        </w:tc>
        <w:tc>
          <w:tcPr>
            <w:tcW w:w="120" w:type="dxa"/>
            <w:vAlign w:val="bottom"/>
            <w:tcBorders>
              <w:bottom w:val="single" w:sz="8" w:color="CCEEFF"/>
            </w:tcBorders>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6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1,008</w:t>
            </w:r>
          </w:p>
        </w:tc>
        <w:tc>
          <w:tcPr>
            <w:tcW w:w="3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3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1,014</w:t>
            </w:r>
          </w:p>
        </w:tc>
        <w:tc>
          <w:tcPr>
            <w:tcW w:w="3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1,022</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6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dividends declared per common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w:t>
            </w:r>
          </w:p>
        </w:tc>
        <w:tc>
          <w:tcPr>
            <w:tcW w:w="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3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1.50</w:t>
            </w:r>
          </w:p>
        </w:tc>
        <w:tc>
          <w:tcPr>
            <w:tcW w:w="3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0" w:lineRule="exact"/>
        <w:rPr>
          <w:sz w:val="20"/>
          <w:szCs w:val="20"/>
          <w:color w:val="auto"/>
        </w:rPr>
      </w:pPr>
    </w:p>
    <w:p>
      <w:pPr>
        <w:ind w:right="800"/>
        <w:spacing w:after="0" w:line="293" w:lineRule="auto"/>
        <w:rPr>
          <w:sz w:val="20"/>
          <w:szCs w:val="20"/>
          <w:color w:val="auto"/>
        </w:rPr>
      </w:pPr>
      <w:r>
        <w:rPr>
          <w:rFonts w:ascii="Arial" w:cs="Arial" w:eastAsia="Arial" w:hAnsi="Arial"/>
          <w:sz w:val="16"/>
          <w:szCs w:val="16"/>
          <w:color w:val="auto"/>
        </w:rPr>
        <w:t>As a result of accounting rule ASC 260, which requires a portion of Net income to be allocated to unvested restricted stock units (RSUs) on which we pay dividend equivalents, diluted EPS is calculated using the following: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1,285</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3,338</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2,548</w:t>
            </w:r>
          </w:p>
        </w:tc>
        <w:tc>
          <w:tcPr>
            <w:tcW w:w="120" w:type="dxa"/>
            <w:vAlign w:val="bottom"/>
            <w:shd w:val="clear" w:color="auto" w:fill="CCEEFF"/>
          </w:tcPr>
          <w:p>
            <w:pPr>
              <w:spacing w:after="0"/>
              <w:rPr>
                <w:sz w:val="18"/>
                <w:szCs w:val="18"/>
                <w:color w:val="auto"/>
              </w:rPr>
            </w:pPr>
          </w:p>
        </w:tc>
      </w:tr>
      <w:tr>
        <w:trPr>
          <w:trHeight w:val="213"/>
        </w:trPr>
        <w:tc>
          <w:tcPr>
            <w:tcW w:w="6480" w:type="dxa"/>
            <w:vAlign w:val="bottom"/>
          </w:tcPr>
          <w:p>
            <w:pPr>
              <w:spacing w:after="0"/>
              <w:rPr>
                <w:sz w:val="20"/>
                <w:szCs w:val="20"/>
                <w:color w:val="auto"/>
              </w:rPr>
            </w:pPr>
            <w:r>
              <w:rPr>
                <w:rFonts w:ascii="Arial" w:cs="Arial" w:eastAsia="Arial" w:hAnsi="Arial"/>
                <w:sz w:val="16"/>
                <w:szCs w:val="16"/>
                <w:color w:val="auto"/>
              </w:rPr>
              <w:t>Income allocated to RSUs</w:t>
            </w:r>
          </w:p>
        </w:tc>
        <w:tc>
          <w:tcPr>
            <w:tcW w:w="3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(11)</w:t>
            </w:r>
          </w:p>
        </w:tc>
        <w:tc>
          <w:tcPr>
            <w:tcW w:w="3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6"/>
                <w:szCs w:val="16"/>
                <w:color w:val="auto"/>
              </w:rPr>
              <w:t>(11)</w:t>
            </w:r>
          </w:p>
        </w:tc>
        <w:tc>
          <w:tcPr>
            <w:tcW w:w="3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(31)</w:t>
            </w:r>
          </w:p>
        </w:tc>
        <w:tc>
          <w:tcPr>
            <w:tcW w:w="3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(31)</w:t>
            </w:r>
          </w:p>
        </w:tc>
      </w:tr>
      <w:tr>
        <w:trPr>
          <w:trHeight w:val="210"/>
        </w:trPr>
        <w:tc>
          <w:tcPr>
            <w:tcW w:w="6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allocated to common stock for diluted EPS</w:t>
            </w:r>
          </w:p>
        </w:tc>
        <w:tc>
          <w:tcPr>
            <w:tcW w:w="3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1,274</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3,307</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5"/>
          </w:tcPr>
          <w:p>
            <w:pPr>
              <w:jc w:val="right"/>
              <w:ind w:right="640"/>
              <w:spacing w:after="0"/>
              <w:rPr>
                <w:sz w:val="20"/>
                <w:szCs w:val="20"/>
                <w:color w:val="auto"/>
              </w:rPr>
            </w:pPr>
            <w:r>
              <w:rPr>
                <w:rFonts w:ascii="Arial" w:cs="Arial" w:eastAsia="Arial" w:hAnsi="Arial"/>
                <w:sz w:val="16"/>
                <w:szCs w:val="16"/>
                <w:b w:val="1"/>
                <w:bCs w:val="1"/>
                <w:color w:val="auto"/>
                <w:w w:val="94"/>
              </w:rPr>
              <w:t>For Three Months Ended</w:t>
            </w:r>
          </w:p>
        </w:tc>
        <w:tc>
          <w:tcPr>
            <w:tcW w:w="180" w:type="dxa"/>
            <w:vAlign w:val="bottom"/>
          </w:tcPr>
          <w:p>
            <w:pPr>
              <w:spacing w:after="0"/>
              <w:rPr>
                <w:sz w:val="18"/>
                <w:szCs w:val="18"/>
                <w:color w:val="auto"/>
              </w:rPr>
            </w:pPr>
          </w:p>
        </w:tc>
        <w:tc>
          <w:tcPr>
            <w:tcW w:w="2100" w:type="dxa"/>
            <w:vAlign w:val="bottom"/>
            <w:gridSpan w:val="5"/>
          </w:tcPr>
          <w:p>
            <w:pPr>
              <w:jc w:val="right"/>
              <w:ind w:right="360"/>
              <w:spacing w:after="0"/>
              <w:rPr>
                <w:sz w:val="20"/>
                <w:szCs w:val="20"/>
                <w:color w:val="auto"/>
              </w:rPr>
            </w:pPr>
            <w:r>
              <w:rPr>
                <w:rFonts w:ascii="Arial" w:cs="Arial" w:eastAsia="Arial" w:hAnsi="Arial"/>
                <w:sz w:val="16"/>
                <w:szCs w:val="16"/>
                <w:b w:val="1"/>
                <w:bCs w:val="1"/>
                <w:color w:val="auto"/>
                <w:w w:val="95"/>
              </w:rPr>
              <w:t>For Nine Months Ended</w:t>
            </w:r>
          </w:p>
        </w:tc>
        <w:tc>
          <w:tcPr>
            <w:tcW w:w="0" w:type="dxa"/>
            <w:vAlign w:val="bottom"/>
          </w:tcPr>
          <w:p>
            <w:pPr>
              <w:spacing w:after="0"/>
              <w:rPr>
                <w:sz w:val="1"/>
                <w:szCs w:val="1"/>
                <w:color w:val="auto"/>
              </w:rPr>
            </w:pPr>
          </w:p>
        </w:tc>
      </w:tr>
      <w:tr>
        <w:trPr>
          <w:trHeight w:val="219"/>
        </w:trPr>
        <w:tc>
          <w:tcPr>
            <w:tcW w:w="654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Comprehensive Income</w:t>
            </w:r>
          </w:p>
        </w:tc>
        <w:tc>
          <w:tcPr>
            <w:tcW w:w="160" w:type="dxa"/>
            <w:vAlign w:val="bottom"/>
          </w:tcPr>
          <w:p>
            <w:pPr>
              <w:spacing w:after="0"/>
              <w:rPr>
                <w:sz w:val="19"/>
                <w:szCs w:val="19"/>
                <w:color w:val="auto"/>
              </w:rPr>
            </w:pPr>
          </w:p>
        </w:tc>
        <w:tc>
          <w:tcPr>
            <w:tcW w:w="2440" w:type="dxa"/>
            <w:vAlign w:val="bottom"/>
            <w:gridSpan w:val="5"/>
          </w:tcPr>
          <w:p>
            <w:pPr>
              <w:jc w:val="right"/>
              <w:ind w:right="102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9"/>
                <w:szCs w:val="19"/>
                <w:color w:val="auto"/>
              </w:rPr>
            </w:pPr>
          </w:p>
        </w:tc>
        <w:tc>
          <w:tcPr>
            <w:tcW w:w="210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2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(Millions of dollars)</w:t>
            </w:r>
          </w:p>
        </w:tc>
        <w:tc>
          <w:tcPr>
            <w:tcW w:w="3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4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540" w:type="dxa"/>
            <w:vAlign w:val="bottom"/>
            <w:gridSpan w:val="3"/>
          </w:tcPr>
          <w:p>
            <w:pPr>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1,285</w:t>
            </w:r>
          </w:p>
        </w:tc>
        <w:tc>
          <w:tcPr>
            <w:tcW w:w="3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1,018</w:t>
            </w:r>
          </w:p>
        </w:tc>
        <w:tc>
          <w:tcPr>
            <w:tcW w:w="4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3,338</w:t>
            </w:r>
          </w:p>
        </w:tc>
        <w:tc>
          <w:tcPr>
            <w:tcW w:w="3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comprehensive income (loss), net of taxes</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20" w:type="dxa"/>
            <w:vAlign w:val="bottom"/>
            <w:gridSpan w:val="2"/>
          </w:tcPr>
          <w:p>
            <w:pPr>
              <w:ind w:left="120"/>
              <w:spacing w:after="0"/>
              <w:rPr>
                <w:sz w:val="20"/>
                <w:szCs w:val="20"/>
                <w:color w:val="auto"/>
              </w:rPr>
            </w:pPr>
            <w:r>
              <w:rPr>
                <w:rFonts w:ascii="Arial" w:cs="Arial" w:eastAsia="Arial" w:hAnsi="Arial"/>
                <w:sz w:val="16"/>
                <w:szCs w:val="16"/>
                <w:color w:val="auto"/>
              </w:rPr>
              <w:t>Net actuarial gains (losses) of defined benefit plans: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Adjustments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(17)</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(16)</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20" w:type="dxa"/>
            <w:vAlign w:val="bottom"/>
            <w:gridSpan w:val="2"/>
          </w:tcPr>
          <w:p>
            <w:pPr>
              <w:ind w:left="240"/>
              <w:spacing w:after="0"/>
              <w:rPr>
                <w:sz w:val="20"/>
                <w:szCs w:val="20"/>
                <w:color w:val="auto"/>
              </w:rPr>
            </w:pPr>
            <w:r>
              <w:rPr>
                <w:rFonts w:ascii="Arial" w:cs="Arial" w:eastAsia="Arial" w:hAnsi="Arial"/>
                <w:sz w:val="16"/>
                <w:szCs w:val="16"/>
                <w:color w:val="auto"/>
              </w:rPr>
              <w:t>Recognized within Net income</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Prior service (cost) credit of defined benefit plans:</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20" w:type="dxa"/>
            <w:vAlign w:val="bottom"/>
            <w:gridSpan w:val="2"/>
          </w:tcPr>
          <w:p>
            <w:pPr>
              <w:ind w:left="240"/>
              <w:spacing w:after="0"/>
              <w:rPr>
                <w:sz w:val="20"/>
                <w:szCs w:val="20"/>
                <w:color w:val="auto"/>
              </w:rPr>
            </w:pPr>
            <w:r>
              <w:rPr>
                <w:rFonts w:ascii="Arial" w:cs="Arial" w:eastAsia="Arial" w:hAnsi="Arial"/>
                <w:sz w:val="16"/>
                <w:szCs w:val="16"/>
                <w:color w:val="auto"/>
              </w:rPr>
              <w:t>Adjustments</w:t>
            </w:r>
          </w:p>
        </w:tc>
        <w:tc>
          <w:tcPr>
            <w:tcW w:w="16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Recognized within Net income</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gridSpan w:val="2"/>
            <w:vMerge w:val="restart"/>
          </w:tcPr>
          <w:p>
            <w:pPr>
              <w:ind w:left="120"/>
              <w:spacing w:after="0"/>
              <w:rPr>
                <w:sz w:val="20"/>
                <w:szCs w:val="20"/>
                <w:color w:val="auto"/>
              </w:rPr>
            </w:pPr>
            <w:r>
              <w:rPr>
                <w:rFonts w:ascii="Arial" w:cs="Arial" w:eastAsia="Arial" w:hAnsi="Arial"/>
                <w:sz w:val="16"/>
                <w:szCs w:val="16"/>
                <w:color w:val="auto"/>
              </w:rPr>
              <w:t>Other comprehensive income (loss)</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65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comprehensive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1,300</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3,359</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right"/>
              <w:ind w:right="52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19"/>
        </w:trPr>
        <w:tc>
          <w:tcPr>
            <w:tcW w:w="8300" w:type="dxa"/>
            <w:vAlign w:val="bottom"/>
            <w:gridSpan w:val="3"/>
          </w:tcPr>
          <w:p>
            <w:pPr>
              <w:spacing w:after="0"/>
              <w:rPr>
                <w:sz w:val="20"/>
                <w:szCs w:val="20"/>
                <w:color w:val="auto"/>
              </w:rPr>
            </w:pPr>
            <w:r>
              <w:rPr>
                <w:rFonts w:ascii="Arial" w:cs="Arial" w:eastAsia="Arial" w:hAnsi="Arial"/>
                <w:sz w:val="16"/>
                <w:szCs w:val="16"/>
                <w:b w:val="1"/>
                <w:bCs w:val="1"/>
                <w:color w:val="auto"/>
              </w:rPr>
              <w:t>Consolidated Balance Sheets</w:t>
            </w:r>
          </w:p>
        </w:tc>
        <w:tc>
          <w:tcPr>
            <w:tcW w:w="340" w:type="dxa"/>
            <w:vAlign w:val="bottom"/>
          </w:tcPr>
          <w:p>
            <w:pPr>
              <w:spacing w:after="0"/>
              <w:rPr>
                <w:sz w:val="19"/>
                <w:szCs w:val="19"/>
                <w:color w:val="auto"/>
              </w:rPr>
            </w:pPr>
          </w:p>
        </w:tc>
        <w:tc>
          <w:tcPr>
            <w:tcW w:w="9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9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(Millions of dollars, except share amounts)</w:t>
            </w:r>
          </w:p>
        </w:tc>
        <w:tc>
          <w:tcPr>
            <w:tcW w:w="3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1,296</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Short-term investments</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2,148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Accounts receivable, net of allowances of ($14) and ($17)</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1,576</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240"/>
              <w:spacing w:after="0"/>
              <w:rPr>
                <w:sz w:val="20"/>
                <w:szCs w:val="20"/>
                <w:color w:val="auto"/>
              </w:rPr>
            </w:pPr>
            <w:r>
              <w:rPr>
                <w:rFonts w:ascii="Arial" w:cs="Arial" w:eastAsia="Arial" w:hAnsi="Arial"/>
                <w:sz w:val="16"/>
                <w:szCs w:val="16"/>
                <w:color w:val="auto"/>
              </w:rPr>
              <w:t>Raw materials</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120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Work in process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1,103</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Finished goods</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685</w:t>
            </w: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1,908</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1,063</w:t>
            </w:r>
          </w:p>
        </w:tc>
        <w:tc>
          <w:tcPr>
            <w:tcW w:w="3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7,991</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Property, plant and equipment at cost</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4,668</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Accumulated depreciation</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(2,101)</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(2,411)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Property, plant and equipment, net</w:t>
            </w:r>
          </w:p>
        </w:tc>
        <w:tc>
          <w:tcPr>
            <w:tcW w:w="3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2,567</w:t>
            </w:r>
          </w:p>
        </w:tc>
        <w:tc>
          <w:tcPr>
            <w:tcW w:w="3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2,512</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investments</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Goodwill, net</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4,362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Acquisition-related intangibles, net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1,025</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414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Capitalized software licenses, net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111</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Overfunded retirement plans</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89</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300" w:type="dxa"/>
            <w:vAlign w:val="bottom"/>
            <w:gridSpan w:val="3"/>
          </w:tcPr>
          <w:p>
            <w:pPr>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16,929</w:t>
            </w:r>
          </w:p>
        </w:tc>
        <w:tc>
          <w:tcPr>
            <w:tcW w:w="3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9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Current portion of long-term debt</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499</w:t>
            </w: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430</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Accrued compensation</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635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Income taxes payable</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417</w:t>
            </w: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2,055</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Long-term debt</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3,084</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Underfunded retirement plans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108</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credits and 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656</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Total liabilities</w:t>
            </w:r>
          </w:p>
        </w:tc>
        <w:tc>
          <w:tcPr>
            <w:tcW w:w="3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5,941</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3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Preferred stock, $25 par value. Authorized – 10,000,000 shares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Participating cumulative preferred. None issued.</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Common stock, $1 par value. Authorized – 2,400,000,000 shares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Shares issued – 1,740,815,939</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1,741</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Paid-in capital</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1,718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34,935</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33,107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Treasury common stock at cost</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Shares: September 30, 2017 – 754,459,144; December 31, 2016 – 744,831,978</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(26,901)</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(25,523)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Accumulated other comprehensive income (loss), net of taxes (AOCI)</w:t>
            </w:r>
          </w:p>
        </w:tc>
        <w:tc>
          <w:tcPr>
            <w:tcW w:w="3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(505)</w:t>
            </w: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10,988</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16,929</w:t>
            </w:r>
          </w:p>
        </w:tc>
        <w:tc>
          <w:tcPr>
            <w:tcW w:w="36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6"/>
          </w:tcPr>
          <w:p>
            <w:pPr>
              <w:jc w:val="right"/>
              <w:ind w:right="380"/>
              <w:spacing w:after="0"/>
              <w:rPr>
                <w:sz w:val="20"/>
                <w:szCs w:val="20"/>
                <w:color w:val="auto"/>
              </w:rPr>
            </w:pPr>
            <w:r>
              <w:rPr>
                <w:rFonts w:ascii="Arial" w:cs="Arial" w:eastAsia="Arial" w:hAnsi="Arial"/>
                <w:sz w:val="16"/>
                <w:szCs w:val="16"/>
                <w:b w:val="1"/>
                <w:bCs w:val="1"/>
                <w:color w:val="auto"/>
                <w:w w:val="96"/>
              </w:rPr>
              <w:t>For Nine Months Ended</w:t>
            </w:r>
          </w:p>
        </w:tc>
        <w:tc>
          <w:tcPr>
            <w:tcW w:w="0" w:type="dxa"/>
            <w:vAlign w:val="bottom"/>
          </w:tcPr>
          <w:p>
            <w:pPr>
              <w:spacing w:after="0"/>
              <w:rPr>
                <w:sz w:val="1"/>
                <w:szCs w:val="1"/>
                <w:color w:val="auto"/>
              </w:rPr>
            </w:pPr>
          </w:p>
        </w:tc>
      </w:tr>
      <w:tr>
        <w:trPr>
          <w:trHeight w:val="219"/>
        </w:trPr>
        <w:tc>
          <w:tcPr>
            <w:tcW w:w="912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160" w:type="dxa"/>
            <w:vAlign w:val="bottom"/>
          </w:tcPr>
          <w:p>
            <w:pPr>
              <w:spacing w:after="0"/>
              <w:rPr>
                <w:sz w:val="19"/>
                <w:szCs w:val="19"/>
                <w:color w:val="auto"/>
              </w:rPr>
            </w:pPr>
          </w:p>
        </w:tc>
        <w:tc>
          <w:tcPr>
            <w:tcW w:w="2140" w:type="dxa"/>
            <w:vAlign w:val="bottom"/>
            <w:gridSpan w:val="6"/>
          </w:tcPr>
          <w:p>
            <w:pPr>
              <w:jc w:val="right"/>
              <w:ind w:right="72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w:t>
            </w:r>
          </w:p>
        </w:tc>
        <w:tc>
          <w:tcPr>
            <w:tcW w:w="3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3,338</w:t>
            </w:r>
          </w:p>
        </w:tc>
        <w:tc>
          <w:tcPr>
            <w:tcW w:w="220" w:type="dxa"/>
            <w:vAlign w:val="bottom"/>
          </w:tcPr>
          <w:p>
            <w:pPr>
              <w:spacing w:after="0"/>
              <w:rPr>
                <w:sz w:val="18"/>
                <w:szCs w:val="18"/>
                <w:color w:val="auto"/>
              </w:rPr>
            </w:pPr>
          </w:p>
        </w:tc>
        <w:tc>
          <w:tcPr>
            <w:tcW w:w="32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2,548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Adjustments to Net income: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Depreciation</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406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Amortization of acquisition-related intangibles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Amortization of capitalized software</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Stock compensation</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197</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Increase (decrease) from changes in:</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Accounts receivable</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(306)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(118)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Accounts payable and accrued expenses</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Accrued compensation</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(85)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Income taxes payable</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(226)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Changes in funded status of retirement plans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(59)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7"/>
        </w:trPr>
        <w:tc>
          <w:tcPr>
            <w:tcW w:w="9120" w:type="dxa"/>
            <w:vAlign w:val="bottom"/>
            <w:gridSpan w:val="3"/>
          </w:tcPr>
          <w:p>
            <w:pPr>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3,434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3,227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Capital expenditures</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(464)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Proceeds from asset sales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Purchases of short-term investments</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(3,105)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(2,171)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Proceeds from short-term investments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3,305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9120" w:type="dxa"/>
            <w:vAlign w:val="bottom"/>
            <w:gridSpan w:val="3"/>
          </w:tcPr>
          <w:p>
            <w:pPr>
              <w:spacing w:after="0"/>
              <w:rPr>
                <w:sz w:val="20"/>
                <w:szCs w:val="20"/>
                <w:color w:val="auto"/>
              </w:rPr>
            </w:pPr>
            <w:r>
              <w:rPr>
                <w:rFonts w:ascii="Arial" w:cs="Arial" w:eastAsia="Arial" w:hAnsi="Arial"/>
                <w:sz w:val="16"/>
                <w:szCs w:val="16"/>
                <w:color w:val="auto"/>
              </w:rPr>
              <w:t>Cash flows from investing activities</w:t>
            </w: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issuance of long-term debt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Repayment of debt</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(625)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Dividends paid</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(1,493)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Stock repurchases</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(1,850)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(1,657)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common stock transactions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321</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(3,063)</w:t>
            </w: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change in Cash and cash equivalents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120" w:type="dxa"/>
            <w:vAlign w:val="bottom"/>
            <w:gridSpan w:val="3"/>
          </w:tcPr>
          <w:p>
            <w:pPr>
              <w:spacing w:after="0"/>
              <w:rPr>
                <w:sz w:val="20"/>
                <w:szCs w:val="20"/>
                <w:color w:val="auto"/>
              </w:rPr>
            </w:pPr>
            <w:r>
              <w:rPr>
                <w:rFonts w:ascii="Arial" w:cs="Arial" w:eastAsia="Arial" w:hAnsi="Arial"/>
                <w:sz w:val="16"/>
                <w:szCs w:val="16"/>
                <w:color w:val="auto"/>
              </w:rPr>
              <w:t>Cash and cash equivalents at beginning of period</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1,154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1,296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21"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information</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design, make and sell semiconductors to electronics designers and manufacturers all over the world. Beginning January 2017, we reorganized the product lines within our two reportable segments – Analog and Embedded Processing – to realign our business structure with the way our customers select and buy products. These changes had no effect on either our previously reported consolidated financial statements or on our reportable segment amounts. Our two reportable segments are established along major categories of products as follows:</w:t>
      </w:r>
    </w:p>
    <w:p>
      <w:pPr>
        <w:spacing w:after="0" w:line="63"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Analog </w:t>
      </w:r>
      <w:r>
        <w:rPr>
          <w:rFonts w:ascii="Arial" w:cs="Arial" w:eastAsia="Arial" w:hAnsi="Arial"/>
          <w:sz w:val="18"/>
          <w:szCs w:val="18"/>
          <w:color w:val="auto"/>
        </w:rPr>
        <w:t>– consisting of the following product lines: Power, Signal Chain and High Volume.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Embedded Processing </w:t>
      </w:r>
      <w:r>
        <w:rPr>
          <w:rFonts w:ascii="Arial" w:cs="Arial" w:eastAsia="Arial" w:hAnsi="Arial"/>
          <w:sz w:val="18"/>
          <w:szCs w:val="18"/>
          <w:color w:val="auto"/>
        </w:rPr>
        <w:t>– consisting of the following product lines: Connected Microcontrollers and Processors.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15"/>
          <w:szCs w:val="15"/>
          <w:color w:val="auto"/>
        </w:rPr>
        <w:t>®</w:t>
      </w:r>
      <w:r>
        <w:rPr>
          <w:rFonts w:ascii="Arial" w:cs="Arial" w:eastAsia="Arial" w:hAnsi="Arial"/>
          <w:sz w:val="18"/>
          <w:szCs w:val="18"/>
          <w:color w:val="auto"/>
        </w:rPr>
        <w:t xml:space="preserve"> products, calculators and custom ASIC products. As of January 1, 2017, we no longer recognize royalties as revenue; instead, they are now recorded as OI&amp;E. We continue to receive royalties from arrangements involving license rights to our patent portfolio. Although we expect royalties to continue for many years, they are of decreasing significance to our core operations. Prior period amounts were not material.</w:t>
      </w:r>
    </w:p>
    <w:p>
      <w:pPr>
        <w:spacing w:after="0" w:line="18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3"/>
              </w:rPr>
              <w:t>For Three Months Ended</w:t>
            </w:r>
          </w:p>
        </w:tc>
        <w:tc>
          <w:tcPr>
            <w:tcW w:w="200" w:type="dxa"/>
            <w:vAlign w:val="bottom"/>
          </w:tcPr>
          <w:p>
            <w:pPr>
              <w:spacing w:after="0"/>
              <w:rPr>
                <w:sz w:val="18"/>
                <w:szCs w:val="18"/>
                <w:color w:val="auto"/>
              </w:rPr>
            </w:pPr>
          </w:p>
        </w:tc>
        <w:tc>
          <w:tcPr>
            <w:tcW w:w="22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3"/>
              </w:rPr>
              <w:t>For Nine Months Ended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2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19"/>
                <w:szCs w:val="19"/>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bottom w:val="single" w:sz="8" w:color="CCEEFF"/>
            </w:tcBorders>
          </w:tcPr>
          <w:p>
            <w:pPr>
              <w:spacing w:after="0"/>
              <w:rPr>
                <w:sz w:val="18"/>
                <w:szCs w:val="18"/>
                <w:color w:val="auto"/>
              </w:rPr>
            </w:pPr>
          </w:p>
        </w:tc>
        <w:tc>
          <w:tcPr>
            <w:tcW w:w="24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3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6"/>
                <w:szCs w:val="16"/>
                <w:color w:val="auto"/>
              </w:rPr>
              <w:t>Analog</w:t>
            </w:r>
          </w:p>
        </w:tc>
        <w:tc>
          <w:tcPr>
            <w:tcW w:w="2580" w:type="dxa"/>
            <w:vAlign w:val="bottom"/>
            <w:gridSpan w:val="2"/>
          </w:tcPr>
          <w:p>
            <w:pPr>
              <w:jc w:val="right"/>
              <w:ind w:right="4"/>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2,698</w:t>
            </w: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2,323</w:t>
            </w:r>
          </w:p>
        </w:tc>
        <w:tc>
          <w:tcPr>
            <w:tcW w:w="30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7,365</w:t>
            </w:r>
          </w:p>
        </w:tc>
        <w:tc>
          <w:tcPr>
            <w:tcW w:w="30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Embedded Processing</w:t>
            </w:r>
          </w:p>
        </w:tc>
        <w:tc>
          <w:tcPr>
            <w:tcW w:w="2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931</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2,602</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w:t>
            </w:r>
          </w:p>
        </w:tc>
        <w:tc>
          <w:tcPr>
            <w:tcW w:w="2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487</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1,244</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Total revenue</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4,116</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11,211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profit:</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6"/>
                <w:szCs w:val="16"/>
                <w:color w:val="auto"/>
              </w:rPr>
              <w:t>Analog</w:t>
            </w:r>
          </w:p>
        </w:tc>
        <w:tc>
          <w:tcPr>
            <w:tcW w:w="2580" w:type="dxa"/>
            <w:vAlign w:val="bottom"/>
            <w:gridSpan w:val="2"/>
          </w:tcPr>
          <w:p>
            <w:pPr>
              <w:jc w:val="right"/>
              <w:ind w:right="4"/>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1,268</w:t>
            </w:r>
          </w:p>
        </w:tc>
        <w:tc>
          <w:tcPr>
            <w:tcW w:w="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957</w:t>
            </w:r>
          </w:p>
        </w:tc>
        <w:tc>
          <w:tcPr>
            <w:tcW w:w="30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3,280</w:t>
            </w:r>
          </w:p>
        </w:tc>
        <w:tc>
          <w:tcPr>
            <w:tcW w:w="30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Embedded Processing</w:t>
            </w:r>
          </w:p>
        </w:tc>
        <w:tc>
          <w:tcPr>
            <w:tcW w:w="2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325</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836</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w:t>
            </w:r>
          </w:p>
        </w:tc>
        <w:tc>
          <w:tcPr>
            <w:tcW w:w="2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195</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404</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profit</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1,788</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4,520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Operating profit amounts in the prior period have been recast as a result of our early adoption of a new accounting standard related to pension and other retiree benefit costs. See Note 2 for more information.</w:t>
      </w:r>
    </w:p>
    <w:p>
      <w:pPr>
        <w:spacing w:after="0" w:line="157"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consolidated financial statements have been prepared in accordance with accounting principles generally accepted in the United States (GAAP) and on the same basis as the audited financial statements included in our annual report on Form 10-K for the year ended December 31, 2016. The Consolidated Statements of Income, Comprehensive Income and Cash Flows for the periods ended September 30, 2017, and September 30, 2016, and the Consolidated Balance Sheet as of September 30, 2017,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2016. The results for the three- and nine-month periods are not necessarily indicative of a full year’s results.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The consolidated financial statements include the accounts of all subsidiaries. All intercompany balances and transactions have been eliminated in consolidation. All dollar amounts in the financial statements and tables in these notes, except per-share amounts, are stated in millions of U.S. dollars unless otherwise indicated. We have reclassified certain amounts in the prior periods’ financial statements to conform to the current presentation, retrospectively applying the new accounting standard related to pension and other retiree benefit costs. See </w:t>
      </w:r>
      <w:r>
        <w:rPr>
          <w:rFonts w:ascii="Arial" w:cs="Arial" w:eastAsia="Arial" w:hAnsi="Arial"/>
          <w:sz w:val="18"/>
          <w:szCs w:val="18"/>
          <w:i w:val="1"/>
          <w:iCs w:val="1"/>
          <w:color w:val="auto"/>
        </w:rPr>
        <w:t>Changes in accounting standards – adopted standards for current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period </w:t>
      </w:r>
      <w:r>
        <w:rPr>
          <w:rFonts w:ascii="Arial" w:cs="Arial" w:eastAsia="Arial" w:hAnsi="Arial"/>
          <w:sz w:val="18"/>
          <w:szCs w:val="18"/>
          <w:color w:val="auto"/>
        </w:rPr>
        <w:t>for further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Unvested share-based payment awards that contain non-forfeitable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9"/>
          </w:tcPr>
          <w:p>
            <w:pPr>
              <w:jc w:val="center"/>
              <w:ind w:left="579"/>
              <w:spacing w:after="0"/>
              <w:rPr>
                <w:sz w:val="20"/>
                <w:szCs w:val="20"/>
                <w:color w:val="auto"/>
              </w:rPr>
            </w:pPr>
            <w:r>
              <w:rPr>
                <w:rFonts w:ascii="Arial" w:cs="Arial" w:eastAsia="Arial" w:hAnsi="Arial"/>
                <w:sz w:val="16"/>
                <w:szCs w:val="16"/>
                <w:b w:val="1"/>
                <w:bCs w:val="1"/>
                <w:color w:val="auto"/>
                <w:w w:val="91"/>
              </w:rPr>
              <w:t>For Three Months Ended September 30,</w:t>
            </w:r>
          </w:p>
        </w:tc>
        <w:tc>
          <w:tcPr>
            <w:tcW w:w="6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2016</w:t>
            </w: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Net</w:t>
            </w: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tcPr>
          <w:p>
            <w:pPr>
              <w:jc w:val="center"/>
              <w:ind w:right="560"/>
              <w:spacing w:after="0"/>
              <w:rPr>
                <w:sz w:val="20"/>
                <w:szCs w:val="20"/>
                <w:color w:val="auto"/>
              </w:rPr>
            </w:pPr>
            <w:r>
              <w:rPr>
                <w:rFonts w:ascii="Arial" w:cs="Arial" w:eastAsia="Arial" w:hAnsi="Arial"/>
                <w:sz w:val="16"/>
                <w:szCs w:val="16"/>
                <w:b w:val="1"/>
                <w:bCs w:val="1"/>
                <w:color w:val="auto"/>
                <w:w w:val="92"/>
              </w:rPr>
              <w:t>Net</w:t>
            </w: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Income</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EPS</w:t>
            </w:r>
          </w:p>
        </w:tc>
        <w:tc>
          <w:tcPr>
            <w:tcW w:w="140" w:type="dxa"/>
            <w:vAlign w:val="bottom"/>
          </w:tcPr>
          <w:p>
            <w:pPr>
              <w:spacing w:after="0"/>
              <w:rPr>
                <w:sz w:val="19"/>
                <w:szCs w:val="19"/>
                <w:color w:val="auto"/>
              </w:rPr>
            </w:pPr>
          </w:p>
        </w:tc>
        <w:tc>
          <w:tcPr>
            <w:tcW w:w="1160" w:type="dxa"/>
            <w:vAlign w:val="bottom"/>
            <w:gridSpan w:val="3"/>
          </w:tcPr>
          <w:p>
            <w:pPr>
              <w:jc w:val="center"/>
              <w:ind w:right="560"/>
              <w:spacing w:after="0"/>
              <w:rPr>
                <w:sz w:val="20"/>
                <w:szCs w:val="20"/>
                <w:color w:val="auto"/>
              </w:rPr>
            </w:pPr>
            <w:r>
              <w:rPr>
                <w:rFonts w:ascii="Arial" w:cs="Arial" w:eastAsia="Arial" w:hAnsi="Arial"/>
                <w:sz w:val="16"/>
                <w:szCs w:val="16"/>
                <w:b w:val="1"/>
                <w:bCs w:val="1"/>
                <w:color w:val="auto"/>
                <w:w w:val="92"/>
              </w:rPr>
              <w:t>Income</w:t>
            </w:r>
          </w:p>
        </w:tc>
        <w:tc>
          <w:tcPr>
            <w:tcW w:w="620" w:type="dxa"/>
            <w:vAlign w:val="bottom"/>
          </w:tcPr>
          <w:p>
            <w:pPr>
              <w:jc w:val="center"/>
              <w:ind w:right="39"/>
              <w:spacing w:after="0"/>
              <w:rPr>
                <w:sz w:val="20"/>
                <w:szCs w:val="20"/>
                <w:color w:val="auto"/>
              </w:rPr>
            </w:pPr>
            <w:r>
              <w:rPr>
                <w:rFonts w:ascii="Arial" w:cs="Arial" w:eastAsia="Arial" w:hAnsi="Arial"/>
                <w:sz w:val="16"/>
                <w:szCs w:val="16"/>
                <w:b w:val="1"/>
                <w:bCs w:val="1"/>
                <w:color w:val="auto"/>
                <w:w w:val="86"/>
              </w:rPr>
              <w:t>Shares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ind w:left="120"/>
              <w:spacing w:after="0"/>
              <w:rPr>
                <w:sz w:val="20"/>
                <w:szCs w:val="20"/>
                <w:color w:val="auto"/>
              </w:rPr>
            </w:pPr>
            <w:r>
              <w:rPr>
                <w:rFonts w:ascii="Arial" w:cs="Arial" w:eastAsia="Arial" w:hAnsi="Arial"/>
                <w:sz w:val="16"/>
                <w:szCs w:val="16"/>
                <w:b w:val="1"/>
                <w:bCs w:val="1"/>
                <w:color w:val="auto"/>
              </w:rPr>
              <w:t>EPS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Basic EPS:</w:t>
            </w: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3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1,285</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1,018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(11)</w:t>
            </w: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50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1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3480" w:type="dxa"/>
            <w:vAlign w:val="bottom"/>
          </w:tcPr>
          <w:p>
            <w:pPr>
              <w:ind w:left="120"/>
              <w:spacing w:after="0"/>
              <w:rPr>
                <w:sz w:val="20"/>
                <w:szCs w:val="20"/>
                <w:color w:val="auto"/>
              </w:rPr>
            </w:pPr>
            <w:r>
              <w:rPr>
                <w:rFonts w:ascii="Arial" w:cs="Arial" w:eastAsia="Arial" w:hAnsi="Arial"/>
                <w:sz w:val="16"/>
                <w:szCs w:val="16"/>
                <w:color w:val="auto"/>
              </w:rPr>
              <w:t>for basic EPS calculation</w:t>
            </w:r>
          </w:p>
        </w:tc>
        <w:tc>
          <w:tcPr>
            <w:tcW w:w="13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1,274</w:t>
            </w: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988</w:t>
            </w:r>
          </w:p>
        </w:tc>
        <w:tc>
          <w:tcPr>
            <w:tcW w:w="4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1.29</w:t>
            </w:r>
          </w:p>
        </w:tc>
        <w:tc>
          <w:tcPr>
            <w:tcW w:w="3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1,006</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1,003</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4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00" w:type="dxa"/>
            <w:vAlign w:val="bottom"/>
            <w:gridSpan w:val="2"/>
          </w:tcPr>
          <w:p>
            <w:pPr>
              <w:spacing w:after="0"/>
              <w:rPr>
                <w:sz w:val="20"/>
                <w:szCs w:val="20"/>
                <w:color w:val="auto"/>
              </w:rPr>
            </w:pPr>
            <w:r>
              <w:rPr>
                <w:rFonts w:ascii="Arial" w:cs="Arial" w:eastAsia="Arial" w:hAnsi="Arial"/>
                <w:sz w:val="16"/>
                <w:szCs w:val="16"/>
                <w:color w:val="auto"/>
              </w:rPr>
              <w:t>Adjustment for dilutive shares: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 compensation plans</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EPS: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3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1,285</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1,018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(11)</w:t>
            </w: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50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1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tcPr>
          <w:p>
            <w:pPr>
              <w:ind w:left="120"/>
              <w:spacing w:after="0"/>
              <w:rPr>
                <w:sz w:val="20"/>
                <w:szCs w:val="20"/>
                <w:color w:val="auto"/>
              </w:rPr>
            </w:pPr>
            <w:r>
              <w:rPr>
                <w:rFonts w:ascii="Arial" w:cs="Arial" w:eastAsia="Arial" w:hAnsi="Arial"/>
                <w:sz w:val="16"/>
                <w:szCs w:val="16"/>
                <w:color w:val="auto"/>
              </w:rPr>
              <w:t>for diluted EPS calculation</w:t>
            </w:r>
          </w:p>
        </w:tc>
        <w:tc>
          <w:tcPr>
            <w:tcW w:w="13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1,274</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1,008</w:t>
            </w:r>
          </w:p>
        </w:tc>
        <w:tc>
          <w:tcPr>
            <w:tcW w:w="4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1.26</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1,007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1,023</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8"/>
          </w:tcPr>
          <w:p>
            <w:pPr>
              <w:jc w:val="center"/>
              <w:ind w:right="60"/>
              <w:spacing w:after="0"/>
              <w:rPr>
                <w:sz w:val="20"/>
                <w:szCs w:val="20"/>
                <w:color w:val="auto"/>
              </w:rPr>
            </w:pPr>
            <w:r>
              <w:rPr>
                <w:rFonts w:ascii="Arial" w:cs="Arial" w:eastAsia="Arial" w:hAnsi="Arial"/>
                <w:sz w:val="16"/>
                <w:szCs w:val="16"/>
                <w:b w:val="1"/>
                <w:bCs w:val="1"/>
                <w:color w:val="auto"/>
                <w:w w:val="92"/>
              </w:rPr>
              <w:t>For Nine Months Ended September 30,</w:t>
            </w: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2016</w:t>
            </w: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Net</w:t>
            </w: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tcPr>
          <w:p>
            <w:pPr>
              <w:jc w:val="center"/>
              <w:ind w:right="560"/>
              <w:spacing w:after="0"/>
              <w:rPr>
                <w:sz w:val="20"/>
                <w:szCs w:val="20"/>
                <w:color w:val="auto"/>
              </w:rPr>
            </w:pPr>
            <w:r>
              <w:rPr>
                <w:rFonts w:ascii="Arial" w:cs="Arial" w:eastAsia="Arial" w:hAnsi="Arial"/>
                <w:sz w:val="16"/>
                <w:szCs w:val="16"/>
                <w:b w:val="1"/>
                <w:bCs w:val="1"/>
                <w:color w:val="auto"/>
                <w:w w:val="92"/>
              </w:rPr>
              <w:t>Net</w:t>
            </w: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Income</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EPS</w:t>
            </w:r>
          </w:p>
        </w:tc>
        <w:tc>
          <w:tcPr>
            <w:tcW w:w="140" w:type="dxa"/>
            <w:vAlign w:val="bottom"/>
          </w:tcPr>
          <w:p>
            <w:pPr>
              <w:spacing w:after="0"/>
              <w:rPr>
                <w:sz w:val="19"/>
                <w:szCs w:val="19"/>
                <w:color w:val="auto"/>
              </w:rPr>
            </w:pPr>
          </w:p>
        </w:tc>
        <w:tc>
          <w:tcPr>
            <w:tcW w:w="1160" w:type="dxa"/>
            <w:vAlign w:val="bottom"/>
            <w:gridSpan w:val="3"/>
          </w:tcPr>
          <w:p>
            <w:pPr>
              <w:jc w:val="center"/>
              <w:ind w:right="560"/>
              <w:spacing w:after="0"/>
              <w:rPr>
                <w:sz w:val="20"/>
                <w:szCs w:val="20"/>
                <w:color w:val="auto"/>
              </w:rPr>
            </w:pPr>
            <w:r>
              <w:rPr>
                <w:rFonts w:ascii="Arial" w:cs="Arial" w:eastAsia="Arial" w:hAnsi="Arial"/>
                <w:sz w:val="16"/>
                <w:szCs w:val="16"/>
                <w:b w:val="1"/>
                <w:bCs w:val="1"/>
                <w:color w:val="auto"/>
                <w:w w:val="92"/>
              </w:rPr>
              <w:t>Income</w:t>
            </w:r>
          </w:p>
        </w:tc>
        <w:tc>
          <w:tcPr>
            <w:tcW w:w="620" w:type="dxa"/>
            <w:vAlign w:val="bottom"/>
          </w:tcPr>
          <w:p>
            <w:pPr>
              <w:jc w:val="center"/>
              <w:ind w:right="39"/>
              <w:spacing w:after="0"/>
              <w:rPr>
                <w:sz w:val="20"/>
                <w:szCs w:val="20"/>
                <w:color w:val="auto"/>
              </w:rPr>
            </w:pPr>
            <w:r>
              <w:rPr>
                <w:rFonts w:ascii="Arial" w:cs="Arial" w:eastAsia="Arial" w:hAnsi="Arial"/>
                <w:sz w:val="16"/>
                <w:szCs w:val="16"/>
                <w:b w:val="1"/>
                <w:bCs w:val="1"/>
                <w:color w:val="auto"/>
                <w:w w:val="86"/>
              </w:rPr>
              <w:t>Shares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ind w:left="120"/>
              <w:spacing w:after="0"/>
              <w:rPr>
                <w:sz w:val="20"/>
                <w:szCs w:val="20"/>
                <w:color w:val="auto"/>
              </w:rPr>
            </w:pPr>
            <w:r>
              <w:rPr>
                <w:rFonts w:ascii="Arial" w:cs="Arial" w:eastAsia="Arial" w:hAnsi="Arial"/>
                <w:sz w:val="16"/>
                <w:szCs w:val="16"/>
                <w:b w:val="1"/>
                <w:bCs w:val="1"/>
                <w:color w:val="auto"/>
              </w:rPr>
              <w:t>EPS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Basic EPS:</w:t>
            </w: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3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3,338</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2,548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(32)</w:t>
            </w: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50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1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3480" w:type="dxa"/>
            <w:vAlign w:val="bottom"/>
          </w:tcPr>
          <w:p>
            <w:pPr>
              <w:ind w:left="120"/>
              <w:spacing w:after="0"/>
              <w:rPr>
                <w:sz w:val="20"/>
                <w:szCs w:val="20"/>
                <w:color w:val="auto"/>
              </w:rPr>
            </w:pPr>
            <w:r>
              <w:rPr>
                <w:rFonts w:ascii="Arial" w:cs="Arial" w:eastAsia="Arial" w:hAnsi="Arial"/>
                <w:sz w:val="16"/>
                <w:szCs w:val="16"/>
                <w:color w:val="auto"/>
              </w:rPr>
              <w:t>for basic EPS calculation</w:t>
            </w:r>
          </w:p>
        </w:tc>
        <w:tc>
          <w:tcPr>
            <w:tcW w:w="13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3,306</w:t>
            </w: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993</w:t>
            </w:r>
          </w:p>
        </w:tc>
        <w:tc>
          <w:tcPr>
            <w:tcW w:w="4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3.33</w:t>
            </w:r>
          </w:p>
        </w:tc>
        <w:tc>
          <w:tcPr>
            <w:tcW w:w="3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2,517</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1,004</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4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00" w:type="dxa"/>
            <w:vAlign w:val="bottom"/>
            <w:gridSpan w:val="2"/>
          </w:tcPr>
          <w:p>
            <w:pPr>
              <w:spacing w:after="0"/>
              <w:rPr>
                <w:sz w:val="20"/>
                <w:szCs w:val="20"/>
                <w:color w:val="auto"/>
              </w:rPr>
            </w:pPr>
            <w:r>
              <w:rPr>
                <w:rFonts w:ascii="Arial" w:cs="Arial" w:eastAsia="Arial" w:hAnsi="Arial"/>
                <w:sz w:val="16"/>
                <w:szCs w:val="16"/>
                <w:color w:val="auto"/>
              </w:rPr>
              <w:t>Adjustment for dilutive shares: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 compensation plans</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EPS: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3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3,338</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2,548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(31)</w:t>
            </w: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50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1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tcPr>
          <w:p>
            <w:pPr>
              <w:ind w:left="120"/>
              <w:spacing w:after="0"/>
              <w:rPr>
                <w:sz w:val="20"/>
                <w:szCs w:val="20"/>
                <w:color w:val="auto"/>
              </w:rPr>
            </w:pPr>
            <w:r>
              <w:rPr>
                <w:rFonts w:ascii="Arial" w:cs="Arial" w:eastAsia="Arial" w:hAnsi="Arial"/>
                <w:sz w:val="16"/>
                <w:szCs w:val="16"/>
                <w:color w:val="auto"/>
              </w:rPr>
              <w:t>for diluted EPS calculation</w:t>
            </w:r>
          </w:p>
        </w:tc>
        <w:tc>
          <w:tcPr>
            <w:tcW w:w="13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3,307</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1,014</w:t>
            </w:r>
          </w:p>
        </w:tc>
        <w:tc>
          <w:tcPr>
            <w:tcW w:w="4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3.26</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2,517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1,022</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Potentially dilutive securities representing 5 million shares of common stock that were outstanding during the third quarter of 2017, and 6 million and 15 million shares outstanding during the first nine months of 2017 and 2016, respectively, were excluded from the computation of diluted earnings per common share for these periods because their effect would have been anti-dilutive. There were no potentially dilutive securities excluded from the computation of diluted earnings per common share during the third quarter of 2016.</w:t>
      </w:r>
    </w:p>
    <w:p>
      <w:pPr>
        <w:sectPr>
          <w:pgSz w:w="11900" w:h="16838" w:orient="portrait"/>
          <w:cols w:equalWidth="0" w:num="1">
            <w:col w:w="11420"/>
          </w:cols>
          <w:pgMar w:left="240" w:top="121"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23"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We use derivative financial instruments to manage exposure to foreign currency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7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connection with the issuance of long-term debt, we use financial derivatives such as treasury rate lock agreements that are recognized in AOCI and amortized over the life of the related debt. The results of these derivative transactions have not been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values of financial instruments</w:t>
      </w: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fair values of our derivative financial instruments were not material as of September 30, 2017. Our investments in cash equivalents, short-term investments and certain long-term investments, as well as our deferred compensation liabilities, are carried at fair value. The carrying values for other current financial assets and liabilities, such as accounts receivable and accounts payable, approximate fair value due to the short maturity of such instruments. The carrying value of our long-term debt approximates the fair value as measured using broker-dealer quotes, which are Level 2 inputs. See Note 5 for a description of fair value and the definition of Level 2 inputs.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 – adopted standards for current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Update (ASU) No. 2016-16, Income Taxes (Topic 740): Intra-Entity Transfers of Assets Other Than Inventory</w:t>
      </w:r>
    </w:p>
    <w:p>
      <w:pPr>
        <w:spacing w:after="0" w:line="2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This standard requires current and deferred income taxes resulting from the intra-entity transfer of any assets other than inventory to be recognized for financial reporting purposes when the transfer occurs rather than postpone recognition until the asset has been sold to an outside party, as currently allowed. This standard is required to be applied on a modified retrospective basis through a cumulative-effect adjustment directly to retained earnings and is effective for our interim and annual periods beginning January 1, 2018. As early adoption is permitted, we elected to early adopt this standard in the first quarter of 2017. The effect on our financial position and results of operations was not material.</w:t>
      </w:r>
    </w:p>
    <w:p>
      <w:pPr>
        <w:spacing w:after="0" w:line="179"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i w:val="1"/>
          <w:iCs w:val="1"/>
          <w:u w:val="single" w:color="auto"/>
          <w:color w:val="auto"/>
        </w:rPr>
        <w:t>ASU No. 2017-07, Compensation – Retirement Benefits (Topic 715): Improving the Presentation of Net Periodic Pension Cost and Net Periodic Postretirement Benefit Cost</w:t>
      </w:r>
    </w:p>
    <w:p>
      <w:pPr>
        <w:spacing w:after="0" w:line="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This standard amends the income statement presentation of the components of net periodic benefit cost for defined benefit pension and other postretirement plans. This standard requires us to: (1) disaggregate the current service cost component from the other components of net periodic benefit cost (the “other components”) and present it in the same line items on the statement of income as other current compensation costs for related employees and (2) present the other components outside of operating profit (i.e., in OI&amp;E). This standard is required to be applied retrospectively and is effective for annual and interim periods beginning after December 15, 2017. As early adoption is permitted, we elected to adopt this standard as of the beginning of the first quarter of 2017. While the adoption of this standard did not impact Revenue, Net income, Earnings per common share or Cash flows from operating activities, the following components on the Consolidated Statements of Income for the three and nine months ended September 30, 2016, were affected: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For Three Months Ended</w:t>
            </w:r>
          </w:p>
        </w:tc>
        <w:tc>
          <w:tcPr>
            <w:tcW w:w="160" w:type="dxa"/>
            <w:vAlign w:val="bottom"/>
          </w:tcPr>
          <w:p>
            <w:pPr>
              <w:spacing w:after="0"/>
              <w:rPr>
                <w:sz w:val="17"/>
                <w:szCs w:val="17"/>
                <w:color w:val="auto"/>
              </w:rPr>
            </w:pPr>
          </w:p>
        </w:tc>
        <w:tc>
          <w:tcPr>
            <w:tcW w:w="256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rPr>
              <w:t>For Nine Months Ended</w:t>
            </w:r>
          </w:p>
        </w:tc>
      </w:tr>
      <w:tr>
        <w:trPr>
          <w:trHeight w:val="213"/>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gridSpan w:val="5"/>
          </w:tcPr>
          <w:p>
            <w:pPr>
              <w:jc w:val="right"/>
              <w:ind w:right="900"/>
              <w:spacing w:after="0"/>
              <w:rPr>
                <w:sz w:val="20"/>
                <w:szCs w:val="20"/>
                <w:color w:val="auto"/>
              </w:rPr>
            </w:pPr>
            <w:r>
              <w:rPr>
                <w:rFonts w:ascii="Arial" w:cs="Arial" w:eastAsia="Arial" w:hAnsi="Arial"/>
                <w:sz w:val="16"/>
                <w:szCs w:val="16"/>
                <w:b w:val="1"/>
                <w:bCs w:val="1"/>
                <w:color w:val="auto"/>
              </w:rPr>
              <w:t>September 30, 2016</w:t>
            </w:r>
          </w:p>
        </w:tc>
        <w:tc>
          <w:tcPr>
            <w:tcW w:w="160" w:type="dxa"/>
            <w:vAlign w:val="bottom"/>
          </w:tcPr>
          <w:p>
            <w:pPr>
              <w:spacing w:after="0"/>
              <w:rPr>
                <w:sz w:val="18"/>
                <w:szCs w:val="18"/>
                <w:color w:val="auto"/>
              </w:rPr>
            </w:pPr>
          </w:p>
        </w:tc>
        <w:tc>
          <w:tcPr>
            <w:tcW w:w="2560" w:type="dxa"/>
            <w:vAlign w:val="bottom"/>
            <w:gridSpan w:val="5"/>
          </w:tcPr>
          <w:p>
            <w:pPr>
              <w:jc w:val="right"/>
              <w:ind w:right="740"/>
              <w:spacing w:after="0"/>
              <w:rPr>
                <w:sz w:val="20"/>
                <w:szCs w:val="20"/>
                <w:color w:val="auto"/>
              </w:rPr>
            </w:pPr>
            <w:r>
              <w:rPr>
                <w:rFonts w:ascii="Arial" w:cs="Arial" w:eastAsia="Arial" w:hAnsi="Arial"/>
                <w:sz w:val="16"/>
                <w:szCs w:val="16"/>
                <w:b w:val="1"/>
                <w:bCs w:val="1"/>
                <w:color w:val="auto"/>
              </w:rPr>
              <w:t>September 30, 2016</w:t>
            </w:r>
          </w:p>
        </w:tc>
      </w:tr>
      <w:tr>
        <w:trPr>
          <w:trHeight w:val="210"/>
        </w:trPr>
        <w:tc>
          <w:tcPr>
            <w:tcW w:w="58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9"/>
              </w:rPr>
              <w:t>Reported</w:t>
            </w:r>
          </w:p>
        </w:tc>
        <w:tc>
          <w:tcPr>
            <w:tcW w:w="26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Recast</w:t>
            </w: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9"/>
              </w:rPr>
              <w:t>Reported</w:t>
            </w:r>
          </w:p>
        </w:tc>
        <w:tc>
          <w:tcPr>
            <w:tcW w:w="26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Recast</w:t>
            </w:r>
          </w:p>
        </w:tc>
        <w:tc>
          <w:tcPr>
            <w:tcW w:w="100" w:type="dxa"/>
            <w:vAlign w:val="bottom"/>
            <w:tcBorders>
              <w:bottom w:val="single" w:sz="8" w:color="CCEEFF"/>
            </w:tcBorders>
          </w:tcPr>
          <w:p>
            <w:pPr>
              <w:spacing w:after="0"/>
              <w:rPr>
                <w:sz w:val="18"/>
                <w:szCs w:val="18"/>
                <w:color w:val="auto"/>
              </w:rPr>
            </w:pPr>
          </w:p>
        </w:tc>
      </w:tr>
      <w:tr>
        <w:trPr>
          <w:trHeight w:val="212"/>
        </w:trPr>
        <w:tc>
          <w:tcPr>
            <w:tcW w:w="5820" w:type="dxa"/>
            <w:vAlign w:val="bottom"/>
            <w:shd w:val="clear" w:color="auto" w:fill="CCEEFF"/>
          </w:tcPr>
          <w:p>
            <w:pPr>
              <w:spacing w:after="0"/>
              <w:rPr>
                <w:sz w:val="20"/>
                <w:szCs w:val="20"/>
                <w:color w:val="auto"/>
              </w:rPr>
            </w:pPr>
            <w:r>
              <w:rPr>
                <w:rFonts w:ascii="Arial" w:cs="Arial" w:eastAsia="Arial" w:hAnsi="Arial"/>
                <w:sz w:val="16"/>
                <w:szCs w:val="16"/>
                <w:color w:val="auto"/>
              </w:rPr>
              <w:t>COR</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3,849</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3,836</w:t>
            </w:r>
          </w:p>
        </w:tc>
        <w:tc>
          <w:tcPr>
            <w:tcW w:w="100" w:type="dxa"/>
            <w:vAlign w:val="bottom"/>
            <w:shd w:val="clear" w:color="auto" w:fill="CCEEFF"/>
          </w:tcPr>
          <w:p>
            <w:pPr>
              <w:spacing w:after="0"/>
              <w:rPr>
                <w:sz w:val="18"/>
                <w:szCs w:val="18"/>
                <w:color w:val="auto"/>
              </w:rPr>
            </w:pP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Gross profit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2,280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2,284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6,107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6,120</w:t>
            </w:r>
          </w:p>
        </w:tc>
        <w:tc>
          <w:tcPr>
            <w:tcW w:w="100" w:type="dxa"/>
            <w:vAlign w:val="bottom"/>
          </w:tcPr>
          <w:p>
            <w:pPr>
              <w:spacing w:after="0"/>
              <w:rPr>
                <w:sz w:val="18"/>
                <w:szCs w:val="18"/>
                <w:color w:val="auto"/>
              </w:rPr>
            </w:pPr>
          </w:p>
        </w:tc>
      </w:tr>
      <w:tr>
        <w:trPr>
          <w:trHeight w:val="219"/>
        </w:trPr>
        <w:tc>
          <w:tcPr>
            <w:tcW w:w="5820" w:type="dxa"/>
            <w:vAlign w:val="bottom"/>
            <w:shd w:val="clear" w:color="auto" w:fill="CCEEFF"/>
          </w:tcPr>
          <w:p>
            <w:pPr>
              <w:spacing w:after="0"/>
              <w:rPr>
                <w:sz w:val="20"/>
                <w:szCs w:val="20"/>
                <w:color w:val="auto"/>
              </w:rPr>
            </w:pPr>
            <w:r>
              <w:rPr>
                <w:rFonts w:ascii="Arial" w:cs="Arial" w:eastAsia="Arial" w:hAnsi="Arial"/>
                <w:sz w:val="16"/>
                <w:szCs w:val="16"/>
                <w:color w:val="auto"/>
              </w:rPr>
              <w:t>R&amp;D</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w:t>
            </w:r>
          </w:p>
        </w:tc>
        <w:tc>
          <w:tcPr>
            <w:tcW w:w="100" w:type="dxa"/>
            <w:vAlign w:val="bottom"/>
            <w:shd w:val="clear" w:color="auto" w:fill="CCEEFF"/>
          </w:tcPr>
          <w:p>
            <w:pPr>
              <w:spacing w:after="0"/>
              <w:rPr>
                <w:sz w:val="19"/>
                <w:szCs w:val="19"/>
                <w:color w:val="auto"/>
              </w:rPr>
            </w:pPr>
          </w:p>
        </w:tc>
      </w:tr>
      <w:tr>
        <w:trPr>
          <w:trHeight w:val="210"/>
        </w:trPr>
        <w:tc>
          <w:tcPr>
            <w:tcW w:w="5820" w:type="dxa"/>
            <w:vAlign w:val="bottom"/>
          </w:tcPr>
          <w:p>
            <w:pPr>
              <w:spacing w:after="0"/>
              <w:rPr>
                <w:sz w:val="20"/>
                <w:szCs w:val="20"/>
                <w:color w:val="auto"/>
              </w:rPr>
            </w:pPr>
            <w:r>
              <w:rPr>
                <w:rFonts w:ascii="Arial" w:cs="Arial" w:eastAsia="Arial" w:hAnsi="Arial"/>
                <w:sz w:val="16"/>
                <w:szCs w:val="16"/>
                <w:color w:val="auto"/>
              </w:rPr>
              <w:t>SG&amp;A</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1,356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1,337</w:t>
            </w:r>
          </w:p>
        </w:tc>
        <w:tc>
          <w:tcPr>
            <w:tcW w:w="100" w:type="dxa"/>
            <w:vAlign w:val="bottom"/>
          </w:tcPr>
          <w:p>
            <w:pPr>
              <w:spacing w:after="0"/>
              <w:rPr>
                <w:sz w:val="18"/>
                <w:szCs w:val="18"/>
                <w:color w:val="auto"/>
              </w:rPr>
            </w:pPr>
          </w:p>
        </w:tc>
      </w:tr>
      <w:tr>
        <w:trPr>
          <w:trHeight w:val="222"/>
        </w:trPr>
        <w:tc>
          <w:tcPr>
            <w:tcW w:w="5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profit: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3"/>
        </w:trPr>
        <w:tc>
          <w:tcPr>
            <w:tcW w:w="5820" w:type="dxa"/>
            <w:vAlign w:val="bottom"/>
          </w:tcPr>
          <w:p>
            <w:pPr>
              <w:ind w:left="140"/>
              <w:spacing w:after="0"/>
              <w:rPr>
                <w:sz w:val="20"/>
                <w:szCs w:val="20"/>
                <w:color w:val="auto"/>
              </w:rPr>
            </w:pPr>
            <w:r>
              <w:rPr>
                <w:rFonts w:ascii="Arial" w:cs="Arial" w:eastAsia="Arial" w:hAnsi="Arial"/>
                <w:sz w:val="16"/>
                <w:szCs w:val="16"/>
                <w:color w:val="auto"/>
              </w:rPr>
              <w:t>Analog</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2,399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2,426</w:t>
            </w:r>
          </w:p>
        </w:tc>
        <w:tc>
          <w:tcPr>
            <w:tcW w:w="100" w:type="dxa"/>
            <w:vAlign w:val="bottom"/>
          </w:tcPr>
          <w:p>
            <w:pPr>
              <w:spacing w:after="0"/>
              <w:rPr>
                <w:sz w:val="18"/>
                <w:szCs w:val="18"/>
                <w:color w:val="auto"/>
              </w:rPr>
            </w:pPr>
          </w:p>
        </w:tc>
      </w:tr>
      <w:tr>
        <w:trPr>
          <w:trHeight w:val="219"/>
        </w:trPr>
        <w:tc>
          <w:tcPr>
            <w:tcW w:w="5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Embedded Processing</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100" w:type="dxa"/>
            <w:vAlign w:val="bottom"/>
            <w:shd w:val="clear" w:color="auto" w:fill="CCEEFF"/>
          </w:tcPr>
          <w:p>
            <w:pPr>
              <w:spacing w:after="0"/>
              <w:rPr>
                <w:sz w:val="19"/>
                <w:szCs w:val="19"/>
                <w:color w:val="auto"/>
              </w:rPr>
            </w:pPr>
          </w:p>
        </w:tc>
      </w:tr>
      <w:tr>
        <w:trPr>
          <w:trHeight w:val="213"/>
        </w:trPr>
        <w:tc>
          <w:tcPr>
            <w:tcW w:w="5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Borders>
              <w:bottom w:val="single" w:sz="8" w:color="CCEEFF"/>
            </w:tcBorders>
          </w:tcPr>
          <w:p>
            <w:pPr>
              <w:spacing w:after="0"/>
              <w:rPr>
                <w:sz w:val="18"/>
                <w:szCs w:val="18"/>
                <w:color w:val="auto"/>
              </w:rPr>
            </w:pPr>
          </w:p>
        </w:tc>
      </w:tr>
      <w:tr>
        <w:trPr>
          <w:trHeight w:val="213"/>
        </w:trPr>
        <w:tc>
          <w:tcPr>
            <w:tcW w:w="582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profit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100" w:type="dxa"/>
            <w:vAlign w:val="bottom"/>
            <w:shd w:val="clear" w:color="auto" w:fill="CCEEFF"/>
          </w:tcPr>
          <w:p>
            <w:pPr>
              <w:spacing w:after="0"/>
              <w:rPr>
                <w:sz w:val="18"/>
                <w:szCs w:val="18"/>
                <w:color w:val="auto"/>
              </w:rPr>
            </w:pPr>
          </w:p>
        </w:tc>
      </w:tr>
      <w:tr>
        <w:trPr>
          <w:trHeight w:val="237"/>
        </w:trPr>
        <w:tc>
          <w:tcPr>
            <w:tcW w:w="5820" w:type="dxa"/>
            <w:vAlign w:val="bottom"/>
          </w:tcPr>
          <w:p>
            <w:pPr>
              <w:spacing w:after="0"/>
              <w:rPr>
                <w:sz w:val="20"/>
                <w:szCs w:val="20"/>
                <w:color w:val="auto"/>
              </w:rPr>
            </w:pPr>
            <w:r>
              <w:rPr>
                <w:rFonts w:ascii="Arial" w:cs="Arial" w:eastAsia="Arial" w:hAnsi="Arial"/>
                <w:sz w:val="16"/>
                <w:szCs w:val="16"/>
                <w:color w:val="auto"/>
              </w:rPr>
              <w:t>OI&amp;E</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(29)</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 – standards not yet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ASU No. 2014-09, Revenue from Contracts with Customers (Topic 606)</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standard provides a single set of guidelines for revenue recognition to be used across all industries and requires additional disclosures, which we are currently evaluating. It is effective for annual and interim reporting periods beginning after December 15, 2017. This standard permits early adoption and the use of either the retrospective or cumulative-effect transition method.</w:t>
      </w:r>
    </w:p>
    <w:p>
      <w:pPr>
        <w:spacing w:after="0" w:line="190"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We currently anticipate adopting this standard using the cumulative-effect (i.e., modified retrospective) transition method, which would result in an adjustment to retained earnings for the cumulative effect of applying this guidance to contracts in process as of January 1, 2018. Under this approach, we would not restate the prior financial statements presented. The final adoption method will depend on the results of our ongoing assessment, which will be completed later in 2017.</w:t>
      </w:r>
    </w:p>
    <w:p>
      <w:pPr>
        <w:spacing w:after="0" w:line="147" w:lineRule="exact"/>
        <w:rPr>
          <w:sz w:val="20"/>
          <w:szCs w:val="20"/>
          <w:color w:val="auto"/>
        </w:rPr>
      </w:pPr>
    </w:p>
    <w:p>
      <w:pPr>
        <w:ind w:right="460"/>
        <w:spacing w:after="0" w:line="340" w:lineRule="auto"/>
        <w:rPr>
          <w:sz w:val="20"/>
          <w:szCs w:val="20"/>
          <w:color w:val="auto"/>
        </w:rPr>
      </w:pPr>
      <w:r>
        <w:rPr>
          <w:rFonts w:ascii="Arial" w:cs="Arial" w:eastAsia="Arial" w:hAnsi="Arial"/>
          <w:sz w:val="15"/>
          <w:szCs w:val="15"/>
          <w:color w:val="auto"/>
        </w:rPr>
        <w:t>Based on our current assessment, we believe the new standard will not have a material impact on our financial position and results of operations, as it is not expected to change the manner or timing of recognizing revenue. We recognize revenue on sales to customers and distributors upon satisfaction of our performance obligations when the goods are shipped. For consignment sales, we recognize revenue when the goods are pulled from consignment inventory.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ASU No. 2016-01, Financial Instruments – Overall (Subtopic 825-10): Recognition and Measurement of Financial Assets and Financial Liabilities</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Under this standard, all equity investments except those accounted for under the equity method are required to be measured at fair value. Equity investments that do not have a readily determinable fair value may, as a practical expedient, be measured at cost, adjusted for changes in observable prices minus impairment. This standard is effective for our interim and annual periods beginning January 1, 2018, and should be applied on a modified retrospective basis except for the amendments related to equity securities without readily determinable fair values, which would be applied on a prospective basis. We do not expect this standard to have a material impact on our financial position and results of operations, as nearly all of our equity investments are already recorded at fair value or under the equity method.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ASU No. 2016-02, Leases (Topic 842)</w:t>
      </w:r>
    </w:p>
    <w:p>
      <w:pPr>
        <w:spacing w:after="0" w:line="23"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This standard requires all leases that have a term of over 12 months to be recognized on the balance sheet with the liability for lease payments and the corresponding right-of-use asset initially measured at the present value of amounts expected to be paid over the term. Recognition of the costs of these leases on the income statement will be dependent upon their classification as either an operating or a financing lease. Costs of an operating lease will continue to be recognized as a single operating expense on a straight-line basis over the lease term. Costs for a financing lease will be disaggregated and recognized as both an operating expense (for the amortization of the right-of-use asset) and interest expense (for interest on the lease liability). This standard will be effective for our interim and annual periods beginning January 1, 2019, and must be applied on a modified retrospective basis to leases existing at, or entered into after, the beginning of the earliest comparative period presented in the financial statements. We do not plan to adopt this standard early. We are currently evaluating the potential impact of this standard on our financial position, but we do not expect it to have a material impact on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ASU No. 2016-13, Financial Instruments – Credit Losses (Topic 326): Measurement of Credit Losses on Financial Instruments</w:t>
      </w:r>
    </w:p>
    <w:p>
      <w:pPr>
        <w:spacing w:after="0" w:line="2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This standard requires entities to use a current lifetime expected credit loss methodology to measure impairments of certain financial assets. Using this methodology will result in earlier recognition of losses than under the current incurred loss approach, which requires waiting to recognize a loss until it is probable of having been incurred. There are other provisions within the standard that affect how impairments of other financial assets may be recorded and presented, and that expand disclosures. This standard will be effective for our interim and annual periods beginning after December 15, 2019, and permits earlier application but not before December 15, 2018. The standard will be applied using a modified retrospective approach. We are currently evaluating the potential impact of this standard, but we do not expect it to have a material impact on our financial position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ASU No. 2017-01, Business Combinations (Topic 805): Clarifying the Definition of a Business</w:t>
      </w:r>
    </w:p>
    <w:p>
      <w:pPr>
        <w:spacing w:after="0" w:line="2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This standard affects areas of accounting such as acquisitions, disposals and goodwill. This standard provides guidance to evaluate whether transactions should be accounted for as an acquisition (or disposal) of assets or as a business combination. Under this new standard, if substantially all of the fair value of the gross assets acquired (or disposed of) is concentrated in a single identifiable asset or a group of similar identifiable assets, it may be treated as an asset acquisition rather than a business combination. This standard is to be applied on a prospective basis and will be effective for us for annual periods beginning after December 15, 2017, including interim periods within those periods. Early adoption is permitted. The impact of this standard on our financial position, results of operation and related disclosures will be dependent upon the specific terms of any applicable future acquisitions or dispositions.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ind w:right="920"/>
        <w:spacing w:after="0" w:line="258" w:lineRule="auto"/>
        <w:rPr>
          <w:sz w:val="20"/>
          <w:szCs w:val="20"/>
          <w:color w:val="auto"/>
        </w:rPr>
      </w:pPr>
      <w:r>
        <w:rPr>
          <w:rFonts w:ascii="Arial" w:cs="Arial" w:eastAsia="Arial" w:hAnsi="Arial"/>
          <w:sz w:val="18"/>
          <w:szCs w:val="18"/>
          <w:i w:val="1"/>
          <w:iCs w:val="1"/>
          <w:u w:val="single" w:color="auto"/>
          <w:color w:val="auto"/>
        </w:rPr>
        <w:t>ASU No. 2017-05, Other Income – Gains and Losses from the Derecognition of Nonfinancial Assets (Subtopic 610-20): Clarifying the Scope of Asset Derecognition Guidance and Accounting for Partial Sales of Nonfinancial Assets</w:t>
      </w:r>
    </w:p>
    <w:p>
      <w:pPr>
        <w:spacing w:after="0" w:line="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This standard provides guidance on the recognition and measurement of gains and losses from the transfer, sale or partial sale to noncustomers of nonfinancial assets (such as intangible assets, property, plant and equipment) or an ownership interest in a consolidated subsidiary that is not a business. This standard is to be applied on either a retrospective basis to all periods presented or on a modified retrospective basis (i.e., cumulative catch up as of the beginning of the earliest period presented) and will be effective for us for annual periods beginning after December 15, 2017, including interim periods within those periods. Earlier application is permitted. We are currently evaluating the timing of adoption and the potential impact of this standard on our financial position and results of operations, but we do not expect it to have a material impact.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ASU No. 2017-12, Derivatives and Hedging (Topic 815): Targeted Improvements to Accounting for Hedging Activities</w:t>
      </w:r>
    </w:p>
    <w:p>
      <w:pPr>
        <w:spacing w:after="0" w:line="23"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This standard primarily applies to designated transactions for which companies have elected to apply optional hedge accounting, and makes more financial and non-financial hedging strategies eligible for such accounting. Given that our use of hedge accounting has been immaterial in the past, we do not expect this new standard to have a material impact on our financial position and results of operations.</w:t>
      </w:r>
    </w:p>
    <w:p>
      <w:pPr>
        <w:spacing w:after="0" w:line="190"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are recognized in Other for segment reporting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Beginning January 2017, we reorganized the product lines within our two reportable segments. We recognized $18 million of restructuring charges for severance and benefit costs in the fourth quarter of 2016 and an additional $3 million in the first half of 2017. Any further charges are not expected to be material. As of September 30, 2017, $10 million has been paid to terminated employees for severance and benefits.</w:t>
      </w:r>
    </w:p>
    <w:p>
      <w:pPr>
        <w:spacing w:after="0" w:line="16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For the three and nine months ended September 30, 2017, we incurred restructuring charges of $1 million and $5 million, respectively, related to the phase-out of a manufacturing facility in Greenock, Scotland. These charges were primarily comprised of severance and benefits costs, as well as accelerated depreciation. Total restructuring charges, primarily severance and benefit costs, are estimated to be about $40 million, of which $29 million has been recognized through September 30, 2017. The remaining charges are expected to be recognized through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accrued restructuring balances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2016</w:t>
            </w: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r>
      <w:tr>
        <w:trPr>
          <w:trHeight w:val="210"/>
        </w:trPr>
        <w:tc>
          <w:tcPr>
            <w:tcW w:w="10400" w:type="dxa"/>
            <w:vAlign w:val="bottom"/>
          </w:tcPr>
          <w:p>
            <w:pPr>
              <w:spacing w:after="0"/>
              <w:rPr>
                <w:sz w:val="20"/>
                <w:szCs w:val="20"/>
                <w:color w:val="auto"/>
              </w:rPr>
            </w:pPr>
            <w:r>
              <w:rPr>
                <w:rFonts w:ascii="Arial" w:cs="Arial" w:eastAsia="Arial" w:hAnsi="Arial"/>
                <w:sz w:val="16"/>
                <w:szCs w:val="16"/>
                <w:b w:val="1"/>
                <w:bCs w:val="1"/>
                <w:color w:val="auto"/>
              </w:rPr>
              <w:t>Restructuring charges</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18"/>
                <w:szCs w:val="18"/>
                <w:color w:val="auto"/>
              </w:rPr>
            </w:pPr>
          </w:p>
        </w:tc>
      </w:tr>
      <w:tr>
        <w:trPr>
          <w:trHeight w:val="222"/>
        </w:trPr>
        <w:tc>
          <w:tcPr>
            <w:tcW w:w="10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Payments</w:t>
            </w:r>
          </w:p>
        </w:tc>
        <w:tc>
          <w:tcPr>
            <w:tcW w:w="3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(16)</w:t>
            </w:r>
          </w:p>
        </w:tc>
      </w:tr>
      <w:tr>
        <w:trPr>
          <w:trHeight w:val="213"/>
        </w:trPr>
        <w:tc>
          <w:tcPr>
            <w:tcW w:w="10400" w:type="dxa"/>
            <w:vAlign w:val="bottom"/>
          </w:tcPr>
          <w:p>
            <w:pPr>
              <w:spacing w:after="0"/>
              <w:rPr>
                <w:sz w:val="20"/>
                <w:szCs w:val="20"/>
                <w:color w:val="auto"/>
              </w:rPr>
            </w:pPr>
            <w:r>
              <w:rPr>
                <w:rFonts w:ascii="Arial" w:cs="Arial" w:eastAsia="Arial" w:hAnsi="Arial"/>
                <w:sz w:val="16"/>
                <w:szCs w:val="16"/>
                <w:b w:val="1"/>
                <w:bCs w:val="1"/>
                <w:color w:val="auto"/>
              </w:rPr>
              <w:t>Non-cash items (a)</w:t>
            </w:r>
          </w:p>
        </w:tc>
        <w:tc>
          <w:tcPr>
            <w:tcW w:w="3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r>
      <w:tr>
        <w:trPr>
          <w:trHeight w:val="210"/>
        </w:trPr>
        <w:tc>
          <w:tcPr>
            <w:tcW w:w="10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September 30, 2017</w:t>
            </w:r>
          </w:p>
        </w:tc>
        <w:tc>
          <w:tcPr>
            <w:tcW w:w="38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0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charges for impacts of accelerated depreciation and changes in exchange rates.</w:t>
      </w:r>
    </w:p>
    <w:p>
      <w:pPr>
        <w:spacing w:after="0" w:line="212"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Provision for income taxes was $504 million and $363 million for the third quarters of 2017 and 2016, respectively. The increase was primarily due to higher income before income taxes. Our Provision for income taxes was $1.19 billion and $885 million for the first nine months of 2017 and 2016, respectively. The increase was due to higher income before income taxes.</w:t>
      </w:r>
    </w:p>
    <w:p>
      <w:pPr>
        <w:spacing w:after="0" w:line="7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Our estimated annual effective tax rate is about 31 percent, which does not include discrete tax items. This differs from the 35 percent statutory corporate tax rate due to the effect of U.S. tax benefits and lower statutory tax rates applicable to our operations in many of the jurisdictions in which we operate. These lower non-U.S. tax rates are generally statutory in nature, without expiration and available to companies that operate in those taxing jurisdictions.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is based on the following: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Pr>
          <w:p>
            <w:pPr>
              <w:spacing w:after="0"/>
              <w:rPr>
                <w:sz w:val="18"/>
                <w:szCs w:val="18"/>
                <w:color w:val="auto"/>
              </w:rPr>
            </w:pPr>
          </w:p>
        </w:tc>
        <w:tc>
          <w:tcPr>
            <w:tcW w:w="2080" w:type="dxa"/>
            <w:vAlign w:val="bottom"/>
            <w:gridSpan w:val="4"/>
          </w:tcPr>
          <w:p>
            <w:pPr>
              <w:jc w:val="right"/>
              <w:spacing w:after="0"/>
              <w:rPr>
                <w:sz w:val="20"/>
                <w:szCs w:val="20"/>
                <w:color w:val="auto"/>
              </w:rPr>
            </w:pPr>
            <w:r>
              <w:rPr>
                <w:rFonts w:ascii="Arial" w:cs="Arial" w:eastAsia="Arial" w:hAnsi="Arial"/>
                <w:sz w:val="16"/>
                <w:szCs w:val="16"/>
                <w:b w:val="1"/>
                <w:bCs w:val="1"/>
                <w:color w:val="auto"/>
              </w:rPr>
              <w:t>For Three Months Ended</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6"/>
          </w:tcPr>
          <w:p>
            <w:pPr>
              <w:jc w:val="right"/>
              <w:ind w:right="500"/>
              <w:spacing w:after="0"/>
              <w:rPr>
                <w:sz w:val="20"/>
                <w:szCs w:val="20"/>
                <w:color w:val="auto"/>
              </w:rPr>
            </w:pPr>
            <w:r>
              <w:rPr>
                <w:rFonts w:ascii="Arial" w:cs="Arial" w:eastAsia="Arial" w:hAnsi="Arial"/>
                <w:sz w:val="16"/>
                <w:szCs w:val="16"/>
                <w:b w:val="1"/>
                <w:bCs w:val="1"/>
                <w:color w:val="auto"/>
                <w:w w:val="99"/>
              </w:rPr>
              <w:t>For Nine Months Ended</w:t>
            </w:r>
          </w:p>
        </w:tc>
        <w:tc>
          <w:tcPr>
            <w:tcW w:w="0" w:type="dxa"/>
            <w:vAlign w:val="bottom"/>
          </w:tcPr>
          <w:p>
            <w:pPr>
              <w:spacing w:after="0"/>
              <w:rPr>
                <w:sz w:val="1"/>
                <w:szCs w:val="1"/>
                <w:color w:val="auto"/>
              </w:rPr>
            </w:pPr>
          </w:p>
        </w:tc>
      </w:tr>
      <w:tr>
        <w:trPr>
          <w:trHeight w:val="219"/>
        </w:trPr>
        <w:tc>
          <w:tcPr>
            <w:tcW w:w="62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322"/>
              <w:spacing w:after="0"/>
              <w:rPr>
                <w:sz w:val="20"/>
                <w:szCs w:val="20"/>
                <w:color w:val="auto"/>
              </w:rPr>
            </w:pPr>
            <w:r>
              <w:rPr>
                <w:rFonts w:ascii="Arial" w:cs="Arial" w:eastAsia="Arial" w:hAnsi="Arial"/>
                <w:sz w:val="16"/>
                <w:szCs w:val="16"/>
                <w:b w:val="1"/>
                <w:bCs w:val="1"/>
                <w:color w:val="auto"/>
                <w:w w:val="89"/>
              </w:rPr>
              <w:t>September 30,</w:t>
            </w:r>
          </w:p>
        </w:tc>
        <w:tc>
          <w:tcPr>
            <w:tcW w:w="3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September 30,</w:t>
            </w:r>
          </w:p>
        </w:tc>
        <w:tc>
          <w:tcPr>
            <w:tcW w:w="6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320" w:type="dxa"/>
            <w:vAlign w:val="bottom"/>
            <w:tcBorders>
              <w:bottom w:val="single" w:sz="8" w:color="auto"/>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300" w:type="dxa"/>
            <w:vAlign w:val="bottom"/>
            <w:tcBorders>
              <w:bottom w:val="single" w:sz="8" w:color="auto"/>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84"/>
              </w:rPr>
              <w:t>2016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Taxes calculated using the estimated annual effective tax rate</w:t>
            </w:r>
          </w:p>
        </w:tc>
        <w:tc>
          <w:tcPr>
            <w:tcW w:w="680" w:type="dxa"/>
            <w:vAlign w:val="bottom"/>
            <w:shd w:val="clear" w:color="auto" w:fill="CCEEFF"/>
          </w:tcPr>
          <w:p>
            <w:pPr>
              <w:jc w:val="right"/>
              <w:ind w:right="522"/>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542</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42"/>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418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1,382</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0" w:type="dxa"/>
            <w:vAlign w:val="bottom"/>
          </w:tcPr>
          <w:p>
            <w:pPr>
              <w:spacing w:after="0"/>
              <w:rPr>
                <w:sz w:val="20"/>
                <w:szCs w:val="20"/>
                <w:color w:val="auto"/>
              </w:rPr>
            </w:pPr>
            <w:r>
              <w:rPr>
                <w:rFonts w:ascii="Arial" w:cs="Arial" w:eastAsia="Arial" w:hAnsi="Arial"/>
                <w:sz w:val="16"/>
                <w:szCs w:val="16"/>
                <w:color w:val="auto"/>
              </w:rPr>
              <w:t>Discrete tax items</w:t>
            </w:r>
          </w:p>
        </w:tc>
        <w:tc>
          <w:tcPr>
            <w:tcW w:w="68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(38)</w:t>
            </w:r>
          </w:p>
        </w:tc>
        <w:tc>
          <w:tcPr>
            <w:tcW w:w="7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6"/>
                <w:szCs w:val="16"/>
                <w:color w:val="auto"/>
              </w:rPr>
              <w:t>(55)</w:t>
            </w: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0"/>
        </w:trPr>
        <w:tc>
          <w:tcPr>
            <w:tcW w:w="62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ind w:right="522"/>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504</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42"/>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363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1,192</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6"/>
                <w:szCs w:val="16"/>
                <w:color w:val="auto"/>
              </w:rPr>
              <w:t>Estimated annual effective tax rate</w:t>
            </w:r>
          </w:p>
        </w:tc>
        <w:tc>
          <w:tcPr>
            <w:tcW w:w="6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31%</w:t>
            </w:r>
          </w:p>
        </w:tc>
        <w:tc>
          <w:tcPr>
            <w:tcW w:w="7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6"/>
                <w:szCs w:val="16"/>
                <w:color w:val="auto"/>
              </w:rPr>
              <w:t>Actual effective tax rate</w:t>
            </w:r>
          </w:p>
        </w:tc>
        <w:tc>
          <w:tcPr>
            <w:tcW w:w="6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28%</w:t>
            </w:r>
          </w:p>
        </w:tc>
        <w:tc>
          <w:tcPr>
            <w:tcW w:w="7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26%</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Valuation of debt and equity investments and certain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equity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classify our investments as available for sale, trading, equity method or cost method. Most of our investments are classified as available for sale.</w:t>
      </w:r>
    </w:p>
    <w:p>
      <w:pPr>
        <w:spacing w:after="0" w:line="23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Available-for-sale and trading securities are stated at fair value, which is generally based on market prices or broker quotes. See the fair-value discussion below. Unrealized gains and losses on available-for-sale securities are recorded as an increase or decrease, net of taxes, in AOCI on our Consolidated Balance Sheets. We record other-than-temporary impairments on available-for-sale securities in OI&amp;E in our Consolidated Statements of Income.</w:t>
      </w:r>
    </w:p>
    <w:p>
      <w:pPr>
        <w:spacing w:after="0" w:line="14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8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Our other investments are not measured at fair value but are accounted for using either the equity method or cost method. These investments consist of interests in venture capital funds and other non-marketable equity securities. Gains and losses from equity-method investments are reflected in OI&amp;E based on our ownership share of the investee’s financial results. Gains and losses on cost-method investments are recorded in OI&amp;E when realized or when an impairment of the investment’s value is warranted based on our assessment of the recoverability of each investment.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w w:val="96"/>
              </w:rPr>
              <w:t>September 30, 2017</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December 31, 2016</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Cash and Cash</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Short-Term</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Long-Term</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w w:val="88"/>
              </w:rPr>
              <w:t>Cash and Cash</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Short-Term</w:t>
            </w:r>
          </w:p>
        </w:tc>
        <w:tc>
          <w:tcPr>
            <w:tcW w:w="100" w:type="dxa"/>
            <w:vAlign w:val="bottom"/>
          </w:tcPr>
          <w:p>
            <w:pPr>
              <w:spacing w:after="0"/>
              <w:rPr>
                <w:sz w:val="17"/>
                <w:szCs w:val="17"/>
                <w:color w:val="auto"/>
              </w:rPr>
            </w:pPr>
          </w:p>
        </w:tc>
        <w:tc>
          <w:tcPr>
            <w:tcW w:w="102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Long-Term</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Equivalents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Investments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Investments</w:t>
            </w:r>
          </w:p>
        </w:tc>
        <w:tc>
          <w:tcPr>
            <w:tcW w:w="100" w:type="dxa"/>
            <w:vAlign w:val="bottom"/>
          </w:tcPr>
          <w:p>
            <w:pPr>
              <w:spacing w:after="0"/>
              <w:rPr>
                <w:sz w:val="19"/>
                <w:szCs w:val="19"/>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rPr>
              <w:t>Equivalents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0"/>
              <w:spacing w:after="0"/>
              <w:rPr>
                <w:sz w:val="20"/>
                <w:szCs w:val="20"/>
                <w:color w:val="auto"/>
              </w:rPr>
            </w:pPr>
            <w:r>
              <w:rPr>
                <w:rFonts w:ascii="Arial" w:cs="Arial" w:eastAsia="Arial" w:hAnsi="Arial"/>
                <w:sz w:val="16"/>
                <w:szCs w:val="16"/>
                <w:b w:val="1"/>
                <w:bCs w:val="1"/>
                <w:color w:val="auto"/>
              </w:rPr>
              <w:t>Investments</w:t>
            </w:r>
          </w:p>
        </w:tc>
        <w:tc>
          <w:tcPr>
            <w:tcW w:w="10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Investments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Measured at fair value:</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60" w:type="dxa"/>
            <w:vAlign w:val="bottom"/>
            <w:gridSpan w:val="2"/>
          </w:tcPr>
          <w:p>
            <w:pPr>
              <w:spacing w:after="0"/>
              <w:rPr>
                <w:sz w:val="20"/>
                <w:szCs w:val="20"/>
                <w:color w:val="auto"/>
              </w:rPr>
            </w:pPr>
            <w:r>
              <w:rPr>
                <w:rFonts w:ascii="Arial" w:cs="Arial" w:eastAsia="Arial" w:hAnsi="Arial"/>
                <w:sz w:val="16"/>
                <w:szCs w:val="16"/>
                <w:color w:val="auto"/>
              </w:rPr>
              <w:t>Available-for-sale securities: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Money market funds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40" w:type="dxa"/>
            <w:vAlign w:val="bottom"/>
          </w:tcPr>
          <w:p>
            <w:pPr>
              <w:ind w:left="120"/>
              <w:spacing w:after="0"/>
              <w:rPr>
                <w:sz w:val="20"/>
                <w:szCs w:val="20"/>
                <w:color w:val="auto"/>
              </w:rPr>
            </w:pPr>
            <w:r>
              <w:rPr>
                <w:rFonts w:ascii="Arial" w:cs="Arial" w:eastAsia="Arial" w:hAnsi="Arial"/>
                <w:sz w:val="16"/>
                <w:szCs w:val="16"/>
                <w:color w:val="auto"/>
              </w:rPr>
              <w:t>Corporate obligations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U.S. government agency and Treasury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639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1,540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securities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860" w:type="dxa"/>
            <w:vAlign w:val="bottom"/>
            <w:gridSpan w:val="2"/>
          </w:tcPr>
          <w:p>
            <w:pPr>
              <w:spacing w:after="0"/>
              <w:rPr>
                <w:sz w:val="20"/>
                <w:szCs w:val="20"/>
                <w:color w:val="auto"/>
              </w:rPr>
            </w:pPr>
            <w:r>
              <w:rPr>
                <w:rFonts w:ascii="Arial" w:cs="Arial" w:eastAsia="Arial" w:hAnsi="Arial"/>
                <w:sz w:val="16"/>
                <w:szCs w:val="16"/>
                <w:color w:val="auto"/>
              </w:rPr>
              <w:t>Trading securities: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226</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860" w:type="dxa"/>
            <w:vAlign w:val="bottom"/>
            <w:gridSpan w:val="2"/>
          </w:tcPr>
          <w:p>
            <w:pPr>
              <w:spacing w:after="0"/>
              <w:rPr>
                <w:sz w:val="20"/>
                <w:szCs w:val="20"/>
                <w:color w:val="auto"/>
              </w:rPr>
            </w:pPr>
            <w:r>
              <w:rPr>
                <w:rFonts w:ascii="Arial" w:cs="Arial" w:eastAsia="Arial" w:hAnsi="Arial"/>
                <w:sz w:val="16"/>
                <w:szCs w:val="16"/>
                <w:color w:val="auto"/>
              </w:rPr>
              <w:t>Total</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1,109</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2,148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226</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943</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2,336</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6"/>
                <w:szCs w:val="16"/>
                <w:b w:val="1"/>
                <w:bCs w:val="1"/>
                <w:color w:val="auto"/>
              </w:rPr>
              <w:t>Other measurement basis: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Equity-method investments</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40" w:type="dxa"/>
            <w:vAlign w:val="bottom"/>
          </w:tcPr>
          <w:p>
            <w:pPr>
              <w:ind w:left="120"/>
              <w:spacing w:after="0"/>
              <w:rPr>
                <w:sz w:val="20"/>
                <w:szCs w:val="20"/>
                <w:color w:val="auto"/>
              </w:rPr>
            </w:pPr>
            <w:r>
              <w:rPr>
                <w:rFonts w:ascii="Arial" w:cs="Arial" w:eastAsia="Arial" w:hAnsi="Arial"/>
                <w:sz w:val="16"/>
                <w:szCs w:val="16"/>
                <w:color w:val="auto"/>
              </w:rPr>
              <w:t>Cost-method investments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on hand</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187</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860" w:type="dxa"/>
            <w:vAlign w:val="bottom"/>
            <w:gridSpan w:val="2"/>
          </w:tcPr>
          <w:p>
            <w:pPr>
              <w:spacing w:after="0"/>
              <w:rPr>
                <w:sz w:val="20"/>
                <w:szCs w:val="20"/>
                <w:color w:val="auto"/>
              </w:rPr>
            </w:pPr>
            <w:r>
              <w:rPr>
                <w:rFonts w:ascii="Arial" w:cs="Arial" w:eastAsia="Arial" w:hAnsi="Arial"/>
                <w:sz w:val="16"/>
                <w:szCs w:val="16"/>
                <w:color w:val="auto"/>
              </w:rPr>
              <w:t>Total</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1,296</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2,148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258</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1,154</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2,336</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As of September 30, 2017, and December 31, 2016, unrealized gains and losses associated with our available-for-sale investments were not material. We did not recognize any credit losses related to available-for-sale investments for the nine months ended September 30, 2017, and September 30, 2016.</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For the nine months ended September 30, 2017, and September 30, 2016, the proceeds from sales, redemptions and maturities of short-term available-for-sale investments were $3.31 billion and $2.63 billion, respectively. Gross realized gains and losses from these sales were not material.</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aggregate maturities of investments in debt securities classified as available for sale as of September 30, 2017:</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Due</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Borders>
              <w:bottom w:val="single" w:sz="8" w:color="CCEEFF"/>
            </w:tcBorders>
          </w:tcPr>
          <w:p>
            <w:pPr>
              <w:spacing w:after="0"/>
              <w:rPr>
                <w:sz w:val="18"/>
                <w:szCs w:val="18"/>
                <w:color w:val="auto"/>
              </w:rPr>
            </w:pPr>
          </w:p>
        </w:tc>
      </w:tr>
      <w:tr>
        <w:trPr>
          <w:trHeight w:val="213"/>
        </w:trPr>
        <w:tc>
          <w:tcPr>
            <w:tcW w:w="9880" w:type="dxa"/>
            <w:vAlign w:val="bottom"/>
            <w:shd w:val="clear" w:color="auto" w:fill="CCEEFF"/>
          </w:tcPr>
          <w:p>
            <w:pPr>
              <w:spacing w:after="0"/>
              <w:rPr>
                <w:sz w:val="20"/>
                <w:szCs w:val="20"/>
                <w:color w:val="auto"/>
              </w:rPr>
            </w:pPr>
            <w:r>
              <w:rPr>
                <w:rFonts w:ascii="Arial" w:cs="Arial" w:eastAsia="Arial" w:hAnsi="Arial"/>
                <w:sz w:val="16"/>
                <w:szCs w:val="16"/>
                <w:color w:val="auto"/>
              </w:rPr>
              <w:t>One year or less</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3,257</w:t>
            </w:r>
          </w:p>
        </w:tc>
        <w:tc>
          <w:tcPr>
            <w:tcW w:w="120" w:type="dxa"/>
            <w:vAlign w:val="bottom"/>
            <w:shd w:val="clear" w:color="auto" w:fill="CCEEFF"/>
          </w:tcPr>
          <w:p>
            <w:pPr>
              <w:spacing w:after="0"/>
              <w:rPr>
                <w:sz w:val="18"/>
                <w:szCs w:val="18"/>
                <w:color w:val="auto"/>
              </w:rPr>
            </w:pPr>
          </w:p>
        </w:tc>
      </w:tr>
      <w:tr>
        <w:trPr>
          <w:trHeight w:val="210"/>
        </w:trPr>
        <w:tc>
          <w:tcPr>
            <w:tcW w:w="9880" w:type="dxa"/>
            <w:vAlign w:val="bottom"/>
          </w:tcPr>
          <w:p>
            <w:pPr>
              <w:spacing w:after="0"/>
              <w:rPr>
                <w:sz w:val="20"/>
                <w:szCs w:val="20"/>
                <w:color w:val="auto"/>
              </w:rPr>
            </w:pPr>
            <w:r>
              <w:rPr>
                <w:rFonts w:ascii="Arial" w:cs="Arial" w:eastAsia="Arial" w:hAnsi="Arial"/>
                <w:sz w:val="16"/>
                <w:szCs w:val="16"/>
                <w:color w:val="auto"/>
              </w:rPr>
              <w:t>One to two years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bl>
    <w:p>
      <w:pPr>
        <w:spacing w:after="0" w:line="20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Other-than-temporary declines and impairments in the values of these investments, which were recognized in OI&amp;E, were not material in the nine months ended September 30, 2017, and September 30,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fair-value measurements.</w:t>
      </w:r>
    </w:p>
    <w:p>
      <w:pPr>
        <w:spacing w:after="0" w:line="225"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 Uses unadjusted quoted prices that are available in active markets for identical assets or liabilities as of the reporting date.</w:t>
      </w:r>
    </w:p>
    <w:p>
      <w:pPr>
        <w:spacing w:after="0" w:line="128" w:lineRule="exact"/>
        <w:rPr>
          <w:rFonts w:ascii="Arial" w:cs="Arial" w:eastAsia="Arial" w:hAnsi="Arial"/>
          <w:sz w:val="17"/>
          <w:szCs w:val="17"/>
          <w:color w:val="auto"/>
        </w:rPr>
      </w:pPr>
    </w:p>
    <w:p>
      <w:pPr>
        <w:ind w:left="1040" w:right="20" w:hanging="519"/>
        <w:spacing w:after="0" w:line="273"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Uses inputs other than Level 1 that are either directly or indirectly observable as of the reporting date through correlation with market</w:t>
      </w:r>
      <w:r>
        <w:rPr>
          <w:rFonts w:ascii="Arial" w:cs="Arial" w:eastAsia="Arial" w:hAnsi="Arial"/>
          <w:sz w:val="17"/>
          <w:szCs w:val="17"/>
          <w:i w:val="1"/>
          <w:iCs w:val="1"/>
          <w:color w:val="auto"/>
        </w:rPr>
        <w:t xml:space="preserve"> </w:t>
      </w:r>
      <w:r>
        <w:rPr>
          <w:rFonts w:ascii="Arial" w:cs="Arial" w:eastAsia="Arial" w:hAnsi="Arial"/>
          <w:sz w:val="17"/>
          <w:szCs w:val="17"/>
          <w:color w:val="auto"/>
        </w:rPr>
        <w:t>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70" w:lineRule="exact"/>
        <w:rPr>
          <w:rFonts w:ascii="Arial" w:cs="Arial" w:eastAsia="Arial" w:hAnsi="Arial"/>
          <w:sz w:val="17"/>
          <w:szCs w:val="17"/>
          <w:color w:val="auto"/>
        </w:rPr>
      </w:pPr>
    </w:p>
    <w:p>
      <w:pPr>
        <w:ind w:left="1040" w:right="100" w:hanging="519"/>
        <w:spacing w:after="0" w:line="312"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Uses inputs that are unobservable, supported by little or no market activity and reflect the use of significant management judgment.</w:t>
      </w:r>
      <w:r>
        <w:rPr>
          <w:rFonts w:ascii="Arial" w:cs="Arial" w:eastAsia="Arial" w:hAnsi="Arial"/>
          <w:sz w:val="16"/>
          <w:szCs w:val="16"/>
          <w:i w:val="1"/>
          <w:iCs w:val="1"/>
          <w:color w:val="auto"/>
        </w:rPr>
        <w:t xml:space="preserve"> </w:t>
      </w:r>
      <w:r>
        <w:rPr>
          <w:rFonts w:ascii="Arial" w:cs="Arial" w:eastAsia="Arial" w:hAnsi="Arial"/>
          <w:sz w:val="16"/>
          <w:szCs w:val="16"/>
          <w:color w:val="auto"/>
        </w:rPr>
        <w:t>These values are generally determined using pricing models that utilize management estimates of market participant assumptions. As of September 30, 2017, and December 31, 2016, we had no Level 3 assets or liabilities, other than certain assets held by our postretirement plans.</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September 30, 2017</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4"/>
              </w:rPr>
              <w:t>December 31, 2016</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Level 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Level 2</w:t>
            </w:r>
          </w:p>
        </w:tc>
        <w:tc>
          <w:tcPr>
            <w:tcW w:w="180" w:type="dxa"/>
            <w:vAlign w:val="bottom"/>
          </w:tcPr>
          <w:p>
            <w:pPr>
              <w:spacing w:after="0"/>
              <w:rPr>
                <w:sz w:val="18"/>
                <w:szCs w:val="18"/>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Level 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8"/>
                <w:szCs w:val="18"/>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445</w:t>
            </w:r>
          </w:p>
        </w:tc>
        <w:tc>
          <w:tcPr>
            <w:tcW w:w="4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445</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346</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obligations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633</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633</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6"/>
                <w:szCs w:val="16"/>
                <w:color w:val="auto"/>
              </w:rPr>
              <w:t>U.S. government agency and Treasury securities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2,129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50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2,179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2,042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226</w:t>
            </w:r>
          </w:p>
        </w:tc>
        <w:tc>
          <w:tcPr>
            <w:tcW w:w="3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226</w:t>
            </w:r>
          </w:p>
        </w:tc>
        <w:tc>
          <w:tcPr>
            <w:tcW w:w="3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66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2,800</w:t>
            </w:r>
          </w:p>
        </w:tc>
        <w:tc>
          <w:tcPr>
            <w:tcW w:w="3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683</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3,483</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2,589</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891</w:t>
            </w:r>
          </w:p>
        </w:tc>
        <w:tc>
          <w:tcPr>
            <w:tcW w:w="32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3,480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compensation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243</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6"/>
                <w:szCs w:val="16"/>
                <w:color w:val="auto"/>
              </w:rPr>
              <w:t>Total liabilities</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60" w:type="dxa"/>
            <w:vAlign w:val="bottom"/>
            <w:gridSpan w:val="2"/>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243</w:t>
            </w:r>
          </w:p>
        </w:tc>
        <w:tc>
          <w:tcPr>
            <w:tcW w:w="3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vMerge w:val="continue"/>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243</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218</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5"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Goodwill and acquisition-related intangibles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Goodwill, net, was $4.36 billion as of September 30, 2017, and December 31, 2016. There was no impairment of goodwill during the nine months ended September 30, 2017, or September 30,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Acquisition-related intangibles, net,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60" w:type="dxa"/>
            <w:vAlign w:val="bottom"/>
          </w:tcPr>
          <w:p>
            <w:pPr>
              <w:spacing w:after="0"/>
              <w:rPr>
                <w:sz w:val="18"/>
                <w:szCs w:val="18"/>
                <w:color w:val="auto"/>
              </w:rPr>
            </w:pPr>
          </w:p>
        </w:tc>
        <w:tc>
          <w:tcPr>
            <w:tcW w:w="14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4"/>
              </w:rPr>
              <w:t>Amortization</w:t>
            </w:r>
          </w:p>
        </w:tc>
        <w:tc>
          <w:tcPr>
            <w:tcW w:w="1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5"/>
          </w:tcPr>
          <w:p>
            <w:pPr>
              <w:ind w:left="1080"/>
              <w:spacing w:after="0"/>
              <w:rPr>
                <w:sz w:val="20"/>
                <w:szCs w:val="20"/>
                <w:color w:val="auto"/>
              </w:rPr>
            </w:pPr>
            <w:r>
              <w:rPr>
                <w:rFonts w:ascii="Arial" w:cs="Arial" w:eastAsia="Arial" w:hAnsi="Arial"/>
                <w:sz w:val="16"/>
                <w:szCs w:val="16"/>
                <w:b w:val="1"/>
                <w:bCs w:val="1"/>
                <w:color w:val="auto"/>
              </w:rPr>
              <w:t>September 30, 2017</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ind w:left="1080"/>
              <w:spacing w:after="0"/>
              <w:rPr>
                <w:sz w:val="20"/>
                <w:szCs w:val="20"/>
                <w:color w:val="auto"/>
              </w:rPr>
            </w:pPr>
            <w:r>
              <w:rPr>
                <w:rFonts w:ascii="Arial" w:cs="Arial" w:eastAsia="Arial" w:hAnsi="Arial"/>
                <w:sz w:val="16"/>
                <w:szCs w:val="16"/>
                <w:b w:val="1"/>
                <w:bCs w:val="1"/>
                <w:color w:val="auto"/>
              </w:rPr>
              <w:t>December 31, 2016</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16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Period</w:t>
            </w:r>
          </w:p>
        </w:tc>
        <w:tc>
          <w:tcPr>
            <w:tcW w:w="12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b w:val="1"/>
                <w:bCs w:val="1"/>
                <w:color w:val="auto"/>
                <w:w w:val="96"/>
              </w:rPr>
              <w:t>Gross Carrying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b w:val="1"/>
                <w:bCs w:val="1"/>
                <w:color w:val="auto"/>
                <w:w w:val="96"/>
              </w:rPr>
              <w:t>Gross Carrying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16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(Years)</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Net</w:t>
            </w:r>
          </w:p>
        </w:tc>
        <w:tc>
          <w:tcPr>
            <w:tcW w:w="160" w:type="dxa"/>
            <w:vAlign w:val="bottom"/>
            <w:tcBorders>
              <w:bottom w:val="single" w:sz="8" w:color="CCEEFF"/>
            </w:tcBorders>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Net</w:t>
            </w:r>
          </w:p>
        </w:tc>
        <w:tc>
          <w:tcPr>
            <w:tcW w:w="100" w:type="dxa"/>
            <w:vAlign w:val="bottom"/>
            <w:tcBorders>
              <w:bottom w:val="single" w:sz="8" w:color="CCEEFF"/>
            </w:tcBorders>
          </w:tcPr>
          <w:p>
            <w:pPr>
              <w:spacing w:after="0"/>
              <w:rPr>
                <w:sz w:val="19"/>
                <w:szCs w:val="19"/>
                <w:color w:val="auto"/>
              </w:rPr>
            </w:pPr>
          </w:p>
        </w:tc>
      </w:tr>
      <w:tr>
        <w:trPr>
          <w:trHeight w:val="213"/>
        </w:trPr>
        <w:tc>
          <w:tcPr>
            <w:tcW w:w="2160" w:type="dxa"/>
            <w:vAlign w:val="bottom"/>
            <w:shd w:val="clear" w:color="auto" w:fill="CCEEFF"/>
          </w:tcPr>
          <w:p>
            <w:pPr>
              <w:spacing w:after="0"/>
              <w:rPr>
                <w:sz w:val="20"/>
                <w:szCs w:val="20"/>
                <w:color w:val="auto"/>
              </w:rPr>
            </w:pPr>
            <w:r>
              <w:rPr>
                <w:rFonts w:ascii="Arial" w:cs="Arial" w:eastAsia="Arial" w:hAnsi="Arial"/>
                <w:sz w:val="16"/>
                <w:szCs w:val="16"/>
                <w:color w:val="auto"/>
              </w:rPr>
              <w:t>Developed technology</w:t>
            </w:r>
          </w:p>
        </w:tc>
        <w:tc>
          <w:tcPr>
            <w:tcW w:w="140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7 - 10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100" w:type="dxa"/>
            <w:vAlign w:val="bottom"/>
            <w:shd w:val="clear" w:color="auto" w:fill="CCEEFF"/>
          </w:tcPr>
          <w:p>
            <w:pPr>
              <w:spacing w:after="0"/>
              <w:rPr>
                <w:sz w:val="18"/>
                <w:szCs w:val="18"/>
                <w:color w:val="auto"/>
              </w:rPr>
            </w:pPr>
          </w:p>
        </w:tc>
      </w:tr>
      <w:tr>
        <w:trPr>
          <w:trHeight w:val="213"/>
        </w:trPr>
        <w:tc>
          <w:tcPr>
            <w:tcW w:w="2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Customer relationships</w:t>
            </w:r>
          </w:p>
        </w:tc>
        <w:tc>
          <w:tcPr>
            <w:tcW w:w="1400" w:type="dxa"/>
            <w:vAlign w:val="bottom"/>
            <w:tcBorders>
              <w:bottom w:val="single" w:sz="8" w:color="CCEEFF"/>
            </w:tcBorders>
          </w:tcPr>
          <w:p>
            <w:pPr>
              <w:jc w:val="right"/>
              <w:ind w:right="579"/>
              <w:spacing w:after="0"/>
              <w:rPr>
                <w:sz w:val="20"/>
                <w:szCs w:val="20"/>
                <w:color w:val="auto"/>
              </w:rPr>
            </w:pPr>
            <w:r>
              <w:rPr>
                <w:rFonts w:ascii="Arial" w:cs="Arial" w:eastAsia="Arial" w:hAnsi="Arial"/>
                <w:sz w:val="16"/>
                <w:szCs w:val="16"/>
                <w:b w:val="1"/>
                <w:bCs w:val="1"/>
                <w:color w:val="auto"/>
              </w:rPr>
              <w:t>8</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Borders>
              <w:bottom w:val="single" w:sz="8" w:color="CCEEFF"/>
            </w:tcBorders>
          </w:tcPr>
          <w:p>
            <w:pPr>
              <w:spacing w:after="0"/>
              <w:rPr>
                <w:sz w:val="18"/>
                <w:szCs w:val="18"/>
                <w:color w:val="auto"/>
              </w:rPr>
            </w:pPr>
          </w:p>
        </w:tc>
      </w:tr>
      <w:tr>
        <w:trPr>
          <w:trHeight w:val="210"/>
        </w:trPr>
        <w:tc>
          <w:tcPr>
            <w:tcW w:w="216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1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w:t>
            </w:r>
          </w:p>
        </w:tc>
        <w:tc>
          <w:tcPr>
            <w:tcW w:w="100" w:type="dxa"/>
            <w:vAlign w:val="bottom"/>
            <w:shd w:val="clear" w:color="auto" w:fill="CCEEFF"/>
          </w:tcPr>
          <w:p>
            <w:pPr>
              <w:spacing w:after="0"/>
              <w:rPr>
                <w:sz w:val="18"/>
                <w:szCs w:val="18"/>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right="320"/>
        <w:spacing w:after="0" w:line="308" w:lineRule="auto"/>
        <w:rPr>
          <w:sz w:val="20"/>
          <w:szCs w:val="20"/>
          <w:color w:val="auto"/>
        </w:rPr>
      </w:pPr>
      <w:r>
        <w:rPr>
          <w:rFonts w:ascii="Arial" w:cs="Arial" w:eastAsia="Arial" w:hAnsi="Arial"/>
          <w:sz w:val="17"/>
          <w:szCs w:val="17"/>
          <w:color w:val="auto"/>
        </w:rPr>
        <w:t>Amortization of acquisition-related intangibles was $80 million for the third quarters of both 2017 and 2016, and $239 million for the first nine months of both 2017 and 2016, primarily related to developed technology. Fully amortized assets are written off against accumulated amortization.</w:t>
      </w:r>
    </w:p>
    <w:p>
      <w:pPr>
        <w:spacing w:after="0" w:line="336"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 related to defined benefit and retiree health care benefit plans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U.S.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left="579"/>
              <w:spacing w:after="0"/>
              <w:rPr>
                <w:sz w:val="20"/>
                <w:szCs w:val="20"/>
                <w:color w:val="auto"/>
              </w:rPr>
            </w:pPr>
            <w:r>
              <w:rPr>
                <w:rFonts w:ascii="Arial" w:cs="Arial" w:eastAsia="Arial" w:hAnsi="Arial"/>
                <w:sz w:val="16"/>
                <w:szCs w:val="16"/>
                <w:b w:val="1"/>
                <w:bCs w:val="1"/>
                <w:color w:val="auto"/>
                <w:w w:val="89"/>
              </w:rPr>
              <w:t>U.S.</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5"/>
          </w:tcPr>
          <w:p>
            <w:pPr>
              <w:jc w:val="center"/>
              <w:ind w:left="379"/>
              <w:spacing w:after="0"/>
              <w:rPr>
                <w:sz w:val="20"/>
                <w:szCs w:val="20"/>
                <w:color w:val="auto"/>
              </w:rPr>
            </w:pPr>
            <w:r>
              <w:rPr>
                <w:rFonts w:ascii="Arial" w:cs="Arial" w:eastAsia="Arial" w:hAnsi="Arial"/>
                <w:sz w:val="16"/>
                <w:szCs w:val="16"/>
                <w:b w:val="1"/>
                <w:bCs w:val="1"/>
                <w:color w:val="auto"/>
                <w:w w:val="91"/>
              </w:rPr>
              <w:t>Non-U.S.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8"/>
          </w:tcPr>
          <w:p>
            <w:pPr>
              <w:jc w:val="right"/>
              <w:ind w:right="620"/>
              <w:spacing w:after="0"/>
              <w:rPr>
                <w:sz w:val="20"/>
                <w:szCs w:val="20"/>
                <w:color w:val="auto"/>
              </w:rPr>
            </w:pPr>
            <w:r>
              <w:rPr>
                <w:rFonts w:ascii="Arial" w:cs="Arial" w:eastAsia="Arial" w:hAnsi="Arial"/>
                <w:sz w:val="16"/>
                <w:szCs w:val="16"/>
                <w:b w:val="1"/>
                <w:bCs w:val="1"/>
                <w:color w:val="auto"/>
              </w:rPr>
              <w:t>Defined Benefit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Retiree Health Care</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7"/>
          </w:tcPr>
          <w:p>
            <w:pPr>
              <w:jc w:val="center"/>
              <w:ind w:right="280"/>
              <w:spacing w:after="0"/>
              <w:rPr>
                <w:sz w:val="20"/>
                <w:szCs w:val="20"/>
                <w:color w:val="auto"/>
              </w:rPr>
            </w:pPr>
            <w:r>
              <w:rPr>
                <w:rFonts w:ascii="Arial" w:cs="Arial" w:eastAsia="Arial" w:hAnsi="Arial"/>
                <w:sz w:val="16"/>
                <w:szCs w:val="16"/>
                <w:b w:val="1"/>
                <w:bCs w:val="1"/>
                <w:color w:val="auto"/>
                <w:w w:val="91"/>
              </w:rPr>
              <w:t>Defined Benefit</w:t>
            </w:r>
          </w:p>
        </w:tc>
      </w:tr>
      <w:tr>
        <w:trPr>
          <w:trHeight w:val="213"/>
        </w:trPr>
        <w:tc>
          <w:tcPr>
            <w:tcW w:w="37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For Three Months Ended September 30,</w:t>
            </w:r>
          </w:p>
        </w:tc>
        <w:tc>
          <w:tcPr>
            <w:tcW w:w="98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4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2016</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240" w:type="dxa"/>
            <w:vAlign w:val="bottom"/>
            <w:tcBorders>
              <w:top w:val="single" w:sz="8" w:color="auto"/>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5"/>
              </w:rPr>
              <w:t>2016</w:t>
            </w:r>
          </w:p>
        </w:tc>
        <w:tc>
          <w:tcPr>
            <w:tcW w:w="100" w:type="dxa"/>
            <w:vAlign w:val="bottom"/>
            <w:tcBorders>
              <w:bottom w:val="single" w:sz="8" w:color="CCEEFF"/>
            </w:tcBorders>
          </w:tcPr>
          <w:p>
            <w:pPr>
              <w:spacing w:after="0"/>
              <w:rPr>
                <w:sz w:val="18"/>
                <w:szCs w:val="18"/>
                <w:color w:val="auto"/>
              </w:rPr>
            </w:pPr>
          </w:p>
        </w:tc>
      </w:tr>
      <w:tr>
        <w:trPr>
          <w:trHeight w:val="212"/>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9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center"/>
              <w:ind w:left="479"/>
              <w:spacing w:after="0"/>
              <w:rPr>
                <w:sz w:val="20"/>
                <w:szCs w:val="20"/>
                <w:color w:val="auto"/>
              </w:rPr>
            </w:pPr>
            <w:r>
              <w:rPr>
                <w:rFonts w:ascii="Arial" w:cs="Arial" w:eastAsia="Arial" w:hAnsi="Arial"/>
                <w:sz w:val="16"/>
                <w:szCs w:val="16"/>
                <w:b w:val="1"/>
                <w:bCs w:val="1"/>
                <w:color w:val="auto"/>
                <w:w w:val="89"/>
              </w:rPr>
              <w:t>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6"/>
                <w:szCs w:val="16"/>
                <w:color w:val="auto"/>
              </w:rPr>
              <w:t>Interest cost</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r>
      <w:tr>
        <w:trPr>
          <w:trHeight w:val="219"/>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(4)</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(16)</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w:t>
            </w:r>
          </w:p>
        </w:tc>
      </w:tr>
      <w:tr>
        <w:trPr>
          <w:trHeight w:val="213"/>
        </w:trPr>
        <w:tc>
          <w:tcPr>
            <w:tcW w:w="3780" w:type="dxa"/>
            <w:vAlign w:val="bottom"/>
          </w:tcPr>
          <w:p>
            <w:pPr>
              <w:spacing w:after="0"/>
              <w:rPr>
                <w:sz w:val="20"/>
                <w:szCs w:val="20"/>
                <w:color w:val="auto"/>
              </w:rPr>
            </w:pPr>
            <w:r>
              <w:rPr>
                <w:rFonts w:ascii="Arial" w:cs="Arial" w:eastAsia="Arial" w:hAnsi="Arial"/>
                <w:sz w:val="16"/>
                <w:szCs w:val="16"/>
                <w:color w:val="auto"/>
              </w:rPr>
              <w:t>Recognized net actuarial loss</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center"/>
              <w:ind w:left="479"/>
              <w:spacing w:after="0"/>
              <w:rPr>
                <w:sz w:val="20"/>
                <w:szCs w:val="20"/>
                <w:color w:val="auto"/>
              </w:rPr>
            </w:pPr>
            <w:r>
              <w:rPr>
                <w:rFonts w:ascii="Arial" w:cs="Arial" w:eastAsia="Arial" w:hAnsi="Arial"/>
                <w:sz w:val="16"/>
                <w:szCs w:val="16"/>
                <w:b w:val="1"/>
                <w:bCs w:val="1"/>
                <w:color w:val="auto"/>
                <w:w w:val="89"/>
              </w:rPr>
              <w:t>4</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r>
      <w:tr>
        <w:trPr>
          <w:trHeight w:val="219"/>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prior service credit</w:t>
            </w: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7"/>
        </w:trPr>
        <w:tc>
          <w:tcPr>
            <w:tcW w:w="3780" w:type="dxa"/>
            <w:vAlign w:val="bottom"/>
          </w:tcPr>
          <w:p>
            <w:pPr>
              <w:spacing w:after="0"/>
              <w:rPr>
                <w:sz w:val="20"/>
                <w:szCs w:val="20"/>
                <w:color w:val="auto"/>
              </w:rPr>
            </w:pPr>
            <w:r>
              <w:rPr>
                <w:rFonts w:ascii="Arial" w:cs="Arial" w:eastAsia="Arial" w:hAnsi="Arial"/>
                <w:sz w:val="16"/>
                <w:szCs w:val="16"/>
                <w:color w:val="auto"/>
              </w:rPr>
              <w:t>Net periodic benefit costs</w:t>
            </w:r>
          </w:p>
        </w:tc>
        <w:tc>
          <w:tcPr>
            <w:tcW w:w="9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center"/>
              <w:ind w:left="479"/>
              <w:spacing w:after="0"/>
              <w:rPr>
                <w:sz w:val="20"/>
                <w:szCs w:val="20"/>
                <w:color w:val="auto"/>
              </w:rPr>
            </w:pPr>
            <w:r>
              <w:rPr>
                <w:rFonts w:ascii="Arial" w:cs="Arial" w:eastAsia="Arial" w:hAnsi="Arial"/>
                <w:sz w:val="16"/>
                <w:szCs w:val="16"/>
                <w:b w:val="1"/>
                <w:bCs w:val="1"/>
                <w:color w:val="auto"/>
                <w:w w:val="89"/>
              </w:rPr>
              <w:t>9</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11</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r>
      <w:tr>
        <w:trPr>
          <w:trHeight w:val="219"/>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Settlement losses</w:t>
            </w:r>
          </w:p>
        </w:tc>
        <w:tc>
          <w:tcPr>
            <w:tcW w:w="9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r>
      <w:tr>
        <w:trPr>
          <w:trHeight w:val="207"/>
        </w:trPr>
        <w:tc>
          <w:tcPr>
            <w:tcW w:w="3780" w:type="dxa"/>
            <w:vAlign w:val="bottom"/>
          </w:tcPr>
          <w:p>
            <w:pPr>
              <w:spacing w:after="0"/>
              <w:rPr>
                <w:sz w:val="20"/>
                <w:szCs w:val="20"/>
                <w:color w:val="auto"/>
              </w:rPr>
            </w:pPr>
            <w:r>
              <w:rPr>
                <w:rFonts w:ascii="Arial" w:cs="Arial" w:eastAsia="Arial" w:hAnsi="Arial"/>
                <w:sz w:val="16"/>
                <w:szCs w:val="16"/>
                <w:color w:val="auto"/>
              </w:rPr>
              <w:t>Total, including other postretirement losses</w:t>
            </w:r>
          </w:p>
        </w:tc>
        <w:tc>
          <w:tcPr>
            <w:tcW w:w="980" w:type="dxa"/>
            <w:vAlign w:val="bottom"/>
          </w:tcPr>
          <w:p>
            <w:pPr>
              <w:spacing w:after="0"/>
              <w:rPr>
                <w:sz w:val="17"/>
                <w:szCs w:val="17"/>
                <w:color w:val="auto"/>
              </w:rPr>
            </w:pPr>
          </w:p>
        </w:tc>
        <w:tc>
          <w:tcPr>
            <w:tcW w:w="180" w:type="dxa"/>
            <w:vAlign w:val="bottom"/>
            <w:gridSpan w:val="2"/>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gridSpan w:val="2"/>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280" w:type="dxa"/>
            <w:vAlign w:val="bottom"/>
          </w:tcPr>
          <w:p>
            <w:pPr>
              <w:spacing w:after="0"/>
              <w:rPr>
                <w:sz w:val="17"/>
                <w:szCs w:val="17"/>
                <w:color w:val="auto"/>
              </w:rPr>
            </w:pPr>
          </w:p>
        </w:tc>
        <w:tc>
          <w:tcPr>
            <w:tcW w:w="600" w:type="dxa"/>
            <w:vAlign w:val="bottom"/>
            <w:gridSpan w:val="2"/>
          </w:tcPr>
          <w:p>
            <w:pPr>
              <w:jc w:val="right"/>
              <w:ind w:right="419"/>
              <w:spacing w:after="0"/>
              <w:rPr>
                <w:sz w:val="20"/>
                <w:szCs w:val="20"/>
                <w:color w:val="auto"/>
              </w:rPr>
            </w:pPr>
            <w:r>
              <w:rPr>
                <w:rFonts w:ascii="Arial" w:cs="Arial" w:eastAsia="Arial" w:hAnsi="Arial"/>
                <w:sz w:val="16"/>
                <w:szCs w:val="16"/>
                <w:color w:val="auto"/>
                <w:w w:val="89"/>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r>
      <w:tr>
        <w:trPr>
          <w:trHeight w:val="20"/>
        </w:trPr>
        <w:tc>
          <w:tcPr>
            <w:tcW w:w="3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0"/>
        </w:trPr>
        <w:tc>
          <w:tcPr>
            <w:tcW w:w="3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gridSpan w:val="4"/>
          </w:tcPr>
          <w:p>
            <w:pPr>
              <w:jc w:val="right"/>
              <w:ind w:right="140"/>
              <w:spacing w:after="0"/>
              <w:rPr>
                <w:sz w:val="20"/>
                <w:szCs w:val="20"/>
                <w:color w:val="auto"/>
              </w:rPr>
            </w:pPr>
            <w:r>
              <w:rPr>
                <w:rFonts w:ascii="Arial" w:cs="Arial" w:eastAsia="Arial" w:hAnsi="Arial"/>
                <w:sz w:val="16"/>
                <w:szCs w:val="16"/>
                <w:b w:val="1"/>
                <w:bCs w:val="1"/>
                <w:color w:val="auto"/>
              </w:rPr>
              <w:t>U.S.</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gridSpan w:val="3"/>
          </w:tcPr>
          <w:p>
            <w:pPr>
              <w:jc w:val="center"/>
              <w:ind w:right="499"/>
              <w:spacing w:after="0"/>
              <w:rPr>
                <w:sz w:val="20"/>
                <w:szCs w:val="20"/>
                <w:color w:val="auto"/>
              </w:rPr>
            </w:pPr>
            <w:r>
              <w:rPr>
                <w:rFonts w:ascii="Arial" w:cs="Arial" w:eastAsia="Arial" w:hAnsi="Arial"/>
                <w:sz w:val="16"/>
                <w:szCs w:val="16"/>
                <w:b w:val="1"/>
                <w:bCs w:val="1"/>
                <w:color w:val="auto"/>
                <w:w w:val="96"/>
              </w:rPr>
              <w:t>U.S.</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5"/>
          </w:tcPr>
          <w:p>
            <w:pPr>
              <w:jc w:val="center"/>
              <w:ind w:left="379"/>
              <w:spacing w:after="0"/>
              <w:rPr>
                <w:sz w:val="20"/>
                <w:szCs w:val="20"/>
                <w:color w:val="auto"/>
              </w:rPr>
            </w:pPr>
            <w:r>
              <w:rPr>
                <w:rFonts w:ascii="Arial" w:cs="Arial" w:eastAsia="Arial" w:hAnsi="Arial"/>
                <w:sz w:val="16"/>
                <w:szCs w:val="16"/>
                <w:b w:val="1"/>
                <w:bCs w:val="1"/>
                <w:color w:val="auto"/>
                <w:w w:val="91"/>
              </w:rPr>
              <w:t>Non-U.S.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8"/>
          </w:tcPr>
          <w:p>
            <w:pPr>
              <w:jc w:val="right"/>
              <w:ind w:right="600"/>
              <w:spacing w:after="0"/>
              <w:rPr>
                <w:sz w:val="20"/>
                <w:szCs w:val="20"/>
                <w:color w:val="auto"/>
              </w:rPr>
            </w:pPr>
            <w:r>
              <w:rPr>
                <w:rFonts w:ascii="Arial" w:cs="Arial" w:eastAsia="Arial" w:hAnsi="Arial"/>
                <w:sz w:val="16"/>
                <w:szCs w:val="16"/>
                <w:b w:val="1"/>
                <w:bCs w:val="1"/>
                <w:color w:val="auto"/>
              </w:rPr>
              <w:t>Defined Benefit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Retiree Health Care</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7"/>
          </w:tcPr>
          <w:p>
            <w:pPr>
              <w:jc w:val="center"/>
              <w:ind w:right="280"/>
              <w:spacing w:after="0"/>
              <w:rPr>
                <w:sz w:val="20"/>
                <w:szCs w:val="20"/>
                <w:color w:val="auto"/>
              </w:rPr>
            </w:pPr>
            <w:r>
              <w:rPr>
                <w:rFonts w:ascii="Arial" w:cs="Arial" w:eastAsia="Arial" w:hAnsi="Arial"/>
                <w:sz w:val="16"/>
                <w:szCs w:val="16"/>
                <w:b w:val="1"/>
                <w:bCs w:val="1"/>
                <w:color w:val="auto"/>
                <w:w w:val="91"/>
              </w:rPr>
              <w:t>Defined Benefit</w:t>
            </w:r>
          </w:p>
        </w:tc>
      </w:tr>
      <w:tr>
        <w:trPr>
          <w:trHeight w:val="213"/>
        </w:trPr>
        <w:tc>
          <w:tcPr>
            <w:tcW w:w="37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For Nine Months Ended September 30,</w:t>
            </w:r>
          </w:p>
        </w:tc>
        <w:tc>
          <w:tcPr>
            <w:tcW w:w="9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2016</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240" w:type="dxa"/>
            <w:vAlign w:val="bottom"/>
            <w:tcBorders>
              <w:top w:val="single" w:sz="8" w:color="auto"/>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5"/>
              </w:rPr>
              <w:t>2016</w:t>
            </w:r>
          </w:p>
        </w:tc>
        <w:tc>
          <w:tcPr>
            <w:tcW w:w="100" w:type="dxa"/>
            <w:vAlign w:val="bottom"/>
            <w:tcBorders>
              <w:bottom w:val="single" w:sz="8" w:color="CCEEFF"/>
            </w:tcBorders>
          </w:tcPr>
          <w:p>
            <w:pPr>
              <w:spacing w:after="0"/>
              <w:rPr>
                <w:sz w:val="18"/>
                <w:szCs w:val="18"/>
                <w:color w:val="auto"/>
              </w:rPr>
            </w:pPr>
          </w:p>
        </w:tc>
      </w:tr>
      <w:tr>
        <w:trPr>
          <w:trHeight w:val="212"/>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10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center"/>
              <w:ind w:left="439"/>
              <w:spacing w:after="0"/>
              <w:rPr>
                <w:sz w:val="20"/>
                <w:szCs w:val="20"/>
                <w:color w:val="auto"/>
              </w:rPr>
            </w:pPr>
            <w:r>
              <w:rPr>
                <w:rFonts w:ascii="Arial" w:cs="Arial" w:eastAsia="Arial" w:hAnsi="Arial"/>
                <w:sz w:val="16"/>
                <w:szCs w:val="16"/>
                <w:b w:val="1"/>
                <w:bCs w:val="1"/>
                <w:color w:val="auto"/>
                <w:w w:val="89"/>
              </w:rPr>
              <w:t>16</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6"/>
                <w:szCs w:val="16"/>
                <w:color w:val="auto"/>
              </w:rPr>
              <w:t>Interest cost</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center"/>
              <w:ind w:left="439"/>
              <w:spacing w:after="0"/>
              <w:rPr>
                <w:sz w:val="20"/>
                <w:szCs w:val="20"/>
                <w:color w:val="auto"/>
              </w:rPr>
            </w:pPr>
            <w:r>
              <w:rPr>
                <w:rFonts w:ascii="Arial" w:cs="Arial" w:eastAsia="Arial" w:hAnsi="Arial"/>
                <w:sz w:val="16"/>
                <w:szCs w:val="16"/>
                <w:b w:val="1"/>
                <w:bCs w:val="1"/>
                <w:color w:val="auto"/>
                <w:w w:val="89"/>
              </w:rPr>
              <w:t>32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r>
      <w:tr>
        <w:trPr>
          <w:trHeight w:val="219"/>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center"/>
              <w:ind w:left="179"/>
              <w:spacing w:after="0"/>
              <w:rPr>
                <w:sz w:val="20"/>
                <w:szCs w:val="20"/>
                <w:color w:val="auto"/>
              </w:rPr>
            </w:pPr>
            <w:r>
              <w:rPr>
                <w:rFonts w:ascii="Arial" w:cs="Arial" w:eastAsia="Arial" w:hAnsi="Arial"/>
                <w:sz w:val="16"/>
                <w:szCs w:val="16"/>
                <w:b w:val="1"/>
                <w:bCs w:val="1"/>
                <w:color w:val="auto"/>
                <w:w w:val="98"/>
              </w:rPr>
              <w:t>(31)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(13)</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8"/>
              </w:rPr>
              <w:t>(14)</w:t>
            </w: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(47)</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w:t>
            </w:r>
          </w:p>
        </w:tc>
      </w:tr>
      <w:tr>
        <w:trPr>
          <w:trHeight w:val="213"/>
        </w:trPr>
        <w:tc>
          <w:tcPr>
            <w:tcW w:w="3780" w:type="dxa"/>
            <w:vAlign w:val="bottom"/>
          </w:tcPr>
          <w:p>
            <w:pPr>
              <w:spacing w:after="0"/>
              <w:rPr>
                <w:sz w:val="20"/>
                <w:szCs w:val="20"/>
                <w:color w:val="auto"/>
              </w:rPr>
            </w:pPr>
            <w:r>
              <w:rPr>
                <w:rFonts w:ascii="Arial" w:cs="Arial" w:eastAsia="Arial" w:hAnsi="Arial"/>
                <w:sz w:val="16"/>
                <w:szCs w:val="16"/>
                <w:color w:val="auto"/>
              </w:rPr>
              <w:t>Recognized net actuarial loss</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center"/>
              <w:ind w:left="439"/>
              <w:spacing w:after="0"/>
              <w:rPr>
                <w:sz w:val="20"/>
                <w:szCs w:val="20"/>
                <w:color w:val="auto"/>
              </w:rPr>
            </w:pPr>
            <w:r>
              <w:rPr>
                <w:rFonts w:ascii="Arial" w:cs="Arial" w:eastAsia="Arial" w:hAnsi="Arial"/>
                <w:sz w:val="16"/>
                <w:szCs w:val="16"/>
                <w:b w:val="1"/>
                <w:bCs w:val="1"/>
                <w:color w:val="auto"/>
                <w:w w:val="89"/>
              </w:rPr>
              <w:t>11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r>
      <w:tr>
        <w:trPr>
          <w:trHeight w:val="219"/>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prior service credit</w:t>
            </w: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center"/>
              <w:ind w:left="179"/>
              <w:spacing w:after="0"/>
              <w:rPr>
                <w:sz w:val="20"/>
                <w:szCs w:val="20"/>
                <w:color w:val="auto"/>
              </w:rPr>
            </w:pPr>
            <w:r>
              <w:rPr>
                <w:rFonts w:ascii="Arial" w:cs="Arial" w:eastAsia="Arial" w:hAnsi="Arial"/>
                <w:sz w:val="16"/>
                <w:szCs w:val="16"/>
                <w:b w:val="1"/>
                <w:bCs w:val="1"/>
                <w:color w:val="auto"/>
                <w:w w:val="99"/>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(3)</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w:t>
            </w: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r>
      <w:tr>
        <w:trPr>
          <w:trHeight w:val="207"/>
        </w:trPr>
        <w:tc>
          <w:tcPr>
            <w:tcW w:w="3780" w:type="dxa"/>
            <w:vAlign w:val="bottom"/>
          </w:tcPr>
          <w:p>
            <w:pPr>
              <w:spacing w:after="0"/>
              <w:rPr>
                <w:sz w:val="20"/>
                <w:szCs w:val="20"/>
                <w:color w:val="auto"/>
              </w:rPr>
            </w:pPr>
            <w:r>
              <w:rPr>
                <w:rFonts w:ascii="Arial" w:cs="Arial" w:eastAsia="Arial" w:hAnsi="Arial"/>
                <w:sz w:val="16"/>
                <w:szCs w:val="16"/>
                <w:color w:val="auto"/>
              </w:rPr>
              <w:t>Net periodic benefit costs</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gridSpan w:val="2"/>
          </w:tcPr>
          <w:p>
            <w:pPr>
              <w:jc w:val="center"/>
              <w:ind w:left="439"/>
              <w:spacing w:after="0"/>
              <w:rPr>
                <w:sz w:val="20"/>
                <w:szCs w:val="20"/>
                <w:color w:val="auto"/>
              </w:rPr>
            </w:pPr>
            <w:r>
              <w:rPr>
                <w:rFonts w:ascii="Arial" w:cs="Arial" w:eastAsia="Arial" w:hAnsi="Arial"/>
                <w:sz w:val="16"/>
                <w:szCs w:val="16"/>
                <w:b w:val="1"/>
                <w:bCs w:val="1"/>
                <w:color w:val="auto"/>
                <w:w w:val="89"/>
              </w:rPr>
              <w:t>28</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32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r>
      <w:tr>
        <w:trPr>
          <w:trHeight w:val="219"/>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Settlement losses</w:t>
            </w: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center"/>
              <w:ind w:left="439"/>
              <w:spacing w:after="0"/>
              <w:rPr>
                <w:sz w:val="20"/>
                <w:szCs w:val="20"/>
                <w:color w:val="auto"/>
              </w:rPr>
            </w:pPr>
            <w:r>
              <w:rPr>
                <w:rFonts w:ascii="Arial" w:cs="Arial" w:eastAsia="Arial" w:hAnsi="Arial"/>
                <w:sz w:val="16"/>
                <w:szCs w:val="16"/>
                <w:b w:val="1"/>
                <w:bCs w:val="1"/>
                <w:color w:val="auto"/>
                <w:w w:val="89"/>
              </w:rPr>
              <w:t>23</w:t>
            </w: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r>
      <w:tr>
        <w:trPr>
          <w:trHeight w:val="207"/>
        </w:trPr>
        <w:tc>
          <w:tcPr>
            <w:tcW w:w="3780" w:type="dxa"/>
            <w:vAlign w:val="bottom"/>
          </w:tcPr>
          <w:p>
            <w:pPr>
              <w:spacing w:after="0"/>
              <w:rPr>
                <w:sz w:val="20"/>
                <w:szCs w:val="20"/>
                <w:color w:val="auto"/>
              </w:rPr>
            </w:pPr>
            <w:r>
              <w:rPr>
                <w:rFonts w:ascii="Arial" w:cs="Arial" w:eastAsia="Arial" w:hAnsi="Arial"/>
                <w:sz w:val="16"/>
                <w:szCs w:val="16"/>
                <w:color w:val="auto"/>
              </w:rPr>
              <w:t>Total, including other postretirement losses</w:t>
            </w:r>
          </w:p>
        </w:tc>
        <w:tc>
          <w:tcPr>
            <w:tcW w:w="1020" w:type="dxa"/>
            <w:vAlign w:val="bottom"/>
            <w:gridSpan w:val="2"/>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tcPr>
          <w:p>
            <w:pPr>
              <w:jc w:val="center"/>
              <w:ind w:left="439"/>
              <w:spacing w:after="0"/>
              <w:rPr>
                <w:sz w:val="20"/>
                <w:szCs w:val="20"/>
                <w:color w:val="auto"/>
              </w:rPr>
            </w:pPr>
            <w:r>
              <w:rPr>
                <w:rFonts w:ascii="Arial" w:cs="Arial" w:eastAsia="Arial" w:hAnsi="Arial"/>
                <w:sz w:val="16"/>
                <w:szCs w:val="16"/>
                <w:b w:val="1"/>
                <w:bCs w:val="1"/>
                <w:color w:val="auto"/>
                <w:w w:val="89"/>
              </w:rPr>
              <w:t>51</w:t>
            </w:r>
          </w:p>
        </w:tc>
        <w:tc>
          <w:tcPr>
            <w:tcW w:w="260" w:type="dxa"/>
            <w:vAlign w:val="bottom"/>
          </w:tcPr>
          <w:p>
            <w:pPr>
              <w:spacing w:after="0"/>
              <w:rPr>
                <w:sz w:val="17"/>
                <w:szCs w:val="17"/>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49</w:t>
            </w:r>
          </w:p>
        </w:tc>
        <w:tc>
          <w:tcPr>
            <w:tcW w:w="16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280" w:type="dxa"/>
            <w:vAlign w:val="bottom"/>
          </w:tcPr>
          <w:p>
            <w:pPr>
              <w:spacing w:after="0"/>
              <w:rPr>
                <w:sz w:val="17"/>
                <w:szCs w:val="17"/>
                <w:color w:val="auto"/>
              </w:rPr>
            </w:pPr>
          </w:p>
        </w:tc>
        <w:tc>
          <w:tcPr>
            <w:tcW w:w="600" w:type="dxa"/>
            <w:vAlign w:val="bottom"/>
            <w:gridSpan w:val="2"/>
          </w:tcPr>
          <w:p>
            <w:pPr>
              <w:jc w:val="right"/>
              <w:ind w:right="419"/>
              <w:spacing w:after="0"/>
              <w:rPr>
                <w:sz w:val="20"/>
                <w:szCs w:val="20"/>
                <w:color w:val="auto"/>
              </w:rPr>
            </w:pPr>
            <w:r>
              <w:rPr>
                <w:rFonts w:ascii="Arial" w:cs="Arial" w:eastAsia="Arial" w:hAnsi="Arial"/>
                <w:sz w:val="16"/>
                <w:szCs w:val="16"/>
                <w:color w:val="auto"/>
                <w:w w:val="89"/>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7</w:t>
            </w:r>
          </w:p>
        </w:tc>
        <w:tc>
          <w:tcPr>
            <w:tcW w:w="3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35</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r>
      <w:tr>
        <w:trPr>
          <w:trHeight w:val="20"/>
        </w:trPr>
        <w:tc>
          <w:tcPr>
            <w:tcW w:w="3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With our early adoption of ASU 2017-07, all defined benefit and retiree health care benefit plan expense components other than service cost are recognized in OI&amp;E in our Consolidated Statements of Income. Service cost is recognized within Operating profit. See Note 2 for additional information.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Debt and lines of credit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maintain a line of credit to support commercial paper borrowings and to provide additional liquidity through bank loans. As of September 30, 2017, we had a variable-rate revolving credit facility from a consortium of investment-grade banks that allows us to borrow up to $2 billion until March 2022. The interest rate on borrowings under this credit facility, if drawn, is indexed to the applicable London Interbank Offered Rate (LIBOR). As of September 30, 2017, our credit facility was undrawn, and we had no commercial paper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retired $250 million of maturing debt in March 2017 and another $375 million in June 2017.</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May 2017, we issued an aggregate principal amount of $600 million of fixed-rate long-term debt. The offering consisted of the reissuance of $300 million of 2.75% notes due in 2021 at a premium and the issuance of $300 million of 2.625% notes due in 2024 at a discount. We incurred $3 million of issuance and other related costs, which are amortized to Interest and debt expense over the term of the debt. The proceeds of the offerings were $605 million, net of the original issuance discount and premium, and were used for the repayment of maturing debt and general corporate purposes.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October 26, 2017, we agreed to issue $500 million principal amount of debt that we expect to use for general corporate purposes. The offering is expected to close on November 3,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w w:val="91"/>
              </w:rPr>
              <w:t>September 30,</w:t>
            </w: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4"/>
              </w:rPr>
              <w:t>December 31,</w:t>
            </w:r>
          </w:p>
        </w:tc>
      </w:tr>
      <w:tr>
        <w:trPr>
          <w:trHeight w:val="219"/>
        </w:trPr>
        <w:tc>
          <w:tcPr>
            <w:tcW w:w="678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4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3"/>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Notes due 2017 at 0.875%</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Notes due 2017 at 6.60% (assumed with National acquisition)</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8"/>
                <w:szCs w:val="18"/>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Notes due 2018 at 1.00%</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9"/>
                <w:szCs w:val="19"/>
                <w:color w:val="auto"/>
              </w:rPr>
            </w:pP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Notes due 2019 at 1.65%</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750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Notes due 2020 at 1.75%</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9"/>
                <w:szCs w:val="19"/>
                <w:color w:val="auto"/>
              </w:rPr>
            </w:pP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Notes due 2021 at 2.75%</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550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Notes due 2022 at 1.85%</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9"/>
                <w:szCs w:val="19"/>
                <w:color w:val="auto"/>
              </w:rPr>
            </w:pPr>
          </w:p>
        </w:tc>
      </w:tr>
      <w:tr>
        <w:trPr>
          <w:trHeight w:val="213"/>
        </w:trPr>
        <w:tc>
          <w:tcPr>
            <w:tcW w:w="6780" w:type="dxa"/>
            <w:vAlign w:val="bottom"/>
          </w:tcPr>
          <w:p>
            <w:pPr>
              <w:spacing w:after="0"/>
              <w:rPr>
                <w:sz w:val="20"/>
                <w:szCs w:val="20"/>
                <w:color w:val="auto"/>
              </w:rPr>
            </w:pPr>
            <w:r>
              <w:rPr>
                <w:rFonts w:ascii="Arial" w:cs="Arial" w:eastAsia="Arial" w:hAnsi="Arial"/>
                <w:sz w:val="16"/>
                <w:szCs w:val="16"/>
                <w:color w:val="auto"/>
              </w:rPr>
              <w:t>Notes due 2023 at 2.25%</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Notes due 2024 at 2.625%</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7"/>
        </w:trPr>
        <w:tc>
          <w:tcPr>
            <w:tcW w:w="6780" w:type="dxa"/>
            <w:vAlign w:val="bottom"/>
          </w:tcPr>
          <w:p>
            <w:pPr>
              <w:spacing w:after="0"/>
              <w:rPr>
                <w:sz w:val="20"/>
                <w:szCs w:val="20"/>
                <w:color w:val="auto"/>
              </w:rPr>
            </w:pPr>
            <w:r>
              <w:rPr>
                <w:rFonts w:ascii="Arial" w:cs="Arial" w:eastAsia="Arial" w:hAnsi="Arial"/>
                <w:sz w:val="16"/>
                <w:szCs w:val="16"/>
                <w:color w:val="auto"/>
              </w:rPr>
              <w:t>Total debt</w:t>
            </w:r>
          </w:p>
        </w:tc>
        <w:tc>
          <w:tcPr>
            <w:tcW w:w="1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3,600</w:t>
            </w: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3,625</w:t>
            </w:r>
          </w:p>
        </w:tc>
        <w:tc>
          <w:tcPr>
            <w:tcW w:w="100" w:type="dxa"/>
            <w:vAlign w:val="bottom"/>
          </w:tcPr>
          <w:p>
            <w:pPr>
              <w:spacing w:after="0"/>
              <w:rPr>
                <w:sz w:val="17"/>
                <w:szCs w:val="17"/>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Net unamortized discounts, premiums and debt issuance costs</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(17)</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w:t>
            </w:r>
          </w:p>
        </w:tc>
      </w:tr>
      <w:tr>
        <w:trPr>
          <w:trHeight w:val="207"/>
        </w:trPr>
        <w:tc>
          <w:tcPr>
            <w:tcW w:w="6780" w:type="dxa"/>
            <w:vAlign w:val="bottom"/>
          </w:tcPr>
          <w:p>
            <w:pPr>
              <w:spacing w:after="0"/>
              <w:rPr>
                <w:sz w:val="20"/>
                <w:szCs w:val="20"/>
                <w:color w:val="auto"/>
              </w:rPr>
            </w:pPr>
            <w:r>
              <w:rPr>
                <w:rFonts w:ascii="Arial" w:cs="Arial" w:eastAsia="Arial" w:hAnsi="Arial"/>
                <w:sz w:val="16"/>
                <w:szCs w:val="16"/>
                <w:color w:val="auto"/>
              </w:rPr>
              <w:t>Total debt, including net unamortized discounts, premiums and debt issuance costs</w:t>
            </w:r>
          </w:p>
        </w:tc>
        <w:tc>
          <w:tcPr>
            <w:tcW w:w="1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3,583</w:t>
            </w: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3,609</w:t>
            </w:r>
          </w:p>
        </w:tc>
        <w:tc>
          <w:tcPr>
            <w:tcW w:w="100" w:type="dxa"/>
            <w:vAlign w:val="bottom"/>
          </w:tcPr>
          <w:p>
            <w:pPr>
              <w:spacing w:after="0"/>
              <w:rPr>
                <w:sz w:val="17"/>
                <w:szCs w:val="17"/>
                <w:color w:val="auto"/>
              </w:rPr>
            </w:pPr>
          </w:p>
        </w:tc>
      </w:tr>
      <w:tr>
        <w:trPr>
          <w:trHeight w:val="219"/>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Current portion of long-term debt</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(499)</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(631)</w:t>
            </w:r>
          </w:p>
        </w:tc>
      </w:tr>
      <w:tr>
        <w:trPr>
          <w:trHeight w:val="207"/>
        </w:trPr>
        <w:tc>
          <w:tcPr>
            <w:tcW w:w="6780" w:type="dxa"/>
            <w:vAlign w:val="bottom"/>
          </w:tcPr>
          <w:p>
            <w:pPr>
              <w:spacing w:after="0"/>
              <w:rPr>
                <w:sz w:val="20"/>
                <w:szCs w:val="20"/>
                <w:color w:val="auto"/>
              </w:rPr>
            </w:pPr>
            <w:r>
              <w:rPr>
                <w:rFonts w:ascii="Arial" w:cs="Arial" w:eastAsia="Arial" w:hAnsi="Arial"/>
                <w:sz w:val="16"/>
                <w:szCs w:val="16"/>
                <w:color w:val="auto"/>
              </w:rPr>
              <w:t>Long-term debt</w:t>
            </w:r>
          </w:p>
        </w:tc>
        <w:tc>
          <w:tcPr>
            <w:tcW w:w="14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3,084</w:t>
            </w:r>
          </w:p>
        </w:tc>
        <w:tc>
          <w:tcPr>
            <w:tcW w:w="4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2,978</w:t>
            </w:r>
          </w:p>
        </w:tc>
        <w:tc>
          <w:tcPr>
            <w:tcW w:w="100" w:type="dxa"/>
            <w:vAlign w:val="bottom"/>
          </w:tcPr>
          <w:p>
            <w:pPr>
              <w:spacing w:after="0"/>
              <w:rPr>
                <w:sz w:val="17"/>
                <w:szCs w:val="17"/>
                <w:color w:val="auto"/>
              </w:rPr>
            </w:pPr>
          </w:p>
        </w:tc>
      </w:tr>
      <w:tr>
        <w:trPr>
          <w:trHeight w:val="20"/>
        </w:trPr>
        <w:tc>
          <w:tcPr>
            <w:tcW w:w="6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Interest and debt expense was $19 million and $18 million for the third quarters of 2017 and 2016, respectively, and $57 million and $61 million for the first nine months of 2017 and 2016, respectively. This was net of the amortization of the debt discounts, premiums and debt issuance costs. Capitalized interest was not material.</w:t>
      </w:r>
    </w:p>
    <w:p>
      <w:pPr>
        <w:spacing w:after="0" w:line="370"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22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Our stated warranties for semiconductor products obligate us to repair, replace or credit the purchase price of a covered product back to the buyer. Product claim consideration may exceed the price of our products.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360"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Supplemental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charges</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Acquisition charges represent the ongoing amortization of intangible assets resulting from the acquisition of National Semiconductor Corporation (National). These amounts are included in Other for segment reporting purposes, consistent with how management measures the performance of its segments. See Note 6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Our Consolidated Statements of Comprehensive Income include items that have been recognized within Net income during the periods ended September 30, 2017, and September 30, 2016. The table below details where these transactions are recorded in our Consolidated Statements of Income.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5"/>
          </w:tcPr>
          <w:p>
            <w:pPr>
              <w:jc w:val="right"/>
              <w:ind w:right="380"/>
              <w:spacing w:after="0"/>
              <w:rPr>
                <w:sz w:val="20"/>
                <w:szCs w:val="20"/>
                <w:color w:val="auto"/>
              </w:rPr>
            </w:pPr>
            <w:r>
              <w:rPr>
                <w:rFonts w:ascii="Arial" w:cs="Arial" w:eastAsia="Arial" w:hAnsi="Arial"/>
                <w:sz w:val="16"/>
                <w:szCs w:val="16"/>
                <w:b w:val="1"/>
                <w:bCs w:val="1"/>
                <w:color w:val="auto"/>
                <w:w w:val="96"/>
              </w:rPr>
              <w:t>For Three Months Ended</w:t>
            </w:r>
          </w:p>
        </w:tc>
        <w:tc>
          <w:tcPr>
            <w:tcW w:w="180" w:type="dxa"/>
            <w:vAlign w:val="bottom"/>
          </w:tcPr>
          <w:p>
            <w:pPr>
              <w:spacing w:after="0"/>
              <w:rPr>
                <w:sz w:val="18"/>
                <w:szCs w:val="18"/>
                <w:color w:val="auto"/>
              </w:rPr>
            </w:pPr>
          </w:p>
        </w:tc>
        <w:tc>
          <w:tcPr>
            <w:tcW w:w="180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w w:val="96"/>
              </w:rPr>
              <w:t>For Nine Months Ended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800" w:type="dxa"/>
            <w:vAlign w:val="bottom"/>
            <w:gridSpan w:val="4"/>
          </w:tcPr>
          <w:p>
            <w:pPr>
              <w:jc w:val="right"/>
              <w:ind w:right="38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ind w:left="980"/>
              <w:spacing w:after="0"/>
              <w:rPr>
                <w:sz w:val="20"/>
                <w:szCs w:val="20"/>
                <w:color w:val="auto"/>
              </w:rPr>
            </w:pPr>
            <w:r>
              <w:rPr>
                <w:rFonts w:ascii="Arial" w:cs="Arial" w:eastAsia="Arial" w:hAnsi="Arial"/>
                <w:sz w:val="16"/>
                <w:szCs w:val="16"/>
                <w:b w:val="1"/>
                <w:bCs w:val="1"/>
                <w:color w:val="auto"/>
              </w:rPr>
              <w:t>Impact to Related</w:t>
            </w:r>
          </w:p>
        </w:tc>
        <w:tc>
          <w:tcPr>
            <w:tcW w:w="0" w:type="dxa"/>
            <w:vAlign w:val="bottom"/>
          </w:tcPr>
          <w:p>
            <w:pPr>
              <w:spacing w:after="0"/>
              <w:rPr>
                <w:sz w:val="1"/>
                <w:szCs w:val="1"/>
                <w:color w:val="auto"/>
              </w:rPr>
            </w:pPr>
          </w:p>
        </w:tc>
      </w:tr>
      <w:tr>
        <w:trPr>
          <w:trHeight w:val="213"/>
        </w:trPr>
        <w:tc>
          <w:tcPr>
            <w:tcW w:w="3400" w:type="dxa"/>
            <w:vAlign w:val="bottom"/>
          </w:tcPr>
          <w:p>
            <w:pPr>
              <w:spacing w:after="0"/>
              <w:rPr>
                <w:sz w:val="20"/>
                <w:szCs w:val="20"/>
                <w:color w:val="auto"/>
              </w:rPr>
            </w:pPr>
            <w:r>
              <w:rPr>
                <w:rFonts w:ascii="Arial" w:cs="Arial" w:eastAsia="Arial" w:hAnsi="Arial"/>
                <w:sz w:val="16"/>
                <w:szCs w:val="16"/>
                <w:b w:val="1"/>
                <w:bCs w:val="1"/>
                <w:color w:val="auto"/>
              </w:rPr>
              <w:t>Details about AOCI Components</w:t>
            </w: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2016</w:t>
            </w:r>
          </w:p>
        </w:tc>
        <w:tc>
          <w:tcPr>
            <w:tcW w:w="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ind w:left="680"/>
              <w:spacing w:after="0"/>
              <w:rPr>
                <w:sz w:val="20"/>
                <w:szCs w:val="20"/>
                <w:color w:val="auto"/>
              </w:rPr>
            </w:pPr>
            <w:r>
              <w:rPr>
                <w:rFonts w:ascii="Arial" w:cs="Arial" w:eastAsia="Arial" w:hAnsi="Arial"/>
                <w:sz w:val="16"/>
                <w:szCs w:val="16"/>
                <w:b w:val="1"/>
                <w:bCs w:val="1"/>
                <w:color w:val="auto"/>
              </w:rPr>
              <w:t>Statement of Income Lines</w:t>
            </w:r>
          </w:p>
        </w:tc>
        <w:tc>
          <w:tcPr>
            <w:tcW w:w="0" w:type="dxa"/>
            <w:vAlign w:val="bottom"/>
          </w:tcPr>
          <w:p>
            <w:pPr>
              <w:spacing w:after="0"/>
              <w:rPr>
                <w:sz w:val="1"/>
                <w:szCs w:val="1"/>
                <w:color w:val="auto"/>
              </w:rPr>
            </w:pPr>
          </w:p>
        </w:tc>
      </w:tr>
      <w:tr>
        <w:trPr>
          <w:trHeight w:val="212"/>
        </w:trPr>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92"/>
              </w:rPr>
              <w:t>Net actuarial gains (losses) of defined benefit plans:</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400" w:type="dxa"/>
            <w:vAlign w:val="bottom"/>
          </w:tcPr>
          <w:p>
            <w:pPr>
              <w:ind w:left="140"/>
              <w:spacing w:after="0"/>
              <w:rPr>
                <w:sz w:val="20"/>
                <w:szCs w:val="20"/>
                <w:color w:val="auto"/>
              </w:rPr>
            </w:pPr>
            <w:r>
              <w:rPr>
                <w:rFonts w:ascii="Arial" w:cs="Arial" w:eastAsia="Arial" w:hAnsi="Arial"/>
                <w:sz w:val="16"/>
                <w:szCs w:val="16"/>
                <w:color w:val="auto"/>
              </w:rPr>
              <w:t>Recognized net actuarial loss and Settlement</w:t>
            </w: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00" w:type="dxa"/>
            <w:vAlign w:val="bottom"/>
          </w:tcPr>
          <w:p>
            <w:pPr>
              <w:ind w:left="140"/>
              <w:spacing w:after="0"/>
              <w:rPr>
                <w:sz w:val="20"/>
                <w:szCs w:val="20"/>
                <w:color w:val="auto"/>
              </w:rPr>
            </w:pPr>
            <w:r>
              <w:rPr>
                <w:rFonts w:ascii="Arial" w:cs="Arial" w:eastAsia="Arial" w:hAnsi="Arial"/>
                <w:sz w:val="16"/>
                <w:szCs w:val="16"/>
                <w:color w:val="auto"/>
              </w:rPr>
              <w:t>losses (a)</w:t>
            </w:r>
          </w:p>
        </w:tc>
        <w:tc>
          <w:tcPr>
            <w:tcW w:w="20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w:t>
            </w:r>
          </w:p>
        </w:tc>
        <w:tc>
          <w:tcPr>
            <w:tcW w:w="1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70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57</w:t>
            </w:r>
          </w:p>
        </w:tc>
        <w:tc>
          <w:tcPr>
            <w:tcW w:w="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Decrease to OI&amp;E</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 effect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(8)</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(19)</w:t>
            </w: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8"/>
              </w:rPr>
              <w:t>(18)</w:t>
            </w:r>
          </w:p>
        </w:tc>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Decrease to Provision for income taxes</w:t>
            </w:r>
          </w:p>
        </w:tc>
        <w:tc>
          <w:tcPr>
            <w:tcW w:w="0" w:type="dxa"/>
            <w:vAlign w:val="bottom"/>
          </w:tcPr>
          <w:p>
            <w:pPr>
              <w:spacing w:after="0"/>
              <w:rPr>
                <w:sz w:val="1"/>
                <w:szCs w:val="1"/>
                <w:color w:val="auto"/>
              </w:rPr>
            </w:pPr>
          </w:p>
        </w:tc>
      </w:tr>
      <w:tr>
        <w:trPr>
          <w:trHeight w:val="20"/>
        </w:trPr>
        <w:tc>
          <w:tcPr>
            <w:tcW w:w="3400" w:type="dxa"/>
            <w:vAlign w:val="bottom"/>
            <w:vMerge w:val="restart"/>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20" w:type="dxa"/>
            <w:vAlign w:val="bottom"/>
            <w:vMerge w:val="restart"/>
          </w:tcPr>
          <w:p>
            <w:pPr>
              <w:spacing w:after="0"/>
              <w:rPr>
                <w:sz w:val="20"/>
                <w:szCs w:val="20"/>
                <w:color w:val="auto"/>
              </w:rPr>
            </w:pPr>
            <w:r>
              <w:rPr>
                <w:rFonts w:ascii="Arial" w:cs="Arial" w:eastAsia="Arial" w:hAnsi="Arial"/>
                <w:sz w:val="16"/>
                <w:szCs w:val="16"/>
                <w:color w:val="auto"/>
              </w:rPr>
              <w:t>Decrease to Net income</w:t>
            </w:r>
          </w:p>
        </w:tc>
        <w:tc>
          <w:tcPr>
            <w:tcW w:w="0" w:type="dxa"/>
            <w:vAlign w:val="bottom"/>
          </w:tcPr>
          <w:p>
            <w:pPr>
              <w:spacing w:after="0" w:line="20" w:lineRule="exact"/>
              <w:rPr>
                <w:sz w:val="1"/>
                <w:szCs w:val="1"/>
                <w:color w:val="auto"/>
              </w:rPr>
            </w:pPr>
          </w:p>
        </w:tc>
      </w:tr>
      <w:tr>
        <w:trPr>
          <w:trHeight w:val="247"/>
        </w:trPr>
        <w:tc>
          <w:tcPr>
            <w:tcW w:w="3400" w:type="dxa"/>
            <w:vAlign w:val="bottom"/>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160" w:type="dxa"/>
            <w:vAlign w:val="bottom"/>
          </w:tcPr>
          <w:p>
            <w:pPr>
              <w:spacing w:after="0"/>
              <w:rPr>
                <w:sz w:val="21"/>
                <w:szCs w:val="21"/>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40</w:t>
            </w:r>
          </w:p>
        </w:tc>
        <w:tc>
          <w:tcPr>
            <w:tcW w:w="100" w:type="dxa"/>
            <w:vAlign w:val="bottom"/>
          </w:tcPr>
          <w:p>
            <w:pPr>
              <w:spacing w:after="0"/>
              <w:rPr>
                <w:sz w:val="21"/>
                <w:szCs w:val="21"/>
                <w:color w:val="auto"/>
              </w:rPr>
            </w:pPr>
          </w:p>
        </w:tc>
        <w:tc>
          <w:tcPr>
            <w:tcW w:w="840" w:type="dxa"/>
            <w:vAlign w:val="bottom"/>
            <w:gridSpan w:val="2"/>
          </w:tcPr>
          <w:p>
            <w:pPr>
              <w:jc w:val="right"/>
              <w:ind w:right="70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39</w:t>
            </w:r>
          </w:p>
        </w:tc>
        <w:tc>
          <w:tcPr>
            <w:tcW w:w="160" w:type="dxa"/>
            <w:vAlign w:val="bottom"/>
          </w:tcPr>
          <w:p>
            <w:pPr>
              <w:spacing w:after="0"/>
              <w:rPr>
                <w:sz w:val="21"/>
                <w:szCs w:val="21"/>
                <w:color w:val="auto"/>
              </w:rPr>
            </w:pPr>
          </w:p>
        </w:tc>
        <w:tc>
          <w:tcPr>
            <w:tcW w:w="3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4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00" w:type="dxa"/>
            <w:vAlign w:val="bottom"/>
          </w:tcPr>
          <w:p>
            <w:pPr>
              <w:spacing w:after="0"/>
              <w:rPr>
                <w:sz w:val="20"/>
                <w:szCs w:val="20"/>
                <w:color w:val="auto"/>
              </w:rPr>
            </w:pPr>
            <w:r>
              <w:rPr>
                <w:rFonts w:ascii="Arial" w:cs="Arial" w:eastAsia="Arial" w:hAnsi="Arial"/>
                <w:sz w:val="16"/>
                <w:szCs w:val="16"/>
                <w:color w:val="auto"/>
                <w:w w:val="96"/>
              </w:rPr>
              <w:t>Prior service (cost) credit of defined benefit plans: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prior service credit (a)</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(4)</w:t>
            </w:r>
          </w:p>
        </w:tc>
        <w:tc>
          <w:tcPr>
            <w:tcW w:w="84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w:t>
            </w:r>
          </w:p>
        </w:tc>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Increase to OI&amp;E</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Tax effect</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Increase to Provision for income taxes</w:t>
            </w: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w:t>
            </w:r>
          </w:p>
        </w:tc>
        <w:tc>
          <w:tcPr>
            <w:tcW w:w="84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Increase to Net income</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Detailed in Note 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Total shares of 2,662,464 and 13,600,966 were issued from treasury shares during the third quarter and first nine months of 2017, respectively, related to stock compensation.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Our business model is carefully constructed around the following attributes:</w:t>
      </w:r>
    </w:p>
    <w:p>
      <w:pPr>
        <w:spacing w:after="0" w:line="62" w:lineRule="exact"/>
        <w:rPr>
          <w:sz w:val="20"/>
          <w:szCs w:val="20"/>
          <w:color w:val="auto"/>
        </w:rPr>
      </w:pPr>
    </w:p>
    <w:p>
      <w:pPr>
        <w:ind w:left="1040" w:right="100" w:hanging="519"/>
        <w:spacing w:after="0" w:line="259"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Industry’s broadest portfolio of differentiated analog and embedded processing semiconductors. </w:t>
      </w:r>
      <w:r>
        <w:rPr>
          <w:rFonts w:ascii="Arial" w:cs="Arial" w:eastAsia="Arial" w:hAnsi="Arial"/>
          <w:sz w:val="18"/>
          <w:szCs w:val="18"/>
          <w:color w:val="auto"/>
        </w:rPr>
        <w:t>Our customers need multiple chips for their</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The breadth of our portfolio means we can solve more of these needs than can our competitors, which gives us access to more customers and the opportunity to generate more revenue per system. We invest more than $1 billion each year to develop new products for our portfolio.</w:t>
      </w:r>
    </w:p>
    <w:p>
      <w:pPr>
        <w:spacing w:after="0" w:line="78" w:lineRule="exact"/>
        <w:rPr>
          <w:rFonts w:ascii="Arial" w:cs="Arial" w:eastAsia="Arial" w:hAnsi="Arial"/>
          <w:sz w:val="18"/>
          <w:szCs w:val="18"/>
          <w:color w:val="auto"/>
        </w:rPr>
      </w:pPr>
    </w:p>
    <w:p>
      <w:pPr>
        <w:ind w:left="1040" w:hanging="519"/>
        <w:spacing w:after="0" w:line="271"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A strong foundation of manufacturing technology and low-cost production. </w:t>
      </w:r>
      <w:r>
        <w:rPr>
          <w:rFonts w:ascii="Arial" w:cs="Arial" w:eastAsia="Arial" w:hAnsi="Arial"/>
          <w:sz w:val="17"/>
          <w:szCs w:val="17"/>
          <w:color w:val="auto"/>
        </w:rPr>
        <w:t>We invest in manufacturing technologies that differentiate the</w:t>
      </w:r>
      <w:r>
        <w:rPr>
          <w:rFonts w:ascii="Arial" w:cs="Arial" w:eastAsia="Arial" w:hAnsi="Arial"/>
          <w:sz w:val="17"/>
          <w:szCs w:val="17"/>
          <w:i w:val="1"/>
          <w:iCs w:val="1"/>
          <w:color w:val="auto"/>
        </w:rPr>
        <w:t xml:space="preserve"> </w:t>
      </w:r>
      <w:r>
        <w:rPr>
          <w:rFonts w:ascii="Arial" w:cs="Arial" w:eastAsia="Arial" w:hAnsi="Arial"/>
          <w:sz w:val="17"/>
          <w:szCs w:val="17"/>
          <w:color w:val="auto"/>
        </w:rPr>
        <w:t>features of our semiconductors, and we do most of our own production in-house, as opposed to outsourcing it. This ability to directly control our manufacturing helps ensure a consistent supply of products for our customers. We produce billions of semiconductors each year on a mixture of 150-, 200- and 300-millimeter wafers, and we are able to keep costs low for manufacturing facilities and equipment because our Analog and much of our Embedded Processing semiconductors can be made using mature assets that we acquire ahead of demand when their prices are most attractive. In 2016, we increased factory loadings by about 15 percent for our Analog semiconductors on 300-millimeter wafers, which have about a 40 percent cost advantage per unpackaged chip over 200-millimeter wafers. The majority of our Analog growth will be produced on 300-millimeter wafers, which will be meaningful to the growth of our cash flow over the long term.</w:t>
      </w:r>
    </w:p>
    <w:p>
      <w:pPr>
        <w:spacing w:after="0" w:line="70" w:lineRule="exact"/>
        <w:rPr>
          <w:rFonts w:ascii="Arial" w:cs="Arial" w:eastAsia="Arial" w:hAnsi="Arial"/>
          <w:sz w:val="17"/>
          <w:szCs w:val="17"/>
          <w:color w:val="auto"/>
        </w:rPr>
      </w:pPr>
    </w:p>
    <w:p>
      <w:pPr>
        <w:ind w:left="1040" w:right="60" w:hanging="519"/>
        <w:spacing w:after="0" w:line="264"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Industry’s largest market channels. </w:t>
      </w:r>
      <w:r>
        <w:rPr>
          <w:rFonts w:ascii="Arial" w:cs="Arial" w:eastAsia="Arial" w:hAnsi="Arial"/>
          <w:sz w:val="18"/>
          <w:szCs w:val="18"/>
          <w:color w:val="auto"/>
        </w:rPr>
        <w:t>Our global sales force is larger than those of our competitors. The breadth of our portfolio attracts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increasing number of visits to our website, where customers often begin their initial product searches and design-in journey. Our web presence, together with our global sales force, provides us unique access to about 100,000 customers.</w:t>
      </w:r>
    </w:p>
    <w:p>
      <w:pPr>
        <w:spacing w:after="0" w:line="73" w:lineRule="exact"/>
        <w:rPr>
          <w:rFonts w:ascii="Arial" w:cs="Arial" w:eastAsia="Arial" w:hAnsi="Arial"/>
          <w:sz w:val="18"/>
          <w:szCs w:val="18"/>
          <w:color w:val="auto"/>
        </w:rPr>
      </w:pPr>
    </w:p>
    <w:p>
      <w:pPr>
        <w:ind w:left="1040" w:right="160" w:hanging="519"/>
        <w:spacing w:after="0" w:line="259"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Diversity and longevity in our products and in the markets we serve. </w:t>
      </w:r>
      <w:r>
        <w:rPr>
          <w:rFonts w:ascii="Arial" w:cs="Arial" w:eastAsia="Arial" w:hAnsi="Arial"/>
          <w:sz w:val="18"/>
          <w:szCs w:val="18"/>
          <w:color w:val="auto"/>
        </w:rPr>
        <w:t>Together, the attributes above result in diverse and long-lived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deliver high terminal value to our shareholders. Because of the breadth of our portfolio we are not dependent on any single product, and because of the breadth of our markets we are not dependent on any single application or customer. Some of our products generate revenue for decades, which strengthens the return on our investments.</w:t>
      </w:r>
    </w:p>
    <w:p>
      <w:pPr>
        <w:spacing w:after="0" w:line="18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combined effect of these attributes is that over time we have grown free cash flow and gained market share in Analog and Embedded Processing. These attributes put us in a unique class of companies with the ability to grow, generate cash and return that cash to shareholders.</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62"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1540" w:right="10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60"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New products tend not to have a significant impact on our revenue in any given period because we sell such a large number of products.</w:t>
      </w:r>
    </w:p>
    <w:p>
      <w:pPr>
        <w:spacing w:after="0" w:line="122" w:lineRule="exact"/>
        <w:rPr>
          <w:rFonts w:ascii="Arial" w:cs="Arial" w:eastAsia="Arial" w:hAnsi="Arial"/>
          <w:sz w:val="18"/>
          <w:szCs w:val="18"/>
          <w:color w:val="auto"/>
        </w:rPr>
      </w:pPr>
    </w:p>
    <w:p>
      <w:pPr>
        <w:ind w:left="1540" w:right="2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62" w:lineRule="exact"/>
        <w:rPr>
          <w:rFonts w:ascii="Arial" w:cs="Arial" w:eastAsia="Arial" w:hAnsi="Arial"/>
          <w:sz w:val="18"/>
          <w:szCs w:val="18"/>
          <w:color w:val="auto"/>
        </w:rPr>
      </w:pPr>
    </w:p>
    <w:p>
      <w:pPr>
        <w:ind w:left="1540" w:right="120" w:hanging="513"/>
        <w:spacing w:after="0" w:line="279"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7"/>
          <w:szCs w:val="17"/>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 Increases and decreases in factory loadings tend to correspond to increases and decreases in demand.</w:t>
      </w:r>
    </w:p>
    <w:p>
      <w:pPr>
        <w:spacing w:after="0" w:line="63" w:lineRule="exact"/>
        <w:rPr>
          <w:rFonts w:ascii="Arial" w:cs="Arial" w:eastAsia="Arial" w:hAnsi="Arial"/>
          <w:sz w:val="18"/>
          <w:szCs w:val="18"/>
          <w:color w:val="auto"/>
        </w:rPr>
      </w:pPr>
    </w:p>
    <w:p>
      <w:pPr>
        <w:ind w:left="1540" w:right="12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Over time, we have been allocating resources from areas like manufacturing support and SG&amp;A into R&amp;D activities. As a result, R&amp;D expense will continue increasing in 2017.</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6" w:name="page17"/>
    <w:bookmarkEnd w:id="16"/>
    <w:p>
      <w:pPr>
        <w:ind w:left="1040" w:right="120" w:hanging="519"/>
        <w:spacing w:after="0" w:line="26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73" w:lineRule="exact"/>
        <w:rPr>
          <w:rFonts w:ascii="Arial" w:cs="Arial" w:eastAsia="Arial" w:hAnsi="Arial"/>
          <w:sz w:val="18"/>
          <w:szCs w:val="18"/>
          <w:color w:val="auto"/>
        </w:rPr>
      </w:pPr>
    </w:p>
    <w:p>
      <w:pPr>
        <w:ind w:left="1040" w:right="80" w:hanging="519"/>
        <w:spacing w:after="0" w:line="26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first quarter of 2017, we adopted ASU 2017-07 related to certain pension and other retiree benefit costs. We applied the new standard on a full retrospective basis for all periods presented in the Consolidated Statements of Income, which have been recast as a result. See Note 2 to the financial statements for more details.</w:t>
      </w:r>
    </w:p>
    <w:p>
      <w:pPr>
        <w:spacing w:after="0" w:line="73" w:lineRule="exact"/>
        <w:rPr>
          <w:rFonts w:ascii="Arial" w:cs="Arial" w:eastAsia="Arial" w:hAnsi="Arial"/>
          <w:sz w:val="18"/>
          <w:szCs w:val="18"/>
          <w:color w:val="auto"/>
        </w:rPr>
      </w:pPr>
    </w:p>
    <w:p>
      <w:pPr>
        <w:ind w:left="1040" w:right="100" w:hanging="519"/>
        <w:spacing w:after="0" w:line="26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January 1, 2017, we no longer recognize royalties as revenue; instead, they are recorded as OI&amp;E. We continue to receive royalties from arrangements involving license rights to our patent portfolio. Although we expect royalties to continue for many years, they are of decreasing significance to our core operations.</w:t>
      </w:r>
    </w:p>
    <w:p>
      <w:pPr>
        <w:spacing w:after="0" w:line="1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Beginning January 2017, we reorganized the product lines within our two reportable segments – Analog and Embedded Processing – to realign our business structure with the way our customers select and buy products. These changes had no impact on our previously reported consolidated financial statements or on our reportable segment amounts.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Analog segment includes the following major product lines: Power, Signal Chain and High Volume.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Power includes products that help customers manage power in electronic systems. Our broad portfolio is designed to manage power requirements across different voltage levels using battery management solutions, portable components, power supply controls, point-of-load products, switches and interfaces, integrated protection devices, high-voltage products, and mobile lighting and display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Signal Chain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Signal Chain includes products that sense, condition and measure real-world signals to allow information to be transferred or converted for further processing and control. Our Signal Chain products, which serve a variety of end markets, include amplifiers, data converters, interface products, motor drives, clocks and sensing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 Volume</w:t>
      </w:r>
    </w:p>
    <w:p>
      <w:pPr>
        <w:spacing w:after="0" w:line="225"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High Volume includes high-volume integrated analog products that are primarily sold into markets such as personal electronics and automotive. These products support applications like touch screens and automotive safety systems. High Volume also includes standard products sold primarily into the industrial market.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Embedded Processing segment includes the following major product lines: Connected Microcontrollers (Connected MCU) and Processors.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Connected MCU</w:t>
      </w:r>
    </w:p>
    <w:p>
      <w:pPr>
        <w:spacing w:after="0" w:line="225"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Connected MCU includes microcontrollers, wireless connectivity solutions and microcontrollers with integrated wireless capabilities. Microcontrollers are self-contained systems with a processor core, memory and peripherals that are designed to control a set of specific tasks for electronic equipment. Microcontrollers tend to have minimal requirements for memory, program length and software complexity. Our products are used in a wide range of applications and incorporate both wired and wireless communication with integrated analog functions to enable electronic equipment to sense, connect, log and transfer data, which is increasingly important as electronics become smarter and more connected.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Processors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Processors includes digital signal processors (DSPs) and applications processors. DSPs perform mathematical computations almost instantaneously to process or improve digital data. Applications processors are designed for specific computing activity.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third-quarter revenue was $4.12 billion, net income was $1.29 billion and earnings per share (EPS) were $1.26.</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Revenue increased 12 percent from the same quarter a year ago. Demand for our products continued to be strong in the industrial and automotive markets.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7" w:name="page18"/>
    <w:bookmarkEnd w:id="17"/>
    <w:p>
      <w:pPr>
        <w:ind w:right="400"/>
        <w:spacing w:after="0" w:line="277" w:lineRule="auto"/>
        <w:rPr>
          <w:sz w:val="20"/>
          <w:szCs w:val="20"/>
          <w:color w:val="auto"/>
        </w:rPr>
      </w:pPr>
      <w:r>
        <w:rPr>
          <w:rFonts w:ascii="Arial" w:cs="Arial" w:eastAsia="Arial" w:hAnsi="Arial"/>
          <w:sz w:val="18"/>
          <w:szCs w:val="18"/>
          <w:color w:val="auto"/>
        </w:rPr>
        <w:t>In our core businesses, Analog revenue grew 16 percent and Embedded Processing revenue grew 17 percent from the same quarter a year ago. Operating margin increased in both businesses.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Gross margin of 64.5 percent reflected the quality of our product portfolio, as well as the efficiency of our manufacturing strategy, including the benefit of 300-millimeter Analog production.</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cash flow from operations of $4.8 billion for the trailing 12 months again underscored the strength of our business model. Free cash flow for the trailing 12 months was $4.2 billion and represents 29.0 percent of revenue.</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have returned $4.3 billion to owners in the past 12 months through dividends and stock repurchases. In September, we announced we would increase our dividend by 24 percent and also increased our share repurchase authorizations by $6 billion, which together reflect our commitment to return all free cash flow to our owners.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Free cash flow is a non-GAAP financial measure. For reconciliation to GAAP and an explanation of the reason for providing this non-GAAP measure, see the Non-GAAP financial information section after the Liquidity and capital resources section.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third-quarter 2017 compared with third-quarter 2016</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Revenue increased $441 million, or 12 percent, due to higher revenue from Analog and, to a lesser extent, Embedded Processing. Analog and Embedded Processing comprised 88 percent of revenue compared with 85 percent of revenue.</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Gross profit of $2.66 billion was up $372 million, or 16 percent, primarily due to higher revenue. As a percentage of revenue, gross profit increased to 64.5 percent from 62.1 percent.</w:t>
      </w:r>
    </w:p>
    <w:p>
      <w:pPr>
        <w:spacing w:after="0" w:line="17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Operating expenses (R&amp;D and SG&amp;A) were $787 million compared with $795 million, as R&amp;D expense increased primarily due to our ongoing allocation of resources into R&amp;D activities, which was offset by declines in SG&amp;A related to the realignment of our product lines announced in January 2017.</w:t>
      </w:r>
    </w:p>
    <w:p>
      <w:pPr>
        <w:spacing w:after="0" w:line="1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Acquisition charges associated with our 2011 acquisition of National were $80 million for both periods. These non-cash charges resulted from the ongoing amortization of intangible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$1.79 billion, or 43.4 percent of revenue, compared with $1.41 billion, or 38.3 percent of revenue.</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OI&amp;E was $20 million of income compared with $9 million of expense. The change was due to the inclusion of royalty income beginning with the first quarter of 2017.</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Provision for income taxes was $504 million compared with $363 million. The increase was primarily due to higher income before income taxes. Our annual operating tax rate, which does not include discrete tax items, is about 31 percent. We use “annual operating tax rate” to describe the estimated annual effective tax rate. This rate differs from the 35 percent statutory corporate tax rate due to the effect of U.S. tax benefits and lower statutory tax rates applicable to our operations in many of the jurisdictions in which we operate. These lower non-U.S. tax rates are generally statutory in nature, without expiration and available to companies that operate in those taxing jurisdictions.</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effective tax rate, which includes discrete tax items such as the benefit from stock-based compensation, will vary by quarter. Our effective tax rate could fluctuate due to factors outside of our control, such as the timing of option exercises by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$1.29 billion compared with $1.02 billion, and EPS was $1.26 compared with $0.98.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Third-quarter 2017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quarter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(includes Power, Signal Chain and High Volume product lines)</w:t>
      </w:r>
    </w:p>
    <w:p>
      <w:pPr>
        <w:spacing w:after="0" w:line="248" w:lineRule="exact"/>
        <w:rPr>
          <w:sz w:val="20"/>
          <w:szCs w:val="20"/>
          <w:color w:val="auto"/>
        </w:rPr>
      </w:pPr>
    </w:p>
    <w:tbl>
      <w:tblPr>
        <w:tblLayout w:type="fixed"/>
        <w:tblInd w:w="1940" w:type="dxa"/>
        <w:tblCellMar>
          <w:top w:w="0" w:type="dxa"/>
          <w:left w:w="0" w:type="dxa"/>
          <w:bottom w:w="0" w:type="dxa"/>
          <w:right w:w="0" w:type="dxa"/>
        </w:tblCellMar>
      </w:tblPr>
      <w:tr>
        <w:trPr>
          <w:trHeight w:val="234"/>
        </w:trPr>
        <w:tc>
          <w:tcPr>
            <w:tcW w:w="2760" w:type="dxa"/>
            <w:vAlign w:val="bottom"/>
            <w:tcBorders>
              <w:bottom w:val="single" w:sz="8" w:color="CFF0FC"/>
            </w:tcBorders>
          </w:tcPr>
          <w:p>
            <w:pPr>
              <w:spacing w:after="0"/>
              <w:rPr>
                <w:sz w:val="20"/>
                <w:szCs w:val="20"/>
                <w:color w:val="auto"/>
              </w:rPr>
            </w:pPr>
          </w:p>
        </w:tc>
        <w:tc>
          <w:tcPr>
            <w:tcW w:w="5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3Q17</w:t>
            </w: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3Q16</w:t>
            </w:r>
          </w:p>
        </w:tc>
        <w:tc>
          <w:tcPr>
            <w:tcW w:w="200" w:type="dxa"/>
            <w:vAlign w:val="bottom"/>
            <w:tcBorders>
              <w:bottom w:val="single" w:sz="8" w:color="CFF0FC"/>
            </w:tcBorders>
          </w:tcPr>
          <w:p>
            <w:pPr>
              <w:spacing w:after="0"/>
              <w:rPr>
                <w:sz w:val="20"/>
                <w:szCs w:val="20"/>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CFF0FC"/>
            </w:tcBorders>
          </w:tcPr>
          <w:p>
            <w:pPr>
              <w:spacing w:after="0"/>
              <w:rPr>
                <w:sz w:val="20"/>
                <w:szCs w:val="20"/>
                <w:color w:val="auto"/>
              </w:rPr>
            </w:pPr>
          </w:p>
        </w:tc>
      </w:tr>
      <w:tr>
        <w:trPr>
          <w:trHeight w:val="237"/>
        </w:trPr>
        <w:tc>
          <w:tcPr>
            <w:tcW w:w="2760" w:type="dxa"/>
            <w:vAlign w:val="bottom"/>
            <w:shd w:val="clear" w:color="auto" w:fill="CFF0FC"/>
          </w:tcPr>
          <w:p>
            <w:pPr>
              <w:ind w:left="60"/>
              <w:spacing w:after="0"/>
              <w:rPr>
                <w:sz w:val="20"/>
                <w:szCs w:val="20"/>
                <w:color w:val="auto"/>
              </w:rPr>
            </w:pPr>
            <w:r>
              <w:rPr>
                <w:rFonts w:ascii="Arial" w:cs="Arial" w:eastAsia="Arial" w:hAnsi="Arial"/>
                <w:sz w:val="18"/>
                <w:szCs w:val="18"/>
                <w:color w:val="auto"/>
              </w:rPr>
              <w:t>Revenue</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2,698</w:t>
            </w:r>
          </w:p>
        </w:tc>
        <w:tc>
          <w:tcPr>
            <w:tcW w:w="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2,323</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w:t>
            </w:r>
          </w:p>
        </w:tc>
      </w:tr>
      <w:tr>
        <w:trPr>
          <w:trHeight w:val="243"/>
        </w:trPr>
        <w:tc>
          <w:tcPr>
            <w:tcW w:w="2760" w:type="dxa"/>
            <w:vAlign w:val="bottom"/>
          </w:tcPr>
          <w:p>
            <w:pPr>
              <w:ind w:left="60"/>
              <w:spacing w:after="0"/>
              <w:rPr>
                <w:sz w:val="20"/>
                <w:szCs w:val="20"/>
                <w:color w:val="auto"/>
              </w:rPr>
            </w:pPr>
            <w:r>
              <w:rPr>
                <w:rFonts w:ascii="Arial" w:cs="Arial" w:eastAsia="Arial" w:hAnsi="Arial"/>
                <w:sz w:val="18"/>
                <w:szCs w:val="18"/>
                <w:color w:val="auto"/>
              </w:rPr>
              <w:t>Operating profit</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1,268</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957</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r>
      <w:tr>
        <w:trPr>
          <w:trHeight w:val="243"/>
        </w:trPr>
        <w:tc>
          <w:tcPr>
            <w:tcW w:w="2760" w:type="dxa"/>
            <w:vAlign w:val="bottom"/>
            <w:shd w:val="clear" w:color="auto" w:fill="CFF0FC"/>
          </w:tcPr>
          <w:p>
            <w:pPr>
              <w:ind w:left="60"/>
              <w:spacing w:after="0"/>
              <w:rPr>
                <w:sz w:val="20"/>
                <w:szCs w:val="20"/>
                <w:color w:val="auto"/>
              </w:rPr>
            </w:pPr>
            <w:r>
              <w:rPr>
                <w:rFonts w:ascii="Arial" w:cs="Arial" w:eastAsia="Arial" w:hAnsi="Arial"/>
                <w:sz w:val="18"/>
                <w:szCs w:val="18"/>
                <w:color w:val="auto"/>
              </w:rPr>
              <w:t>Operating profit % of revenue</w:t>
            </w:r>
          </w:p>
        </w:tc>
        <w:tc>
          <w:tcPr>
            <w:tcW w:w="5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47.0%</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41.2%</w:t>
            </w: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Analog revenue increased due to Power and, to a lesser extent, Signal Chain. High Volume revenue was about even. Operating profit increased primarily due to higher revenue and associated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 (includes Connected Microcontrollers and Processors product lines)</w:t>
      </w:r>
    </w:p>
    <w:p>
      <w:pPr>
        <w:spacing w:after="0" w:line="248"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2760" w:type="dxa"/>
            <w:vAlign w:val="bottom"/>
            <w:tcBorders>
              <w:bottom w:val="single" w:sz="8" w:color="CFF0FC"/>
            </w:tcBorders>
          </w:tcPr>
          <w:p>
            <w:pPr>
              <w:spacing w:after="0"/>
              <w:rPr>
                <w:sz w:val="20"/>
                <w:szCs w:val="20"/>
                <w:color w:val="auto"/>
              </w:rPr>
            </w:pPr>
          </w:p>
        </w:tc>
        <w:tc>
          <w:tcPr>
            <w:tcW w:w="52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3Q17</w:t>
            </w: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3Q16</w:t>
            </w: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CFF0FC"/>
            </w:tcBorders>
          </w:tcPr>
          <w:p>
            <w:pPr>
              <w:spacing w:after="0"/>
              <w:rPr>
                <w:sz w:val="20"/>
                <w:szCs w:val="20"/>
                <w:color w:val="auto"/>
              </w:rPr>
            </w:pPr>
          </w:p>
        </w:tc>
      </w:tr>
      <w:tr>
        <w:trPr>
          <w:trHeight w:val="237"/>
        </w:trPr>
        <w:tc>
          <w:tcPr>
            <w:tcW w:w="2760" w:type="dxa"/>
            <w:vAlign w:val="bottom"/>
            <w:shd w:val="clear" w:color="auto" w:fill="CFF0FC"/>
          </w:tcPr>
          <w:p>
            <w:pPr>
              <w:ind w:left="40"/>
              <w:spacing w:after="0"/>
              <w:rPr>
                <w:sz w:val="20"/>
                <w:szCs w:val="20"/>
                <w:color w:val="auto"/>
              </w:rPr>
            </w:pPr>
            <w:r>
              <w:rPr>
                <w:rFonts w:ascii="Arial" w:cs="Arial" w:eastAsia="Arial" w:hAnsi="Arial"/>
                <w:sz w:val="18"/>
                <w:szCs w:val="18"/>
                <w:color w:val="auto"/>
              </w:rPr>
              <w:t>Revenue</w:t>
            </w:r>
          </w:p>
        </w:tc>
        <w:tc>
          <w:tcPr>
            <w:tcW w:w="1380" w:type="dxa"/>
            <w:vAlign w:val="bottom"/>
            <w:gridSpan w:val="2"/>
            <w:shd w:val="clear" w:color="auto" w:fill="CFF0FC"/>
          </w:tcPr>
          <w:p>
            <w:pPr>
              <w:jc w:val="right"/>
              <w:ind w:right="690"/>
              <w:spacing w:after="0"/>
              <w:rPr>
                <w:sz w:val="20"/>
                <w:szCs w:val="20"/>
                <w:color w:val="auto"/>
              </w:rPr>
            </w:pPr>
            <w:r>
              <w:rPr>
                <w:rFonts w:ascii="Arial" w:cs="Arial" w:eastAsia="Arial" w:hAnsi="Arial"/>
                <w:sz w:val="16"/>
                <w:szCs w:val="16"/>
                <w:b w:val="1"/>
                <w:bCs w:val="1"/>
                <w:color w:val="auto"/>
              </w:rPr>
              <w:t>$</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931</w:t>
            </w:r>
          </w:p>
        </w:tc>
        <w:tc>
          <w:tcPr>
            <w:tcW w:w="880" w:type="dxa"/>
            <w:vAlign w:val="bottom"/>
            <w:gridSpan w:val="2"/>
            <w:shd w:val="clear" w:color="auto" w:fill="CFF0FC"/>
          </w:tcPr>
          <w:p>
            <w:pPr>
              <w:jc w:val="right"/>
              <w:ind w:right="690"/>
              <w:spacing w:after="0"/>
              <w:rPr>
                <w:sz w:val="20"/>
                <w:szCs w:val="20"/>
                <w:color w:val="auto"/>
              </w:rPr>
            </w:pPr>
            <w:r>
              <w:rPr>
                <w:rFonts w:ascii="Arial" w:cs="Arial" w:eastAsia="Arial" w:hAnsi="Arial"/>
                <w:sz w:val="16"/>
                <w:szCs w:val="16"/>
                <w:color w:val="auto"/>
                <w:w w:val="89"/>
              </w:rPr>
              <w:t>$</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795</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325</w:t>
            </w: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224</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43"/>
        </w:trPr>
        <w:tc>
          <w:tcPr>
            <w:tcW w:w="2760" w:type="dxa"/>
            <w:vAlign w:val="bottom"/>
            <w:shd w:val="clear" w:color="auto" w:fill="CFF0FC"/>
          </w:tcPr>
          <w:p>
            <w:pPr>
              <w:ind w:left="40"/>
              <w:spacing w:after="0"/>
              <w:rPr>
                <w:sz w:val="20"/>
                <w:szCs w:val="20"/>
                <w:color w:val="auto"/>
              </w:rPr>
            </w:pPr>
            <w:r>
              <w:rPr>
                <w:rFonts w:ascii="Arial" w:cs="Arial" w:eastAsia="Arial" w:hAnsi="Arial"/>
                <w:sz w:val="18"/>
                <w:szCs w:val="18"/>
                <w:color w:val="auto"/>
              </w:rPr>
              <w:t>Operating profit % of revenue</w:t>
            </w:r>
          </w:p>
        </w:tc>
        <w:tc>
          <w:tcPr>
            <w:tcW w:w="5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34.9%</w:t>
            </w:r>
          </w:p>
        </w:tc>
        <w:tc>
          <w:tcPr>
            <w:tcW w:w="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7"/>
              </w:rPr>
              <w:t>28.2%</w:t>
            </w: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Embedded Processing revenue increased in both product lines, led by Processors. Operating profit increased primarily due to higher revenue and associated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products, calculators and custom ASIC products)</w:t>
      </w:r>
    </w:p>
    <w:p>
      <w:pPr>
        <w:spacing w:after="0" w:line="248"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3320" w:type="dxa"/>
            <w:vAlign w:val="bottom"/>
            <w:tcBorders>
              <w:bottom w:val="single" w:sz="8" w:color="CFF0FC"/>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3Q17</w:t>
            </w: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3Q16</w:t>
            </w: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CFF0FC"/>
            </w:tcBorders>
          </w:tcPr>
          <w:p>
            <w:pPr>
              <w:spacing w:after="0"/>
              <w:rPr>
                <w:sz w:val="20"/>
                <w:szCs w:val="20"/>
                <w:color w:val="auto"/>
              </w:rPr>
            </w:pPr>
          </w:p>
        </w:tc>
      </w:tr>
      <w:tr>
        <w:trPr>
          <w:trHeight w:val="237"/>
        </w:trPr>
        <w:tc>
          <w:tcPr>
            <w:tcW w:w="3320" w:type="dxa"/>
            <w:vAlign w:val="bottom"/>
            <w:shd w:val="clear" w:color="auto" w:fill="CFF0FC"/>
          </w:tcPr>
          <w:p>
            <w:pPr>
              <w:ind w:left="40"/>
              <w:spacing w:after="0"/>
              <w:rPr>
                <w:sz w:val="20"/>
                <w:szCs w:val="20"/>
                <w:color w:val="auto"/>
              </w:rPr>
            </w:pPr>
            <w:r>
              <w:rPr>
                <w:rFonts w:ascii="Arial" w:cs="Arial" w:eastAsia="Arial" w:hAnsi="Arial"/>
                <w:sz w:val="18"/>
                <w:szCs w:val="18"/>
                <w:color w:val="auto"/>
              </w:rPr>
              <w:t>Revenue</w:t>
            </w:r>
          </w:p>
        </w:tc>
        <w:tc>
          <w:tcPr>
            <w:tcW w:w="880" w:type="dxa"/>
            <w:vAlign w:val="bottom"/>
            <w:shd w:val="clear" w:color="auto" w:fill="CFF0FC"/>
          </w:tcPr>
          <w:p>
            <w:pPr>
              <w:jc w:val="right"/>
              <w:ind w:right="717"/>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487</w:t>
            </w:r>
          </w:p>
        </w:tc>
        <w:tc>
          <w:tcPr>
            <w:tcW w:w="880" w:type="dxa"/>
            <w:vAlign w:val="bottom"/>
            <w:shd w:val="clear" w:color="auto" w:fill="CFF0FC"/>
          </w:tcPr>
          <w:p>
            <w:pPr>
              <w:jc w:val="right"/>
              <w:ind w:right="717"/>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557</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880" w:type="dxa"/>
            <w:vAlign w:val="bottom"/>
          </w:tcPr>
          <w:p>
            <w:pPr>
              <w:spacing w:after="0"/>
              <w:rPr>
                <w:sz w:val="21"/>
                <w:szCs w:val="2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195</w:t>
            </w:r>
          </w:p>
        </w:tc>
        <w:tc>
          <w:tcPr>
            <w:tcW w:w="88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227</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43"/>
        </w:trPr>
        <w:tc>
          <w:tcPr>
            <w:tcW w:w="3320" w:type="dxa"/>
            <w:vAlign w:val="bottom"/>
            <w:shd w:val="clear" w:color="auto" w:fill="CFF0FC"/>
          </w:tcPr>
          <w:p>
            <w:pPr>
              <w:ind w:left="40"/>
              <w:spacing w:after="0"/>
              <w:rPr>
                <w:sz w:val="20"/>
                <w:szCs w:val="20"/>
                <w:color w:val="auto"/>
              </w:rPr>
            </w:pPr>
            <w:r>
              <w:rPr>
                <w:rFonts w:ascii="Arial" w:cs="Arial" w:eastAsia="Arial" w:hAnsi="Arial"/>
                <w:sz w:val="18"/>
                <w:szCs w:val="18"/>
                <w:color w:val="auto"/>
              </w:rPr>
              <w:t>Operating profit % of revenue</w:t>
            </w:r>
          </w:p>
        </w:tc>
        <w:tc>
          <w:tcPr>
            <w:tcW w:w="88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40.0%</w:t>
            </w:r>
          </w:p>
        </w:tc>
        <w:tc>
          <w:tcPr>
            <w:tcW w:w="88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3"/>
              </w:rPr>
              <w:t>40.8%</w:t>
            </w: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r>
    </w:tbl>
    <w:p>
      <w:pPr>
        <w:spacing w:after="0" w:line="107"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*Includes Acquisition charges and Restructuring charges/other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by $70 million, and operating profit declined by $32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first nine months of 2017 compared with first nine months of 2016</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Revenue of $11.21 billion increased $1.26 billion, or 13 percent, due to higher revenue from Analog and, to a lesser extent, Embedded Processing. Analog and Embedded Processing comprised 89 percent of revenue compared with 86 percent.</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Gross profit of $7.17 billion was up $1.05 billion, or 17 percent, primarily due to higher revenue. As a percentage of revenue, gross profit increased to 64.0 percent from 61.5 percent.</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Operating expenses were $2.41 billion compared with $2.35 billion, as R&amp;D expense increased primarily due to our ongoing allocation of resources to R&amp;D activities, which was partially offset by declines in SG&amp;A related to the realignment of our product lines announced in January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Acquisition charges were $239 million for both periods. These non-cash charges resulted from the ongoing amortization of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$4.52 billion, or 40.3 percent of revenue, compared with $3.52 billion, or 35.4 percent of revenue.</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OI&amp;E was $67 million of income compared with $29 million of expense. The change was due to the inclusion of royalty income beginning with the first quarter of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tax provision was $1.19 billion compared with $885 million. The increase was due to higher income before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$3.34 billion compared with $2.55 billion. EPS was $3.26 compared with $2.46.</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5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Year-to-date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period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235"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32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YTD 2017</w:t>
            </w:r>
          </w:p>
        </w:tc>
        <w:tc>
          <w:tcPr>
            <w:tcW w:w="2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YTD 2016</w:t>
            </w:r>
          </w:p>
        </w:tc>
        <w:tc>
          <w:tcPr>
            <w:tcW w:w="180" w:type="dxa"/>
            <w:vAlign w:val="bottom"/>
            <w:tcBorders>
              <w:bottom w:val="single" w:sz="8" w:color="CFF0FC"/>
            </w:tcBorders>
          </w:tcPr>
          <w:p>
            <w:pPr>
              <w:spacing w:after="0"/>
              <w:rPr>
                <w:sz w:val="20"/>
                <w:szCs w:val="20"/>
                <w:color w:val="auto"/>
              </w:rPr>
            </w:pPr>
          </w:p>
        </w:tc>
        <w:tc>
          <w:tcPr>
            <w:tcW w:w="13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CFF0FC"/>
            </w:tcBorders>
          </w:tcPr>
          <w:p>
            <w:pPr>
              <w:spacing w:after="0"/>
              <w:rPr>
                <w:sz w:val="20"/>
                <w:szCs w:val="20"/>
                <w:color w:val="auto"/>
              </w:rPr>
            </w:pPr>
          </w:p>
        </w:tc>
      </w:tr>
      <w:tr>
        <w:trPr>
          <w:trHeight w:val="210"/>
        </w:trPr>
        <w:tc>
          <w:tcPr>
            <w:tcW w:w="3200" w:type="dxa"/>
            <w:vAlign w:val="bottom"/>
            <w:shd w:val="clear" w:color="auto" w:fill="CFF0FC"/>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7,365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6,246</w:t>
            </w:r>
          </w:p>
        </w:tc>
        <w:tc>
          <w:tcPr>
            <w:tcW w:w="1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w:t>
            </w:r>
          </w:p>
        </w:tc>
      </w:t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14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3,280</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2,426</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30"/>
        </w:trPr>
        <w:tc>
          <w:tcPr>
            <w:tcW w:w="3200" w:type="dxa"/>
            <w:vAlign w:val="bottom"/>
            <w:shd w:val="clear" w:color="auto" w:fill="CFF0FC"/>
          </w:tcPr>
          <w:p>
            <w:pPr>
              <w:ind w:left="40"/>
              <w:spacing w:after="0"/>
              <w:rPr>
                <w:sz w:val="20"/>
                <w:szCs w:val="20"/>
                <w:color w:val="auto"/>
              </w:rPr>
            </w:pPr>
            <w:r>
              <w:rPr>
                <w:rFonts w:ascii="Arial" w:cs="Arial" w:eastAsia="Arial" w:hAnsi="Arial"/>
                <w:sz w:val="18"/>
                <w:szCs w:val="18"/>
                <w:color w:val="auto"/>
              </w:rPr>
              <w:t>Operating profit % of revenue</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44.5%</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38.8%</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Analog revenue increased due to Power and Signal Chain, both of which grew at about the same rate. High Volume also grew. Operating profit increased primarily due to higher revenue and associated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235"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32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YTD 2017</w:t>
            </w:r>
          </w:p>
        </w:tc>
        <w:tc>
          <w:tcPr>
            <w:tcW w:w="2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YTD 2016</w:t>
            </w:r>
          </w:p>
        </w:tc>
        <w:tc>
          <w:tcPr>
            <w:tcW w:w="180" w:type="dxa"/>
            <w:vAlign w:val="bottom"/>
            <w:tcBorders>
              <w:bottom w:val="single" w:sz="8" w:color="CFF0FC"/>
            </w:tcBorders>
          </w:tcPr>
          <w:p>
            <w:pPr>
              <w:spacing w:after="0"/>
              <w:rPr>
                <w:sz w:val="20"/>
                <w:szCs w:val="20"/>
                <w:color w:val="auto"/>
              </w:rPr>
            </w:pPr>
          </w:p>
        </w:tc>
        <w:tc>
          <w:tcPr>
            <w:tcW w:w="13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CFF0FC"/>
            </w:tcBorders>
          </w:tcPr>
          <w:p>
            <w:pPr>
              <w:spacing w:after="0"/>
              <w:rPr>
                <w:sz w:val="20"/>
                <w:szCs w:val="20"/>
                <w:color w:val="auto"/>
              </w:rPr>
            </w:pPr>
          </w:p>
        </w:tc>
      </w:tr>
      <w:tr>
        <w:trPr>
          <w:trHeight w:val="210"/>
        </w:trPr>
        <w:tc>
          <w:tcPr>
            <w:tcW w:w="3200" w:type="dxa"/>
            <w:vAlign w:val="bottom"/>
            <w:shd w:val="clear" w:color="auto" w:fill="CFF0FC"/>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2,602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2,279</w:t>
            </w:r>
          </w:p>
        </w:tc>
        <w:tc>
          <w:tcPr>
            <w:tcW w:w="1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w:t>
            </w:r>
          </w:p>
        </w:tc>
      </w:t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14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836</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603</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r>
      <w:tr>
        <w:trPr>
          <w:trHeight w:val="230"/>
        </w:trPr>
        <w:tc>
          <w:tcPr>
            <w:tcW w:w="3200" w:type="dxa"/>
            <w:vAlign w:val="bottom"/>
            <w:shd w:val="clear" w:color="auto" w:fill="CFF0FC"/>
          </w:tcPr>
          <w:p>
            <w:pPr>
              <w:ind w:left="40"/>
              <w:spacing w:after="0"/>
              <w:rPr>
                <w:sz w:val="20"/>
                <w:szCs w:val="20"/>
                <w:color w:val="auto"/>
              </w:rPr>
            </w:pPr>
            <w:r>
              <w:rPr>
                <w:rFonts w:ascii="Arial" w:cs="Arial" w:eastAsia="Arial" w:hAnsi="Arial"/>
                <w:sz w:val="18"/>
                <w:szCs w:val="18"/>
                <w:color w:val="auto"/>
              </w:rPr>
              <w:t>Operating profit % of revenue</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32.1%</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26.5%</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Embedded Processing revenue increased in both product lines, led by Processors. Operating profit increased primarily due to higher revenue and associated gross profit.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35"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32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YTD 2017</w:t>
            </w:r>
          </w:p>
        </w:tc>
        <w:tc>
          <w:tcPr>
            <w:tcW w:w="2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YTD 2016</w:t>
            </w:r>
          </w:p>
        </w:tc>
        <w:tc>
          <w:tcPr>
            <w:tcW w:w="160" w:type="dxa"/>
            <w:vAlign w:val="bottom"/>
            <w:tcBorders>
              <w:bottom w:val="single" w:sz="8" w:color="CFF0FC"/>
            </w:tcBorders>
          </w:tcPr>
          <w:p>
            <w:pPr>
              <w:spacing w:after="0"/>
              <w:rPr>
                <w:sz w:val="20"/>
                <w:szCs w:val="20"/>
                <w:color w:val="auto"/>
              </w:rPr>
            </w:pPr>
          </w:p>
        </w:tc>
        <w:tc>
          <w:tcPr>
            <w:tcW w:w="12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CFF0FC"/>
            </w:tcBorders>
          </w:tcPr>
          <w:p>
            <w:pPr>
              <w:spacing w:after="0"/>
              <w:rPr>
                <w:sz w:val="20"/>
                <w:szCs w:val="20"/>
                <w:color w:val="auto"/>
              </w:rPr>
            </w:pPr>
          </w:p>
        </w:tc>
      </w:tr>
      <w:tr>
        <w:trPr>
          <w:trHeight w:val="210"/>
        </w:trPr>
        <w:tc>
          <w:tcPr>
            <w:tcW w:w="3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1,244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w:t>
            </w: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w:t>
            </w:r>
          </w:p>
        </w:tc>
      </w:tr>
      <w:tr>
        <w:trPr>
          <w:trHeight w:val="230"/>
        </w:trPr>
        <w:tc>
          <w:tcPr>
            <w:tcW w:w="324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404</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494</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30"/>
        </w:trPr>
        <w:tc>
          <w:tcPr>
            <w:tcW w:w="3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Operating profit % of revenue</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32.5%</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bl>
    <w:p>
      <w:pPr>
        <w:spacing w:after="0" w:line="12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*Includes Acquisition charges and 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by $187 million, and operating profit declined by $90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the end of the third quarter of 2017, total cash (Cash and cash equivalents plus Short-term investments) was $3.44 billion, a decrease of $46 million from the end of 2016.</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Accounts receivable were $1.58 billion, an increase of $309 million compared with the end of 2016. Days sales outstanding were 34 at the end of the third quarter compared with 33 at the end of 2016.</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Inventory was $1.91 billion, an increase of $118 million from the end of 2016. Days of inventory at the end of the third quarter of 2017 were 118 compared with 126 at the end of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 investments and a variable-rate revolving credit facility. Cash flows from operating activities for the first nine months of 2017 were $3.43 billion, an increase of $207 million from the year-ago period. This increase was driven by higher Net income, partially offset by cash used for working capital resulting from an increase in income tax payments.</w:t>
      </w:r>
    </w:p>
    <w:p>
      <w:pPr>
        <w:spacing w:after="0" w:line="18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Our revolving credit facility is with a consortium of investment-grade banks and allows us to borrow up to $2 billion until March 2022. This credit facility also serves as support for the issuance of commercial paper. As of September 30, 2017, our credit facility was undrawn, and we had no commercial paper outstanding.</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557" w:right="399" w:bottom="1440" w:gutter="0" w:footer="0" w:header="0"/>
        </w:sectPr>
      </w:pPr>
    </w:p>
    <w:bookmarkStart w:id="20" w:name="page21"/>
    <w:bookmarkEnd w:id="20"/>
    <w:p>
      <w:pPr>
        <w:ind w:right="60"/>
        <w:spacing w:after="0" w:line="312" w:lineRule="auto"/>
        <w:rPr>
          <w:sz w:val="20"/>
          <w:szCs w:val="20"/>
          <w:color w:val="auto"/>
        </w:rPr>
      </w:pPr>
      <w:r>
        <w:rPr>
          <w:rFonts w:ascii="Arial" w:cs="Arial" w:eastAsia="Arial" w:hAnsi="Arial"/>
          <w:sz w:val="16"/>
          <w:szCs w:val="16"/>
          <w:color w:val="auto"/>
        </w:rPr>
        <w:t>Investing activities for the first nine months of 2017 used $229 million compared with the year-ago period in which they provided $35 million. Capital expenditures were $464 million compared with $421 million in the year-ago period and were primarily for semiconductor manufacturing equipment. We had proceeds from sales of short-term investments, net of purchases, that provided cash of $200 million compared with $454 million in the year-ago period.</w:t>
      </w:r>
    </w:p>
    <w:p>
      <w:pPr>
        <w:spacing w:after="0" w:line="14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Financing activities for the first nine months of 2017 used $3.06 billion compared with the year-ago period in which they used $2.89 billion. In 2017, we received net proceeds of $605 million from the issuances of fixed-rate long-term debt and retired maturing debt of $625 million. In the year-ago period, we received net proceeds of $499 million from the issuance of fixed-rate long-term debt and retired maturing debt of $1.00 billion. Dividends paid were $1.49 billion compared with $1.15 billion in the year-ago period, reflecting an increase in the dividend rate, partially offset by fewer shares outstanding. We used $1.85 billion to repurchase 23.2 million shares of our common stock compared with $1.66 billion used in the year-ago period to repurchase 28.7 million shares. Proceeds from common stock transactions, resulting from employee equity awards, were $321 million compared with $415 million in the year-ago period.</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October 26, 2017, we agreed to issue $500 million principal amount of debt that we expect to use for general corporate purposes. The offering is expected to close on November 3, 2017.</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had $1.30 billion of Cash and cash equivalents and $2.15 billion of Short-term investments as of September 30, 2017. We believe we have the necessary financial resources and operating plans to fund our working capital needs, capital expenditures, dividend and debt-related payments, and other business requirements for at least the next 12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16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non-GAAP-based measures are supplemental to the comparable GAAP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rPr>
              <w:t>For 12 Months Ended</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Change</w:t>
            </w:r>
          </w:p>
        </w:tc>
        <w:tc>
          <w:tcPr>
            <w:tcW w:w="2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1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89"/>
              </w:rPr>
              <w:t>2016</w:t>
            </w:r>
          </w:p>
        </w:tc>
        <w:tc>
          <w:tcPr>
            <w:tcW w:w="220" w:type="dxa"/>
            <w:vAlign w:val="bottom"/>
            <w:tcBorders>
              <w:bottom w:val="single" w:sz="8" w:color="CFF0FC"/>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FF0FC"/>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CFF0FC"/>
          </w:tcPr>
          <w:p>
            <w:pPr>
              <w:ind w:left="60"/>
              <w:spacing w:after="0"/>
              <w:rPr>
                <w:sz w:val="20"/>
                <w:szCs w:val="20"/>
                <w:color w:val="auto"/>
              </w:rPr>
            </w:pPr>
            <w:r>
              <w:rPr>
                <w:rFonts w:ascii="Arial" w:cs="Arial" w:eastAsia="Arial" w:hAnsi="Arial"/>
                <w:sz w:val="16"/>
                <w:szCs w:val="16"/>
                <w:color w:val="auto"/>
              </w:rPr>
              <w:t>Cash flow from operations (GAAP)</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4,821</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4,673</w:t>
            </w:r>
          </w:p>
        </w:tc>
        <w:tc>
          <w:tcPr>
            <w:tcW w:w="2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4160" w:type="dxa"/>
            <w:vAlign w:val="bottom"/>
          </w:tcPr>
          <w:p>
            <w:pPr>
              <w:ind w:left="60"/>
              <w:spacing w:after="0"/>
              <w:rPr>
                <w:sz w:val="20"/>
                <w:szCs w:val="20"/>
                <w:color w:val="auto"/>
              </w:rPr>
            </w:pPr>
            <w:r>
              <w:rPr>
                <w:rFonts w:ascii="Arial" w:cs="Arial" w:eastAsia="Arial" w:hAnsi="Arial"/>
                <w:sz w:val="16"/>
                <w:szCs w:val="16"/>
                <w:color w:val="auto"/>
              </w:rPr>
              <w:t>Capital expenditures</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(574)</w:t>
            </w: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(585)</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60" w:type="dxa"/>
            <w:vAlign w:val="bottom"/>
            <w:tcBorders>
              <w:top w:val="single" w:sz="8" w:color="CFF0FC"/>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Free cash flow (non-GAAP)</w:t>
            </w:r>
          </w:p>
        </w:tc>
        <w:tc>
          <w:tcPr>
            <w:tcW w:w="24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4,247</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4,088</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20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98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14,625</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13,145</w:t>
            </w:r>
          </w:p>
        </w:tc>
        <w:tc>
          <w:tcPr>
            <w:tcW w:w="2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60"/>
              <w:spacing w:after="0"/>
              <w:rPr>
                <w:sz w:val="20"/>
                <w:szCs w:val="20"/>
                <w:color w:val="auto"/>
              </w:rPr>
            </w:pPr>
            <w:r>
              <w:rPr>
                <w:rFonts w:ascii="Arial" w:cs="Arial" w:eastAsia="Arial" w:hAnsi="Arial"/>
                <w:sz w:val="16"/>
                <w:szCs w:val="16"/>
                <w:color w:val="auto"/>
                <w:w w:val="97"/>
              </w:rPr>
              <w:t>Cash flow from operations as a percent of revenue (GAAP)</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33.0%</w:t>
            </w:r>
          </w:p>
        </w:tc>
        <w:tc>
          <w:tcPr>
            <w:tcW w:w="3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35.5%</w:t>
            </w: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60"/>
              <w:spacing w:after="0"/>
              <w:rPr>
                <w:sz w:val="20"/>
                <w:szCs w:val="20"/>
                <w:color w:val="auto"/>
              </w:rPr>
            </w:pPr>
            <w:r>
              <w:rPr>
                <w:rFonts w:ascii="Arial" w:cs="Arial" w:eastAsia="Arial" w:hAnsi="Arial"/>
                <w:sz w:val="16"/>
                <w:szCs w:val="16"/>
                <w:color w:val="auto"/>
              </w:rPr>
              <w:t>Free cash flow as a percent of revenue (non-GAAP)</w:t>
            </w:r>
          </w:p>
        </w:tc>
        <w:tc>
          <w:tcPr>
            <w:tcW w:w="2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29.0%</w:t>
            </w:r>
          </w:p>
        </w:tc>
        <w:tc>
          <w:tcPr>
            <w:tcW w:w="3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31.1%</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This MD&amp;A also includes references to an annual operating tax rate, a non-GAAP term we use to describe the estimated annual effective tax rate, a GAAP measure that by definition does not include discrete tax items. We believe the term annual operating tax rate is useful because it more clearly communicates that discrete tax items are excluded from such rate. The term also helps differentiate from the effective tax rate, which includes discrete tax items. No adjustments are made to the estimated annual effective tax rate when using the term annual operating tax rate.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229"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Information regarding long-term debt obligations is described in the long-term contractual obligations table in Item 7 of our Form 10-K for the year ended December 31, 2016. Additionally, in May 2017 we issued $300 million principal amount of 2.75 percent notes maturing in 2021 and $300 million principal amount of 2.625 percent notes maturing in 2024. We retired $250 million of maturing debt in March 2017 and another $375 million in June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financial statements for detailed information regarding the status of new accounting and reporting standards.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Information concerning our risk factors is contained in Item 1A of our Form 10-K for the year ended December 31, 2016, and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4760" w:type="dxa"/>
            <w:vAlign w:val="bottom"/>
            <w:gridSpan w:val="4"/>
          </w:tcPr>
          <w:p>
            <w:pPr>
              <w:ind w:left="120"/>
              <w:spacing w:after="0"/>
              <w:rPr>
                <w:sz w:val="20"/>
                <w:szCs w:val="20"/>
                <w:color w:val="auto"/>
              </w:rPr>
            </w:pPr>
            <w:r>
              <w:rPr>
                <w:rFonts w:ascii="Arial" w:cs="Arial" w:eastAsia="Arial" w:hAnsi="Arial"/>
                <w:sz w:val="18"/>
                <w:szCs w:val="18"/>
                <w:b w:val="1"/>
                <w:bCs w:val="1"/>
                <w:color w:val="auto"/>
              </w:rPr>
              <w:t>ISSUER PURCHASES OF EQUITY SECURITIES</w:t>
            </w: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41"/>
        </w:trPr>
        <w:tc>
          <w:tcPr>
            <w:tcW w:w="36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280" w:type="dxa"/>
            <w:vAlign w:val="bottom"/>
          </w:tcPr>
          <w:p>
            <w:pPr>
              <w:spacing w:after="0"/>
              <w:rPr>
                <w:sz w:val="24"/>
                <w:szCs w:val="24"/>
                <w:color w:val="auto"/>
              </w:rPr>
            </w:pPr>
          </w:p>
        </w:tc>
        <w:tc>
          <w:tcPr>
            <w:tcW w:w="154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2"/>
              </w:rPr>
              <w:t>Approximate</w:t>
            </w:r>
          </w:p>
        </w:tc>
      </w:tr>
      <w:tr>
        <w:trPr>
          <w:trHeight w:val="230"/>
        </w:trPr>
        <w:tc>
          <w:tcPr>
            <w:tcW w:w="36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280" w:type="dxa"/>
            <w:vAlign w:val="bottom"/>
          </w:tcPr>
          <w:p>
            <w:pPr>
              <w:spacing w:after="0"/>
              <w:rPr>
                <w:sz w:val="19"/>
                <w:szCs w:val="19"/>
                <w:color w:val="auto"/>
              </w:rPr>
            </w:pPr>
          </w:p>
        </w:tc>
        <w:tc>
          <w:tcPr>
            <w:tcW w:w="154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2"/>
              </w:rPr>
              <w:t>Dollar Value</w:t>
            </w:r>
          </w:p>
        </w:tc>
      </w:tr>
      <w:tr>
        <w:trPr>
          <w:trHeight w:val="230"/>
        </w:trPr>
        <w:tc>
          <w:tcPr>
            <w:tcW w:w="36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5"/>
              </w:rPr>
              <w:t>Purchased as</w:t>
            </w:r>
          </w:p>
        </w:tc>
        <w:tc>
          <w:tcPr>
            <w:tcW w:w="280" w:type="dxa"/>
            <w:vAlign w:val="bottom"/>
          </w:tcPr>
          <w:p>
            <w:pPr>
              <w:spacing w:after="0"/>
              <w:rPr>
                <w:sz w:val="19"/>
                <w:szCs w:val="19"/>
                <w:color w:val="auto"/>
              </w:rPr>
            </w:pPr>
          </w:p>
        </w:tc>
        <w:tc>
          <w:tcPr>
            <w:tcW w:w="154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88"/>
              </w:rPr>
              <w:t>of Shares that</w:t>
            </w:r>
          </w:p>
        </w:tc>
      </w:tr>
      <w:tr>
        <w:trPr>
          <w:trHeight w:val="230"/>
        </w:trPr>
        <w:tc>
          <w:tcPr>
            <w:tcW w:w="36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Part of</w:t>
            </w:r>
          </w:p>
        </w:tc>
        <w:tc>
          <w:tcPr>
            <w:tcW w:w="280" w:type="dxa"/>
            <w:vAlign w:val="bottom"/>
          </w:tcPr>
          <w:p>
            <w:pPr>
              <w:spacing w:after="0"/>
              <w:rPr>
                <w:sz w:val="19"/>
                <w:szCs w:val="19"/>
                <w:color w:val="auto"/>
              </w:rPr>
            </w:pPr>
          </w:p>
        </w:tc>
        <w:tc>
          <w:tcPr>
            <w:tcW w:w="154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1"/>
              </w:rPr>
              <w:t>May Yet Be</w:t>
            </w:r>
          </w:p>
        </w:tc>
      </w:tr>
      <w:tr>
        <w:trPr>
          <w:trHeight w:val="230"/>
        </w:trPr>
        <w:tc>
          <w:tcPr>
            <w:tcW w:w="3600" w:type="dxa"/>
            <w:vAlign w:val="bottom"/>
          </w:tcPr>
          <w:p>
            <w:pPr>
              <w:spacing w:after="0"/>
              <w:rPr>
                <w:sz w:val="19"/>
                <w:szCs w:val="19"/>
                <w:color w:val="auto"/>
              </w:rPr>
            </w:pPr>
          </w:p>
        </w:tc>
        <w:tc>
          <w:tcPr>
            <w:tcW w:w="3080" w:type="dxa"/>
            <w:vAlign w:val="bottom"/>
          </w:tcPr>
          <w:p>
            <w:pPr>
              <w:jc w:val="center"/>
              <w:ind w:left="2110"/>
              <w:spacing w:after="0"/>
              <w:rPr>
                <w:sz w:val="20"/>
                <w:szCs w:val="20"/>
                <w:color w:val="auto"/>
              </w:rPr>
            </w:pPr>
            <w:r>
              <w:rPr>
                <w:rFonts w:ascii="Arial" w:cs="Arial" w:eastAsia="Arial" w:hAnsi="Arial"/>
                <w:sz w:val="18"/>
                <w:szCs w:val="18"/>
                <w:b w:val="1"/>
                <w:bCs w:val="1"/>
                <w:color w:val="auto"/>
                <w:w w:val="92"/>
              </w:rPr>
              <w:t>Total</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Publicly</w:t>
            </w:r>
          </w:p>
        </w:tc>
        <w:tc>
          <w:tcPr>
            <w:tcW w:w="280" w:type="dxa"/>
            <w:vAlign w:val="bottom"/>
          </w:tcPr>
          <w:p>
            <w:pPr>
              <w:spacing w:after="0"/>
              <w:rPr>
                <w:sz w:val="19"/>
                <w:szCs w:val="19"/>
                <w:color w:val="auto"/>
              </w:rPr>
            </w:pPr>
          </w:p>
        </w:tc>
        <w:tc>
          <w:tcPr>
            <w:tcW w:w="154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6"/>
              </w:rPr>
              <w:t>Purchased</w:t>
            </w:r>
          </w:p>
        </w:tc>
      </w:tr>
      <w:tr>
        <w:trPr>
          <w:trHeight w:val="230"/>
        </w:trPr>
        <w:tc>
          <w:tcPr>
            <w:tcW w:w="3600" w:type="dxa"/>
            <w:vAlign w:val="bottom"/>
          </w:tcPr>
          <w:p>
            <w:pPr>
              <w:spacing w:after="0"/>
              <w:rPr>
                <w:sz w:val="19"/>
                <w:szCs w:val="19"/>
                <w:color w:val="auto"/>
              </w:rPr>
            </w:pPr>
          </w:p>
        </w:tc>
        <w:tc>
          <w:tcPr>
            <w:tcW w:w="3080" w:type="dxa"/>
            <w:vAlign w:val="bottom"/>
          </w:tcPr>
          <w:p>
            <w:pPr>
              <w:jc w:val="center"/>
              <w:ind w:left="2110"/>
              <w:spacing w:after="0"/>
              <w:rPr>
                <w:sz w:val="20"/>
                <w:szCs w:val="20"/>
                <w:color w:val="auto"/>
              </w:rPr>
            </w:pPr>
            <w:r>
              <w:rPr>
                <w:rFonts w:ascii="Arial" w:cs="Arial" w:eastAsia="Arial" w:hAnsi="Arial"/>
                <w:sz w:val="18"/>
                <w:szCs w:val="18"/>
                <w:b w:val="1"/>
                <w:bCs w:val="1"/>
                <w:color w:val="auto"/>
                <w:w w:val="93"/>
              </w:rPr>
              <w:t>Number of</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Average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280" w:type="dxa"/>
            <w:vAlign w:val="bottom"/>
          </w:tcPr>
          <w:p>
            <w:pPr>
              <w:spacing w:after="0"/>
              <w:rPr>
                <w:sz w:val="19"/>
                <w:szCs w:val="19"/>
                <w:color w:val="auto"/>
              </w:rPr>
            </w:pPr>
          </w:p>
        </w:tc>
        <w:tc>
          <w:tcPr>
            <w:tcW w:w="154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2"/>
              </w:rPr>
              <w:t>Under the</w:t>
            </w:r>
          </w:p>
        </w:tc>
      </w:tr>
      <w:tr>
        <w:trPr>
          <w:trHeight w:val="230"/>
        </w:trPr>
        <w:tc>
          <w:tcPr>
            <w:tcW w:w="3600" w:type="dxa"/>
            <w:vAlign w:val="bottom"/>
          </w:tcPr>
          <w:p>
            <w:pPr>
              <w:spacing w:after="0"/>
              <w:rPr>
                <w:sz w:val="19"/>
                <w:szCs w:val="19"/>
                <w:color w:val="auto"/>
              </w:rPr>
            </w:pPr>
          </w:p>
        </w:tc>
        <w:tc>
          <w:tcPr>
            <w:tcW w:w="3080" w:type="dxa"/>
            <w:vAlign w:val="bottom"/>
          </w:tcPr>
          <w:p>
            <w:pPr>
              <w:jc w:val="center"/>
              <w:ind w:left="2110"/>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Price Paid</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Plans or</w:t>
            </w:r>
          </w:p>
        </w:tc>
        <w:tc>
          <w:tcPr>
            <w:tcW w:w="280" w:type="dxa"/>
            <w:vAlign w:val="bottom"/>
          </w:tcPr>
          <w:p>
            <w:pPr>
              <w:spacing w:after="0"/>
              <w:rPr>
                <w:sz w:val="19"/>
                <w:szCs w:val="19"/>
                <w:color w:val="auto"/>
              </w:rPr>
            </w:pPr>
          </w:p>
        </w:tc>
        <w:tc>
          <w:tcPr>
            <w:tcW w:w="154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0"/>
              </w:rPr>
              <w:t>Plans or</w:t>
            </w:r>
          </w:p>
        </w:tc>
      </w:tr>
      <w:tr>
        <w:trPr>
          <w:trHeight w:val="234"/>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3080" w:type="dxa"/>
            <w:vAlign w:val="bottom"/>
            <w:tcBorders>
              <w:bottom w:val="single" w:sz="8" w:color="auto"/>
            </w:tcBorders>
          </w:tcPr>
          <w:p>
            <w:pPr>
              <w:jc w:val="center"/>
              <w:ind w:left="2110"/>
              <w:spacing w:after="0"/>
              <w:rPr>
                <w:sz w:val="20"/>
                <w:szCs w:val="20"/>
                <w:color w:val="auto"/>
              </w:rPr>
            </w:pPr>
            <w:r>
              <w:rPr>
                <w:rFonts w:ascii="Arial" w:cs="Arial" w:eastAsia="Arial" w:hAnsi="Arial"/>
                <w:sz w:val="18"/>
                <w:szCs w:val="18"/>
                <w:b w:val="1"/>
                <w:bCs w:val="1"/>
                <w:color w:val="auto"/>
                <w:w w:val="86"/>
              </w:rPr>
              <w:t>Purchased</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per Share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Programs</w:t>
            </w:r>
            <w:r>
              <w:rPr>
                <w:rFonts w:ascii="Arial" w:cs="Arial" w:eastAsia="Arial" w:hAnsi="Arial"/>
                <w:sz w:val="15"/>
                <w:szCs w:val="15"/>
                <w:b w:val="1"/>
                <w:bCs w:val="1"/>
                <w:color w:val="auto"/>
                <w:w w:val="89"/>
              </w:rPr>
              <w:t>(1)</w:t>
            </w: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150"/>
              <w:spacing w:after="0"/>
              <w:rPr>
                <w:sz w:val="20"/>
                <w:szCs w:val="20"/>
                <w:color w:val="auto"/>
              </w:rPr>
            </w:pPr>
            <w:r>
              <w:rPr>
                <w:rFonts w:ascii="Arial" w:cs="Arial" w:eastAsia="Arial" w:hAnsi="Arial"/>
                <w:sz w:val="18"/>
                <w:szCs w:val="18"/>
                <w:b w:val="1"/>
                <w:bCs w:val="1"/>
                <w:color w:val="auto"/>
                <w:w w:val="91"/>
              </w:rPr>
              <w:t>Programs</w:t>
            </w:r>
            <w:r>
              <w:rPr>
                <w:rFonts w:ascii="Arial" w:cs="Arial" w:eastAsia="Arial" w:hAnsi="Arial"/>
                <w:sz w:val="15"/>
                <w:szCs w:val="15"/>
                <w:b w:val="1"/>
                <w:bCs w:val="1"/>
                <w:color w:val="auto"/>
                <w:w w:val="91"/>
              </w:rPr>
              <w:t>(1)</w:t>
            </w:r>
          </w:p>
        </w:tc>
      </w:tr>
      <w:tr>
        <w:trPr>
          <w:trHeight w:val="237"/>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July 1, 2017 through July 31, 2017</w:t>
            </w:r>
          </w:p>
        </w:tc>
        <w:tc>
          <w:tcPr>
            <w:tcW w:w="3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3,384,153</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80.35</w:t>
            </w:r>
          </w:p>
        </w:tc>
        <w:tc>
          <w:tcPr>
            <w:tcW w:w="12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3,249,064</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billion</w:t>
            </w: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August 1, 2017 through August 31, 2017</w:t>
            </w:r>
          </w:p>
        </w:tc>
        <w:tc>
          <w:tcPr>
            <w:tcW w:w="3080" w:type="dxa"/>
            <w:vAlign w:val="bottom"/>
          </w:tcPr>
          <w:p>
            <w:pPr>
              <w:jc w:val="right"/>
              <w:spacing w:after="0"/>
              <w:rPr>
                <w:sz w:val="20"/>
                <w:szCs w:val="20"/>
                <w:color w:val="auto"/>
              </w:rPr>
            </w:pPr>
            <w:r>
              <w:rPr>
                <w:rFonts w:ascii="Arial" w:cs="Arial" w:eastAsia="Arial" w:hAnsi="Arial"/>
                <w:sz w:val="18"/>
                <w:szCs w:val="18"/>
                <w:color w:val="auto"/>
              </w:rPr>
              <w:t>4,091,572</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ind w:left="520"/>
              <w:spacing w:after="0"/>
              <w:rPr>
                <w:sz w:val="20"/>
                <w:szCs w:val="20"/>
                <w:color w:val="auto"/>
              </w:rPr>
            </w:pPr>
            <w:r>
              <w:rPr>
                <w:rFonts w:ascii="Arial" w:cs="Arial" w:eastAsia="Arial" w:hAnsi="Arial"/>
                <w:sz w:val="18"/>
                <w:szCs w:val="18"/>
                <w:color w:val="auto"/>
              </w:rPr>
              <w:t>81.39</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4,091,572</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4.01</w:t>
            </w:r>
          </w:p>
        </w:tc>
        <w:tc>
          <w:tcPr>
            <w:tcW w:w="880" w:type="dxa"/>
            <w:vAlign w:val="bottom"/>
          </w:tcPr>
          <w:p>
            <w:pPr>
              <w:ind w:left="20"/>
              <w:spacing w:after="0"/>
              <w:rPr>
                <w:sz w:val="20"/>
                <w:szCs w:val="20"/>
                <w:color w:val="auto"/>
              </w:rPr>
            </w:pPr>
            <w:r>
              <w:rPr>
                <w:rFonts w:ascii="Arial" w:cs="Arial" w:eastAsia="Arial" w:hAnsi="Arial"/>
                <w:sz w:val="18"/>
                <w:szCs w:val="18"/>
                <w:color w:val="auto"/>
              </w:rPr>
              <w:t>billion</w:t>
            </w:r>
          </w:p>
        </w:tc>
      </w:tr>
      <w:tr>
        <w:trPr>
          <w:trHeight w:val="243"/>
        </w:trPr>
        <w:tc>
          <w:tcPr>
            <w:tcW w:w="36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2"/>
              </w:rPr>
              <w:t>September 1, 2017 through September 30, 2017</w:t>
            </w:r>
          </w:p>
        </w:tc>
        <w:tc>
          <w:tcPr>
            <w:tcW w:w="3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682,122</w:t>
            </w:r>
          </w:p>
        </w:tc>
        <w:tc>
          <w:tcPr>
            <w:tcW w:w="24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rPr>
              <w:t>82.10</w:t>
            </w:r>
          </w:p>
        </w:tc>
        <w:tc>
          <w:tcPr>
            <w:tcW w:w="12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682,122</w:t>
            </w:r>
          </w:p>
        </w:tc>
        <w:tc>
          <w:tcPr>
            <w:tcW w:w="2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w:t>
            </w:r>
          </w:p>
        </w:tc>
        <w:tc>
          <w:tcPr>
            <w:tcW w:w="8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billion</w:t>
            </w:r>
          </w:p>
        </w:tc>
      </w:tr>
      <w:tr>
        <w:trPr>
          <w:trHeight w:val="384"/>
        </w:trPr>
        <w:tc>
          <w:tcPr>
            <w:tcW w:w="3600" w:type="dxa"/>
            <w:vAlign w:val="bottom"/>
          </w:tcPr>
          <w:p>
            <w:pPr>
              <w:spacing w:after="0"/>
              <w:rPr>
                <w:sz w:val="20"/>
                <w:szCs w:val="20"/>
                <w:color w:val="auto"/>
              </w:rPr>
            </w:pPr>
            <w:r>
              <w:rPr>
                <w:rFonts w:ascii="Arial" w:cs="Arial" w:eastAsia="Arial" w:hAnsi="Arial"/>
                <w:sz w:val="18"/>
                <w:szCs w:val="18"/>
                <w:color w:val="auto"/>
              </w:rPr>
              <w:t>Total</w:t>
            </w:r>
          </w:p>
        </w:tc>
        <w:tc>
          <w:tcPr>
            <w:tcW w:w="3080" w:type="dxa"/>
            <w:vAlign w:val="bottom"/>
          </w:tcPr>
          <w:p>
            <w:pPr>
              <w:jc w:val="right"/>
              <w:spacing w:after="0"/>
              <w:rPr>
                <w:sz w:val="20"/>
                <w:szCs w:val="20"/>
                <w:color w:val="auto"/>
              </w:rPr>
            </w:pPr>
            <w:r>
              <w:rPr>
                <w:rFonts w:ascii="Arial" w:cs="Arial" w:eastAsia="Arial" w:hAnsi="Arial"/>
                <w:sz w:val="18"/>
                <w:szCs w:val="18"/>
                <w:color w:val="auto"/>
              </w:rPr>
              <w:t>8,157,847</w:t>
            </w:r>
          </w:p>
        </w:tc>
        <w:tc>
          <w:tcPr>
            <w:tcW w:w="240" w:type="dxa"/>
            <w:vAlign w:val="bottom"/>
          </w:tcPr>
          <w:p>
            <w:pPr>
              <w:jc w:val="right"/>
              <w:spacing w:after="0"/>
              <w:rPr>
                <w:sz w:val="20"/>
                <w:szCs w:val="20"/>
                <w:color w:val="auto"/>
              </w:rPr>
            </w:pPr>
            <w:r>
              <w:rPr>
                <w:rFonts w:ascii="Arial" w:cs="Arial" w:eastAsia="Arial" w:hAnsi="Arial"/>
                <w:sz w:val="15"/>
                <w:szCs w:val="15"/>
                <w:color w:val="auto"/>
                <w:w w:val="97"/>
              </w:rPr>
              <w:t>(2)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520"/>
              <w:spacing w:after="0"/>
              <w:rPr>
                <w:sz w:val="20"/>
                <w:szCs w:val="20"/>
                <w:color w:val="auto"/>
              </w:rPr>
            </w:pPr>
            <w:r>
              <w:rPr>
                <w:rFonts w:ascii="Arial" w:cs="Arial" w:eastAsia="Arial" w:hAnsi="Arial"/>
                <w:sz w:val="18"/>
                <w:szCs w:val="18"/>
                <w:color w:val="auto"/>
                <w:w w:val="97"/>
              </w:rPr>
              <w:t>81.01</w:t>
            </w:r>
            <w:r>
              <w:rPr>
                <w:rFonts w:ascii="Arial" w:cs="Arial" w:eastAsia="Arial" w:hAnsi="Arial"/>
                <w:sz w:val="30"/>
                <w:szCs w:val="30"/>
                <w:color w:val="auto"/>
                <w:w w:val="97"/>
                <w:vertAlign w:val="superscript"/>
              </w:rPr>
              <w:t>(2)</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8,022,758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9.95</w:t>
            </w:r>
          </w:p>
        </w:tc>
        <w:tc>
          <w:tcPr>
            <w:tcW w:w="880" w:type="dxa"/>
            <w:vAlign w:val="bottom"/>
          </w:tcPr>
          <w:p>
            <w:pPr>
              <w:ind w:left="20"/>
              <w:spacing w:after="0"/>
              <w:rPr>
                <w:sz w:val="20"/>
                <w:szCs w:val="20"/>
                <w:color w:val="auto"/>
              </w:rPr>
            </w:pPr>
            <w:r>
              <w:rPr>
                <w:rFonts w:ascii="Arial" w:cs="Arial" w:eastAsia="Arial" w:hAnsi="Arial"/>
                <w:sz w:val="18"/>
                <w:szCs w:val="18"/>
                <w:color w:val="auto"/>
              </w:rPr>
              <w:t>billion</w:t>
            </w:r>
            <w:r>
              <w:rPr>
                <w:rFonts w:ascii="Arial" w:cs="Arial" w:eastAsia="Arial" w:hAnsi="Arial"/>
                <w:sz w:val="15"/>
                <w:szCs w:val="15"/>
                <w:color w:val="auto"/>
              </w:rPr>
              <w:t>(3)</w:t>
            </w:r>
          </w:p>
        </w:tc>
      </w:tr>
    </w:tbl>
    <w:p>
      <w:pPr>
        <w:ind w:left="380" w:right="140" w:hanging="372"/>
        <w:spacing w:after="0" w:line="251" w:lineRule="auto"/>
        <w:tabs>
          <w:tab w:leader="none" w:pos="380" w:val="left"/>
        </w:tabs>
        <w:numPr>
          <w:ilvl w:val="0"/>
          <w:numId w:val="19"/>
        </w:numPr>
        <w:rPr>
          <w:rFonts w:ascii="Arial" w:cs="Arial" w:eastAsia="Arial" w:hAnsi="Arial"/>
          <w:sz w:val="15"/>
          <w:szCs w:val="15"/>
          <w:color w:val="auto"/>
        </w:rPr>
      </w:pPr>
      <w:r>
        <w:rPr>
          <w:rFonts w:ascii="Arial" w:cs="Arial" w:eastAsia="Arial" w:hAnsi="Arial"/>
          <w:sz w:val="18"/>
          <w:szCs w:val="18"/>
          <w:color w:val="auto"/>
        </w:rPr>
        <w:t>All purchases during the quarter were made under the authorization from our board of directors to purchase up to $7.5 billion of additional shares of TI common stock announced September 17, 2015. On September 21, 2017, our board of directors authorized the purchase of an additional $6.0 billion of our common stock.</w:t>
      </w:r>
    </w:p>
    <w:p>
      <w:pPr>
        <w:ind w:left="380" w:right="660" w:hanging="372"/>
        <w:spacing w:after="0" w:line="250" w:lineRule="auto"/>
        <w:tabs>
          <w:tab w:leader="none" w:pos="380" w:val="left"/>
        </w:tabs>
        <w:numPr>
          <w:ilvl w:val="0"/>
          <w:numId w:val="19"/>
        </w:numPr>
        <w:rPr>
          <w:rFonts w:ascii="Arial" w:cs="Arial" w:eastAsia="Arial" w:hAnsi="Arial"/>
          <w:sz w:val="15"/>
          <w:szCs w:val="15"/>
          <w:color w:val="auto"/>
        </w:rPr>
      </w:pPr>
      <w:r>
        <w:rPr>
          <w:rFonts w:ascii="Arial" w:cs="Arial" w:eastAsia="Arial" w:hAnsi="Arial"/>
          <w:sz w:val="18"/>
          <w:szCs w:val="18"/>
          <w:color w:val="auto"/>
        </w:rPr>
        <w:t>In addition to open-market purchases, 135,089 shares of common stock were surrendered by employees to satisfy tax withholding obligations in connection with the vesting of restricted stock units.</w:t>
      </w:r>
    </w:p>
    <w:p>
      <w:pPr>
        <w:ind w:left="380" w:right="720" w:hanging="372"/>
        <w:spacing w:after="0" w:line="261" w:lineRule="auto"/>
        <w:tabs>
          <w:tab w:leader="none" w:pos="380" w:val="left"/>
        </w:tabs>
        <w:numPr>
          <w:ilvl w:val="0"/>
          <w:numId w:val="19"/>
        </w:numPr>
        <w:rPr>
          <w:rFonts w:ascii="Arial" w:cs="Arial" w:eastAsia="Arial" w:hAnsi="Arial"/>
          <w:sz w:val="15"/>
          <w:szCs w:val="15"/>
          <w:color w:val="auto"/>
        </w:rPr>
      </w:pPr>
      <w:r>
        <w:rPr>
          <w:rFonts w:ascii="Arial" w:cs="Arial" w:eastAsia="Arial" w:hAnsi="Arial"/>
          <w:sz w:val="18"/>
          <w:szCs w:val="18"/>
          <w:color w:val="auto"/>
        </w:rPr>
        <w:t>As of September 30, 2017, this amount consisted of the remaining portion of the $7.5 billion authorized in September 2015 and the $6.0 billion authorized in September 2017. No expiration date has been specified for these authorizations.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6. Exhibits.</w:t>
      </w:r>
    </w:p>
    <w:p>
      <w:pPr>
        <w:spacing w:after="0" w:line="306" w:lineRule="exact"/>
        <w:rPr>
          <w:sz w:val="20"/>
          <w:szCs w:val="20"/>
          <w:color w:val="auto"/>
        </w:rPr>
      </w:pPr>
    </w:p>
    <w:p>
      <w:pPr>
        <w:jc w:val="center"/>
        <w:ind w:right="10020"/>
        <w:spacing w:after="0"/>
        <w:rPr>
          <w:sz w:val="20"/>
          <w:szCs w:val="20"/>
          <w:color w:val="auto"/>
        </w:rPr>
      </w:pPr>
      <w:r>
        <w:rPr>
          <w:rFonts w:ascii="Arial" w:cs="Arial" w:eastAsia="Arial" w:hAnsi="Arial"/>
          <w:sz w:val="18"/>
          <w:szCs w:val="18"/>
          <w:b w:val="1"/>
          <w:bCs w:val="1"/>
          <w:color w:val="auto"/>
        </w:rPr>
        <w:t>Designation</w:t>
      </w:r>
    </w:p>
    <w:p>
      <w:pPr>
        <w:spacing w:after="0" w:line="27" w:lineRule="exact"/>
        <w:rPr>
          <w:sz w:val="20"/>
          <w:szCs w:val="20"/>
          <w:color w:val="auto"/>
        </w:rPr>
      </w:pPr>
    </w:p>
    <w:p>
      <w:pPr>
        <w:jc w:val="center"/>
        <w:ind w:right="10020"/>
        <w:spacing w:after="0"/>
        <w:rPr>
          <w:sz w:val="20"/>
          <w:szCs w:val="20"/>
          <w:color w:val="auto"/>
        </w:rPr>
      </w:pPr>
      <w:r>
        <w:rPr>
          <w:rFonts w:ascii="Arial" w:cs="Arial" w:eastAsia="Arial" w:hAnsi="Arial"/>
          <w:sz w:val="18"/>
          <w:szCs w:val="18"/>
          <w:b w:val="1"/>
          <w:bCs w:val="1"/>
          <w:color w:val="auto"/>
        </w:rPr>
        <w:t>of Exhibits</w:t>
      </w:r>
    </w:p>
    <w:p>
      <w:pPr>
        <w:spacing w:after="0" w:line="9" w:lineRule="exact"/>
        <w:rPr>
          <w:sz w:val="20"/>
          <w:szCs w:val="20"/>
          <w:color w:val="auto"/>
        </w:rPr>
      </w:pPr>
    </w:p>
    <w:p>
      <w:pPr>
        <w:jc w:val="center"/>
        <w:ind w:right="10020"/>
        <w:spacing w:after="0"/>
        <w:rPr>
          <w:sz w:val="20"/>
          <w:szCs w:val="20"/>
          <w:color w:val="auto"/>
        </w:rPr>
      </w:pPr>
      <w:r>
        <w:rPr>
          <w:rFonts w:ascii="Arial" w:cs="Arial" w:eastAsia="Arial" w:hAnsi="Arial"/>
          <w:sz w:val="18"/>
          <w:szCs w:val="18"/>
          <w:b w:val="1"/>
          <w:bCs w:val="1"/>
          <w:color w:val="auto"/>
        </w:rPr>
        <w:t>in This</w:t>
      </w:r>
    </w:p>
    <w:p>
      <w:pPr>
        <w:spacing w:after="0" w:line="9" w:lineRule="exact"/>
        <w:rPr>
          <w:sz w:val="20"/>
          <w:szCs w:val="20"/>
          <w:color w:val="auto"/>
        </w:rPr>
      </w:pPr>
    </w:p>
    <w:p>
      <w:pPr>
        <w:jc w:val="both"/>
        <w:ind w:left="440"/>
        <w:spacing w:after="0"/>
        <w:tabs>
          <w:tab w:leader="none" w:pos="1440" w:val="left"/>
        </w:tabs>
        <w:rPr>
          <w:sz w:val="20"/>
          <w:szCs w:val="20"/>
          <w:color w:val="auto"/>
        </w:rPr>
      </w:pPr>
      <w:r>
        <w:rPr>
          <w:rFonts w:ascii="Arial" w:cs="Arial" w:eastAsia="Arial" w:hAnsi="Arial"/>
          <w:sz w:val="18"/>
          <w:szCs w:val="18"/>
          <w:b w:val="1"/>
          <w:bCs w:val="1"/>
          <w:color w:val="auto"/>
        </w:rPr>
        <w:t>Report</w:t>
      </w:r>
      <w:r>
        <w:rPr>
          <w:sz w:val="20"/>
          <w:szCs w:val="20"/>
          <w:color w:val="auto"/>
        </w:rPr>
        <w:tab/>
      </w:r>
      <w:r>
        <w:rPr>
          <w:rFonts w:ascii="Arial" w:cs="Arial" w:eastAsia="Arial" w:hAnsi="Arial"/>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17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143" w:lineRule="exact"/>
        <w:rPr>
          <w:sz w:val="20"/>
          <w:szCs w:val="20"/>
          <w:color w:val="auto"/>
        </w:rPr>
      </w:pPr>
    </w:p>
    <w:p>
      <w:pPr>
        <w:jc w:val="center"/>
        <w:ind w:left="560"/>
        <w:spacing w:after="0"/>
        <w:rPr>
          <w:sz w:val="20"/>
          <w:szCs w:val="20"/>
          <w:color w:val="auto"/>
        </w:rPr>
      </w:pPr>
      <w:r>
        <w:rPr>
          <w:rFonts w:ascii="Arial" w:cs="Arial" w:eastAsia="Arial" w:hAnsi="Arial"/>
          <w:sz w:val="16"/>
          <w:szCs w:val="16"/>
          <w:color w:val="auto"/>
        </w:rPr>
        <w:t>3(a)</w:t>
      </w:r>
    </w:p>
    <w:p>
      <w:pPr>
        <w:spacing w:after="0" w:line="316" w:lineRule="exact"/>
        <w:rPr>
          <w:sz w:val="20"/>
          <w:szCs w:val="20"/>
          <w:color w:val="auto"/>
        </w:rPr>
      </w:pPr>
    </w:p>
    <w:p>
      <w:pPr>
        <w:jc w:val="center"/>
        <w:ind w:left="560"/>
        <w:spacing w:after="0"/>
        <w:rPr>
          <w:sz w:val="20"/>
          <w:szCs w:val="20"/>
          <w:color w:val="auto"/>
        </w:rPr>
      </w:pPr>
      <w:r>
        <w:rPr>
          <w:rFonts w:ascii="Arial" w:cs="Arial" w:eastAsia="Arial" w:hAnsi="Arial"/>
          <w:sz w:val="16"/>
          <w:szCs w:val="16"/>
          <w:color w:val="auto"/>
        </w:rPr>
        <w:t>3(b)</w:t>
      </w:r>
    </w:p>
    <w:p>
      <w:pPr>
        <w:spacing w:after="0" w:line="316" w:lineRule="exact"/>
        <w:rPr>
          <w:sz w:val="20"/>
          <w:szCs w:val="20"/>
          <w:color w:val="auto"/>
        </w:rPr>
      </w:pPr>
    </w:p>
    <w:p>
      <w:pPr>
        <w:jc w:val="center"/>
        <w:ind w:left="560"/>
        <w:spacing w:after="0"/>
        <w:rPr>
          <w:sz w:val="20"/>
          <w:szCs w:val="20"/>
          <w:color w:val="auto"/>
        </w:rPr>
      </w:pPr>
      <w:r>
        <w:rPr>
          <w:rFonts w:ascii="Arial" w:cs="Arial" w:eastAsia="Arial" w:hAnsi="Arial"/>
          <w:sz w:val="16"/>
          <w:szCs w:val="16"/>
          <w:color w:val="auto"/>
        </w:rPr>
        <w:t>4(a)</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60"/>
        <w:spacing w:after="0" w:line="277" w:lineRule="auto"/>
        <w:rPr>
          <w:rFonts w:ascii="Arial" w:cs="Arial" w:eastAsia="Arial" w:hAnsi="Arial"/>
          <w:sz w:val="18"/>
          <w:szCs w:val="18"/>
          <w:u w:val="single" w:color="auto"/>
          <w:color w:val="0000EE"/>
        </w:rPr>
      </w:pPr>
      <w:hyperlink r:id="rId40">
        <w:r>
          <w:rPr>
            <w:rFonts w:ascii="Arial" w:cs="Arial" w:eastAsia="Arial" w:hAnsi="Arial"/>
            <w:sz w:val="18"/>
            <w:szCs w:val="18"/>
            <w:u w:val="single" w:color="auto"/>
            <w:color w:val="0000EE"/>
          </w:rPr>
          <w:t>Restated Certificate of Incorporation of the Registrant, dated April 18, 1985, as amended (incorporated by reference to Exhibit 3(a) of the</w:t>
        </w:r>
      </w:hyperlink>
      <w:r>
        <w:rPr>
          <w:rFonts w:ascii="Arial" w:cs="Arial" w:eastAsia="Arial" w:hAnsi="Arial"/>
          <w:sz w:val="18"/>
          <w:szCs w:val="18"/>
          <w:u w:val="single" w:color="auto"/>
          <w:color w:val="0000EE"/>
        </w:rPr>
        <w:t xml:space="preserve"> </w:t>
      </w:r>
      <w:hyperlink r:id="rId40">
        <w:r>
          <w:rPr>
            <w:rFonts w:ascii="Arial" w:cs="Arial" w:eastAsia="Arial" w:hAnsi="Arial"/>
            <w:sz w:val="18"/>
            <w:szCs w:val="18"/>
            <w:u w:val="single" w:color="auto"/>
            <w:color w:val="0000EE"/>
          </w:rPr>
          <w:t>Registrant's Annual Report on Form 10-K for the year ended December 31, 2014).</w:t>
        </w:r>
      </w:hyperlink>
    </w:p>
    <w:p>
      <w:pPr>
        <w:spacing w:after="0" w:line="22" w:lineRule="exact"/>
        <w:rPr>
          <w:sz w:val="20"/>
          <w:szCs w:val="20"/>
          <w:color w:val="auto"/>
        </w:rPr>
      </w:pPr>
    </w:p>
    <w:p>
      <w:pPr>
        <w:ind w:right="320"/>
        <w:spacing w:after="0" w:line="277" w:lineRule="auto"/>
        <w:rPr>
          <w:rFonts w:ascii="Arial" w:cs="Arial" w:eastAsia="Arial" w:hAnsi="Arial"/>
          <w:sz w:val="18"/>
          <w:szCs w:val="18"/>
          <w:u w:val="single" w:color="auto"/>
          <w:color w:val="0000EE"/>
        </w:rPr>
      </w:pPr>
      <w:hyperlink r:id="rId41">
        <w:r>
          <w:rPr>
            <w:rFonts w:ascii="Arial" w:cs="Arial" w:eastAsia="Arial" w:hAnsi="Arial"/>
            <w:sz w:val="18"/>
            <w:szCs w:val="18"/>
            <w:u w:val="single" w:color="auto"/>
            <w:color w:val="0000EE"/>
          </w:rPr>
          <w:t>By-Laws of the Registrant (incorporated by reference to Exhibit 3 of the Registrant's Current Report on Form 8-K filed December 12,</w:t>
        </w:r>
      </w:hyperlink>
      <w:r>
        <w:rPr>
          <w:rFonts w:ascii="Arial" w:cs="Arial" w:eastAsia="Arial" w:hAnsi="Arial"/>
          <w:sz w:val="18"/>
          <w:szCs w:val="18"/>
          <w:u w:val="single" w:color="auto"/>
          <w:color w:val="0000EE"/>
        </w:rPr>
        <w:t xml:space="preserve"> </w:t>
      </w:r>
      <w:hyperlink r:id="rId41">
        <w:r>
          <w:rPr>
            <w:rFonts w:ascii="Arial" w:cs="Arial" w:eastAsia="Arial" w:hAnsi="Arial"/>
            <w:sz w:val="18"/>
            <w:szCs w:val="18"/>
            <w:u w:val="single" w:color="auto"/>
            <w:color w:val="0000EE"/>
          </w:rPr>
          <w:t>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-1905</wp:posOffset>
            </wp:positionV>
            <wp:extent cx="7246620" cy="3175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 w:lineRule="exact"/>
        <w:rPr>
          <w:sz w:val="20"/>
          <w:szCs w:val="20"/>
          <w:color w:val="auto"/>
        </w:rPr>
      </w:pPr>
    </w:p>
    <w:p>
      <w:pPr>
        <w:ind w:right="240"/>
        <w:spacing w:after="0" w:line="277" w:lineRule="auto"/>
        <w:rPr>
          <w:rFonts w:ascii="Arial" w:cs="Arial" w:eastAsia="Arial" w:hAnsi="Arial"/>
          <w:sz w:val="18"/>
          <w:szCs w:val="18"/>
          <w:u w:val="single" w:color="auto"/>
          <w:color w:val="0000EE"/>
        </w:rPr>
      </w:pPr>
      <w:hyperlink r:id="rId43">
        <w:r>
          <w:rPr>
            <w:rFonts w:ascii="Arial" w:cs="Arial" w:eastAsia="Arial" w:hAnsi="Arial"/>
            <w:sz w:val="18"/>
            <w:szCs w:val="18"/>
            <w:u w:val="single" w:color="auto"/>
            <w:color w:val="0000EE"/>
          </w:rPr>
          <w:t>Officer’s Certificate, dated May 4, 2017 (incorporated by reference to Exhibit 4.1 of the Registrant’s Current Report on Form 8-K filed</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May 4, 2017).</w:t>
        </w:r>
      </w:hyperlink>
    </w:p>
    <w:p>
      <w:pPr>
        <w:spacing w:after="0" w:line="1" w:lineRule="exact"/>
        <w:rPr>
          <w:sz w:val="20"/>
          <w:szCs w:val="20"/>
          <w:color w:val="auto"/>
        </w:rPr>
      </w:pPr>
    </w:p>
    <w:p>
      <w:pPr>
        <w:sectPr>
          <w:pgSz w:w="11900" w:h="16838" w:orient="portrait"/>
          <w:cols w:equalWidth="0" w:num="2">
            <w:col w:w="860" w:space="600"/>
            <w:col w:w="996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1460" w:type="dxa"/>
            <w:vAlign w:val="bottom"/>
          </w:tcPr>
          <w:p>
            <w:pPr>
              <w:jc w:val="center"/>
              <w:spacing w:after="0" w:line="165" w:lineRule="exact"/>
              <w:rPr>
                <w:sz w:val="20"/>
                <w:szCs w:val="20"/>
                <w:color w:val="auto"/>
              </w:rPr>
            </w:pPr>
            <w:r>
              <w:rPr>
                <w:rFonts w:ascii="Arial" w:cs="Arial" w:eastAsia="Arial" w:hAnsi="Arial"/>
                <w:sz w:val="18"/>
                <w:szCs w:val="18"/>
                <w:color w:val="auto"/>
                <w:w w:val="90"/>
              </w:rPr>
              <w:t>31(a)</w:t>
            </w:r>
          </w:p>
        </w:tc>
        <w:tc>
          <w:tcPr>
            <w:tcW w:w="7620" w:type="dxa"/>
            <w:vAlign w:val="bottom"/>
            <w:tcBorders>
              <w:bottom w:val="single" w:sz="8" w:color="0000EE"/>
            </w:tcBorders>
            <w:gridSpan w:val="6"/>
          </w:tcPr>
          <w:p>
            <w:pPr>
              <w:spacing w:after="0" w:line="165"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Certification of Chief Executive Officer of Periodic Report Pursuant to Rule 13a-15(e) or Rule 15d-15(e).</w:t>
              </w:r>
            </w:hyperlink>
          </w:p>
        </w:tc>
        <w:tc>
          <w:tcPr>
            <w:tcW w:w="60" w:type="dxa"/>
            <w:vAlign w:val="bottom"/>
            <w:tcBorders>
              <w:bottom w:val="single" w:sz="8" w:color="0000EE"/>
            </w:tcBorders>
            <w:gridSpan w:val="2"/>
          </w:tcPr>
          <w:p>
            <w:pPr>
              <w:spacing w:after="0"/>
              <w:rPr>
                <w:rFonts w:ascii="Arial" w:cs="Arial" w:eastAsia="Arial" w:hAnsi="Arial"/>
                <w:sz w:val="10"/>
                <w:szCs w:val="10"/>
                <w:color w:val="0000EE"/>
                <w:w w:val="71"/>
              </w:rPr>
            </w:pPr>
            <w:hyperlink w:anchor="page27">
              <w:r>
                <w:rPr>
                  <w:rFonts w:ascii="Arial" w:cs="Arial" w:eastAsia="Arial" w:hAnsi="Arial"/>
                  <w:sz w:val="10"/>
                  <w:szCs w:val="10"/>
                  <w:color w:val="0000EE"/>
                  <w:w w:val="71"/>
                </w:rPr>
                <w:t>†</w:t>
              </w:r>
            </w:hyperlink>
          </w:p>
        </w:tc>
        <w:tc>
          <w:tcPr>
            <w:tcW w:w="2280" w:type="dxa"/>
            <w:vAlign w:val="bottom"/>
          </w:tcPr>
          <w:p>
            <w:pPr>
              <w:spacing w:after="0"/>
              <w:rPr>
                <w:sz w:val="17"/>
                <w:szCs w:val="17"/>
                <w:color w:val="auto"/>
              </w:rPr>
            </w:pPr>
          </w:p>
        </w:tc>
      </w:tr>
      <w:tr>
        <w:trPr>
          <w:trHeight w:val="48"/>
        </w:trPr>
        <w:tc>
          <w:tcPr>
            <w:tcW w:w="1460" w:type="dxa"/>
            <w:vAlign w:val="bottom"/>
          </w:tcPr>
          <w:p>
            <w:pPr>
              <w:spacing w:after="0"/>
              <w:rPr>
                <w:sz w:val="4"/>
                <w:szCs w:val="4"/>
                <w:color w:val="auto"/>
              </w:rPr>
            </w:pPr>
          </w:p>
        </w:tc>
        <w:tc>
          <w:tcPr>
            <w:tcW w:w="68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80" w:type="dxa"/>
            <w:vAlign w:val="bottom"/>
          </w:tcPr>
          <w:p>
            <w:pPr>
              <w:spacing w:after="0"/>
              <w:rPr>
                <w:sz w:val="4"/>
                <w:szCs w:val="4"/>
                <w:color w:val="auto"/>
              </w:rPr>
            </w:pPr>
          </w:p>
        </w:tc>
      </w:tr>
      <w:tr>
        <w:trPr>
          <w:trHeight w:val="255"/>
        </w:trPr>
        <w:tc>
          <w:tcPr>
            <w:tcW w:w="1460" w:type="dxa"/>
            <w:vAlign w:val="bottom"/>
            <w:tcBorders>
              <w:bottom w:val="single" w:sz="8" w:color="CCEEFF"/>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5"/>
              </w:rPr>
              <w:t>31(b)</w:t>
            </w:r>
          </w:p>
        </w:tc>
        <w:tc>
          <w:tcPr>
            <w:tcW w:w="7560" w:type="dxa"/>
            <w:vAlign w:val="bottom"/>
            <w:tcBorders>
              <w:bottom w:val="single" w:sz="8" w:color="CCEEFF"/>
            </w:tcBorders>
            <w:gridSpan w:val="5"/>
            <w:shd w:val="clear" w:color="auto" w:fill="CCEEFF"/>
          </w:tcPr>
          <w:p>
            <w:pPr>
              <w:spacing w:after="0" w:line="170"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Certification of Chief Financial Officer of Periodic Report Pursuant to Rule 13a-15(e) or Rule 15d-15(e).</w:t>
              </w:r>
            </w:hyperlink>
          </w:p>
        </w:tc>
        <w:tc>
          <w:tcPr>
            <w:tcW w:w="80" w:type="dxa"/>
            <w:vAlign w:val="bottom"/>
            <w:tcBorders>
              <w:bottom w:val="single" w:sz="8" w:color="0000EE"/>
            </w:tcBorders>
            <w:gridSpan w:val="2"/>
            <w:shd w:val="clear" w:color="auto" w:fill="CCEEFF"/>
          </w:tcPr>
          <w:p>
            <w:pPr>
              <w:spacing w:after="0" w:line="156" w:lineRule="exact"/>
              <w:rPr>
                <w:rFonts w:ascii="Arial" w:cs="Arial" w:eastAsia="Arial" w:hAnsi="Arial"/>
                <w:sz w:val="15"/>
                <w:szCs w:val="15"/>
                <w:color w:val="0000EE"/>
                <w:w w:val="71"/>
              </w:rPr>
            </w:pPr>
            <w:hyperlink w:anchor="page28">
              <w:r>
                <w:rPr>
                  <w:rFonts w:ascii="Arial" w:cs="Arial" w:eastAsia="Arial" w:hAnsi="Arial"/>
                  <w:sz w:val="15"/>
                  <w:szCs w:val="15"/>
                  <w:color w:val="0000EE"/>
                  <w:w w:val="71"/>
                </w:rPr>
                <w:t>†</w:t>
              </w:r>
            </w:hyperlink>
          </w:p>
        </w:tc>
        <w:tc>
          <w:tcPr>
            <w:tcW w:w="2320" w:type="dxa"/>
            <w:vAlign w:val="bottom"/>
            <w:tcBorders>
              <w:bottom w:val="single" w:sz="8" w:color="CCEEFF"/>
            </w:tcBorders>
            <w:gridSpan w:val="2"/>
            <w:shd w:val="clear" w:color="auto" w:fill="CCEEFF"/>
          </w:tcPr>
          <w:p>
            <w:pPr>
              <w:spacing w:after="0"/>
              <w:rPr>
                <w:sz w:val="21"/>
                <w:szCs w:val="21"/>
                <w:color w:val="auto"/>
              </w:rPr>
            </w:pPr>
          </w:p>
        </w:tc>
      </w:tr>
      <w:tr>
        <w:trPr>
          <w:trHeight w:val="203"/>
        </w:trPr>
        <w:tc>
          <w:tcPr>
            <w:tcW w:w="1460" w:type="dxa"/>
            <w:vAlign w:val="bottom"/>
            <w:tcBorders>
              <w:top w:val="single" w:sz="8" w:color="CCEEFF"/>
            </w:tcBorders>
          </w:tcPr>
          <w:p>
            <w:pPr>
              <w:jc w:val="center"/>
              <w:spacing w:after="0" w:line="170" w:lineRule="exact"/>
              <w:rPr>
                <w:sz w:val="20"/>
                <w:szCs w:val="20"/>
                <w:color w:val="auto"/>
              </w:rPr>
            </w:pPr>
            <w:r>
              <w:rPr>
                <w:rFonts w:ascii="Arial" w:cs="Arial" w:eastAsia="Arial" w:hAnsi="Arial"/>
                <w:sz w:val="18"/>
                <w:szCs w:val="18"/>
                <w:color w:val="auto"/>
                <w:w w:val="90"/>
              </w:rPr>
              <w:t>32(a)</w:t>
            </w:r>
          </w:p>
        </w:tc>
        <w:tc>
          <w:tcPr>
            <w:tcW w:w="6920" w:type="dxa"/>
            <w:vAlign w:val="bottom"/>
            <w:tcBorders>
              <w:top w:val="single" w:sz="8" w:color="0000EE"/>
              <w:bottom w:val="single" w:sz="8" w:color="0000EE"/>
            </w:tcBorders>
            <w:gridSpan w:val="2"/>
          </w:tcPr>
          <w:p>
            <w:pPr>
              <w:spacing w:after="0" w:line="170"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Certification by Chief Executive Officer of Periodic Report Pursuant to 18 U.S.C. Section 1350.</w:t>
              </w:r>
            </w:hyperlink>
          </w:p>
        </w:tc>
        <w:tc>
          <w:tcPr>
            <w:tcW w:w="80" w:type="dxa"/>
            <w:vAlign w:val="bottom"/>
            <w:tcBorders>
              <w:top w:val="single" w:sz="8" w:color="0000EE"/>
              <w:bottom w:val="single" w:sz="8" w:color="0000EE"/>
            </w:tcBorders>
            <w:gridSpan w:val="2"/>
          </w:tcPr>
          <w:p>
            <w:pPr>
              <w:spacing w:after="0" w:line="156" w:lineRule="exact"/>
              <w:rPr>
                <w:rFonts w:ascii="Arial" w:cs="Arial" w:eastAsia="Arial" w:hAnsi="Arial"/>
                <w:sz w:val="15"/>
                <w:szCs w:val="15"/>
                <w:color w:val="0000EE"/>
                <w:w w:val="71"/>
              </w:rPr>
            </w:pPr>
            <w:hyperlink w:anchor="page29">
              <w:r>
                <w:rPr>
                  <w:rFonts w:ascii="Arial" w:cs="Arial" w:eastAsia="Arial" w:hAnsi="Arial"/>
                  <w:sz w:val="15"/>
                  <w:szCs w:val="15"/>
                  <w:color w:val="0000EE"/>
                  <w:w w:val="71"/>
                </w:rPr>
                <w:t>†</w:t>
              </w:r>
            </w:hyperlink>
          </w:p>
        </w:tc>
        <w:tc>
          <w:tcPr>
            <w:tcW w:w="560" w:type="dxa"/>
            <w:vAlign w:val="bottom"/>
            <w:tcBorders>
              <w:top w:val="single" w:sz="8" w:color="0000EE"/>
            </w:tcBorders>
          </w:tcPr>
          <w:p>
            <w:pPr>
              <w:spacing w:after="0"/>
              <w:rPr>
                <w:sz w:val="17"/>
                <w:szCs w:val="17"/>
                <w:color w:val="auto"/>
              </w:rPr>
            </w:pPr>
          </w:p>
        </w:tc>
        <w:tc>
          <w:tcPr>
            <w:tcW w:w="2400" w:type="dxa"/>
            <w:vAlign w:val="bottom"/>
            <w:tcBorders>
              <w:top w:val="single" w:sz="8" w:color="CCEEFF"/>
            </w:tcBorders>
            <w:gridSpan w:val="4"/>
          </w:tcPr>
          <w:p>
            <w:pPr>
              <w:spacing w:after="0"/>
              <w:rPr>
                <w:sz w:val="17"/>
                <w:szCs w:val="17"/>
                <w:color w:val="auto"/>
              </w:rPr>
            </w:pPr>
          </w:p>
        </w:tc>
      </w:tr>
      <w:tr>
        <w:trPr>
          <w:trHeight w:val="48"/>
        </w:trPr>
        <w:tc>
          <w:tcPr>
            <w:tcW w:w="1460" w:type="dxa"/>
            <w:vAlign w:val="bottom"/>
          </w:tcPr>
          <w:p>
            <w:pPr>
              <w:spacing w:after="0"/>
              <w:rPr>
                <w:sz w:val="4"/>
                <w:szCs w:val="4"/>
                <w:color w:val="auto"/>
              </w:rPr>
            </w:pPr>
          </w:p>
        </w:tc>
        <w:tc>
          <w:tcPr>
            <w:tcW w:w="68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80" w:type="dxa"/>
            <w:vAlign w:val="bottom"/>
          </w:tcPr>
          <w:p>
            <w:pPr>
              <w:spacing w:after="0"/>
              <w:rPr>
                <w:sz w:val="4"/>
                <w:szCs w:val="4"/>
                <w:color w:val="auto"/>
              </w:rPr>
            </w:pPr>
          </w:p>
        </w:tc>
      </w:tr>
      <w:tr>
        <w:trPr>
          <w:trHeight w:val="255"/>
        </w:trPr>
        <w:tc>
          <w:tcPr>
            <w:tcW w:w="1460" w:type="dxa"/>
            <w:vAlign w:val="bottom"/>
            <w:tcBorders>
              <w:bottom w:val="single" w:sz="8" w:color="CCEEFF"/>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5"/>
              </w:rPr>
              <w:t>32(b)</w:t>
            </w:r>
          </w:p>
        </w:tc>
        <w:tc>
          <w:tcPr>
            <w:tcW w:w="6880" w:type="dxa"/>
            <w:vAlign w:val="bottom"/>
            <w:tcBorders>
              <w:bottom w:val="single" w:sz="8" w:color="CCEEFF"/>
            </w:tcBorders>
            <w:shd w:val="clear" w:color="auto" w:fill="CCEEFF"/>
          </w:tcPr>
          <w:p>
            <w:pPr>
              <w:spacing w:after="0" w:line="170"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Certification by Chief Financial Officer of Periodic Report Pursuant to 18 U.S.C. Section 1350.</w:t>
              </w:r>
            </w:hyperlink>
          </w:p>
        </w:tc>
        <w:tc>
          <w:tcPr>
            <w:tcW w:w="100" w:type="dxa"/>
            <w:vAlign w:val="bottom"/>
            <w:tcBorders>
              <w:bottom w:val="single" w:sz="8" w:color="0000EE"/>
            </w:tcBorders>
            <w:gridSpan w:val="2"/>
            <w:shd w:val="clear" w:color="auto" w:fill="CCEEFF"/>
          </w:tcPr>
          <w:p>
            <w:pPr>
              <w:ind w:left="40"/>
              <w:spacing w:after="0"/>
              <w:rPr>
                <w:rFonts w:ascii="Arial" w:cs="Arial" w:eastAsia="Arial" w:hAnsi="Arial"/>
                <w:sz w:val="10"/>
                <w:szCs w:val="10"/>
                <w:color w:val="0000EE"/>
                <w:w w:val="71"/>
              </w:rPr>
            </w:pPr>
            <w:hyperlink w:anchor="page30">
              <w:r>
                <w:rPr>
                  <w:rFonts w:ascii="Arial" w:cs="Arial" w:eastAsia="Arial" w:hAnsi="Arial"/>
                  <w:sz w:val="10"/>
                  <w:szCs w:val="10"/>
                  <w:color w:val="0000EE"/>
                  <w:w w:val="71"/>
                </w:rPr>
                <w:t>†</w:t>
              </w:r>
            </w:hyperlink>
          </w:p>
        </w:tc>
        <w:tc>
          <w:tcPr>
            <w:tcW w:w="2980" w:type="dxa"/>
            <w:vAlign w:val="bottom"/>
            <w:tcBorders>
              <w:bottom w:val="single" w:sz="8" w:color="CCEEFF"/>
            </w:tcBorders>
            <w:gridSpan w:val="6"/>
            <w:shd w:val="clear" w:color="auto" w:fill="CCEEFF"/>
          </w:tcPr>
          <w:p>
            <w:pPr>
              <w:spacing w:after="0"/>
              <w:rPr>
                <w:sz w:val="21"/>
                <w:szCs w:val="21"/>
                <w:color w:val="auto"/>
              </w:rPr>
            </w:pPr>
          </w:p>
        </w:tc>
      </w:tr>
      <w:tr>
        <w:trPr>
          <w:trHeight w:val="243"/>
        </w:trPr>
        <w:tc>
          <w:tcPr>
            <w:tcW w:w="146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9"/>
              </w:rPr>
              <w:t>101.ins</w:t>
            </w:r>
          </w:p>
        </w:tc>
        <w:tc>
          <w:tcPr>
            <w:tcW w:w="68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r>
              <w:rPr>
                <w:rFonts w:ascii="Arial" w:cs="Arial" w:eastAsia="Arial" w:hAnsi="Arial"/>
                <w:sz w:val="15"/>
                <w:szCs w:val="15"/>
                <w:color w:val="auto"/>
              </w:rPr>
              <w:t>†</w:t>
            </w:r>
          </w:p>
        </w:tc>
        <w:tc>
          <w:tcPr>
            <w:tcW w:w="3080" w:type="dxa"/>
            <w:vAlign w:val="bottom"/>
            <w:tcBorders>
              <w:top w:val="single" w:sz="8" w:color="CCEEFF"/>
            </w:tcBorders>
            <w:gridSpan w:val="8"/>
          </w:tcPr>
          <w:p>
            <w:pPr>
              <w:spacing w:after="0"/>
              <w:rPr>
                <w:sz w:val="21"/>
                <w:szCs w:val="21"/>
                <w:color w:val="auto"/>
              </w:rPr>
            </w:pPr>
          </w:p>
        </w:tc>
      </w:tr>
      <w:tr>
        <w:trPr>
          <w:trHeight w:val="27"/>
        </w:trPr>
        <w:tc>
          <w:tcPr>
            <w:tcW w:w="1460" w:type="dxa"/>
            <w:vAlign w:val="bottom"/>
          </w:tcPr>
          <w:p>
            <w:pPr>
              <w:spacing w:after="0"/>
              <w:rPr>
                <w:sz w:val="2"/>
                <w:szCs w:val="2"/>
                <w:color w:val="auto"/>
              </w:rPr>
            </w:pPr>
          </w:p>
        </w:tc>
        <w:tc>
          <w:tcPr>
            <w:tcW w:w="6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101.def</w:t>
            </w:r>
          </w:p>
        </w:tc>
        <w:tc>
          <w:tcPr>
            <w:tcW w:w="996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r>
              <w:rPr>
                <w:rFonts w:ascii="Arial" w:cs="Arial" w:eastAsia="Arial" w:hAnsi="Arial"/>
                <w:sz w:val="15"/>
                <w:szCs w:val="15"/>
                <w:color w:val="auto"/>
              </w:rPr>
              <w:t>†</w:t>
            </w:r>
          </w:p>
        </w:tc>
      </w:tr>
      <w:tr>
        <w:trPr>
          <w:trHeight w:val="243"/>
        </w:trPr>
        <w:tc>
          <w:tcPr>
            <w:tcW w:w="1460" w:type="dxa"/>
            <w:vAlign w:val="bottom"/>
          </w:tcPr>
          <w:p>
            <w:pPr>
              <w:jc w:val="center"/>
              <w:spacing w:after="0"/>
              <w:rPr>
                <w:sz w:val="20"/>
                <w:szCs w:val="20"/>
                <w:color w:val="auto"/>
              </w:rPr>
            </w:pPr>
            <w:r>
              <w:rPr>
                <w:rFonts w:ascii="Arial" w:cs="Arial" w:eastAsia="Arial" w:hAnsi="Arial"/>
                <w:sz w:val="18"/>
                <w:szCs w:val="18"/>
                <w:color w:val="auto"/>
                <w:w w:val="88"/>
              </w:rPr>
              <w:t>101.sch</w:t>
            </w:r>
          </w:p>
        </w:tc>
        <w:tc>
          <w:tcPr>
            <w:tcW w:w="996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r>
              <w:rPr>
                <w:rFonts w:ascii="Arial" w:cs="Arial" w:eastAsia="Arial" w:hAnsi="Arial"/>
                <w:sz w:val="15"/>
                <w:szCs w:val="15"/>
                <w:color w:val="auto"/>
              </w:rPr>
              <w:t>†</w:t>
            </w:r>
          </w:p>
        </w:tc>
      </w:tr>
      <w:tr>
        <w:trPr>
          <w:trHeight w:val="27"/>
        </w:trPr>
        <w:tc>
          <w:tcPr>
            <w:tcW w:w="1460" w:type="dxa"/>
            <w:vAlign w:val="bottom"/>
          </w:tcPr>
          <w:p>
            <w:pPr>
              <w:spacing w:after="0"/>
              <w:rPr>
                <w:sz w:val="2"/>
                <w:szCs w:val="2"/>
                <w:color w:val="auto"/>
              </w:rPr>
            </w:pPr>
          </w:p>
        </w:tc>
        <w:tc>
          <w:tcPr>
            <w:tcW w:w="6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101.cal</w:t>
            </w:r>
          </w:p>
        </w:tc>
        <w:tc>
          <w:tcPr>
            <w:tcW w:w="996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r>
              <w:rPr>
                <w:rFonts w:ascii="Arial" w:cs="Arial" w:eastAsia="Arial" w:hAnsi="Arial"/>
                <w:sz w:val="15"/>
                <w:szCs w:val="15"/>
                <w:color w:val="auto"/>
              </w:rPr>
              <w:t>†</w:t>
            </w:r>
          </w:p>
        </w:tc>
      </w:tr>
      <w:tr>
        <w:trPr>
          <w:trHeight w:val="243"/>
        </w:trPr>
        <w:tc>
          <w:tcPr>
            <w:tcW w:w="1460" w:type="dxa"/>
            <w:vAlign w:val="bottom"/>
          </w:tcPr>
          <w:p>
            <w:pPr>
              <w:jc w:val="center"/>
              <w:spacing w:after="0"/>
              <w:rPr>
                <w:sz w:val="20"/>
                <w:szCs w:val="20"/>
                <w:color w:val="auto"/>
              </w:rPr>
            </w:pPr>
            <w:r>
              <w:rPr>
                <w:rFonts w:ascii="Arial" w:cs="Arial" w:eastAsia="Arial" w:hAnsi="Arial"/>
                <w:sz w:val="18"/>
                <w:szCs w:val="18"/>
                <w:color w:val="auto"/>
                <w:w w:val="91"/>
              </w:rPr>
              <w:t>101.lab</w:t>
            </w:r>
          </w:p>
        </w:tc>
        <w:tc>
          <w:tcPr>
            <w:tcW w:w="996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r>
              <w:rPr>
                <w:rFonts w:ascii="Arial" w:cs="Arial" w:eastAsia="Arial" w:hAnsi="Arial"/>
                <w:sz w:val="15"/>
                <w:szCs w:val="15"/>
                <w:color w:val="auto"/>
              </w:rPr>
              <w:t>†</w:t>
            </w:r>
          </w:p>
        </w:tc>
      </w:tr>
      <w:tr>
        <w:trPr>
          <w:trHeight w:val="27"/>
        </w:trPr>
        <w:tc>
          <w:tcPr>
            <w:tcW w:w="1460" w:type="dxa"/>
            <w:vAlign w:val="bottom"/>
          </w:tcPr>
          <w:p>
            <w:pPr>
              <w:spacing w:after="0"/>
              <w:rPr>
                <w:sz w:val="2"/>
                <w:szCs w:val="2"/>
                <w:color w:val="auto"/>
              </w:rPr>
            </w:pPr>
          </w:p>
        </w:tc>
        <w:tc>
          <w:tcPr>
            <w:tcW w:w="6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43"/>
        </w:trPr>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101.pre</w:t>
            </w:r>
          </w:p>
        </w:tc>
        <w:tc>
          <w:tcPr>
            <w:tcW w:w="996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r>
              <w:rPr>
                <w:rFonts w:ascii="Arial" w:cs="Arial" w:eastAsia="Arial" w:hAnsi="Arial"/>
                <w:sz w:val="15"/>
                <w:szCs w:val="15"/>
                <w:color w:val="auto"/>
              </w:rPr>
              <w:t>†</w:t>
            </w:r>
          </w:p>
        </w:tc>
      </w:tr>
      <w:tr>
        <w:trPr>
          <w:trHeight w:val="27"/>
        </w:trPr>
        <w:tc>
          <w:tcPr>
            <w:tcW w:w="1460" w:type="dxa"/>
            <w:vAlign w:val="bottom"/>
            <w:shd w:val="clear" w:color="auto" w:fill="CCEEFF"/>
          </w:tcPr>
          <w:p>
            <w:pPr>
              <w:spacing w:after="0"/>
              <w:rPr>
                <w:sz w:val="2"/>
                <w:szCs w:val="2"/>
                <w:color w:val="auto"/>
              </w:rPr>
            </w:pPr>
          </w:p>
        </w:tc>
        <w:tc>
          <w:tcPr>
            <w:tcW w:w="68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15"/>
          <w:szCs w:val="15"/>
          <w:color w:val="auto"/>
        </w:rPr>
      </w:pPr>
      <w:r>
        <w:rPr>
          <w:rFonts w:ascii="Arial" w:cs="Arial" w:eastAsia="Arial" w:hAnsi="Arial"/>
          <w:sz w:val="18"/>
          <w:szCs w:val="18"/>
          <w:color w:val="auto"/>
        </w:rPr>
        <w:t>Filed or furnished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16"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4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62"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TI’s end markets;</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1040" w:right="20" w:hanging="519"/>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TI inventory that results from demand that differs from projections;</w:t>
      </w: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1040" w:right="180" w:hanging="519"/>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1" w:lineRule="exact"/>
        <w:rPr>
          <w:rFonts w:ascii="Arial" w:cs="Arial" w:eastAsia="Arial" w:hAnsi="Arial"/>
          <w:sz w:val="18"/>
          <w:szCs w:val="18"/>
          <w:color w:val="auto"/>
        </w:rPr>
      </w:pPr>
    </w:p>
    <w:p>
      <w:pPr>
        <w:ind w:left="1040" w:right="540" w:hanging="519"/>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Natural events such as severe weather, geological events or health epidemics in the locations in which TI, our customers or our suppliers operate;</w:t>
      </w: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Breaches or disruptions of TI’s information technology systems or those of our customers or suppliers;</w:t>
      </w:r>
    </w:p>
    <w:p>
      <w:pPr>
        <w:spacing w:after="0" w:line="9" w:lineRule="exact"/>
        <w:rPr>
          <w:rFonts w:ascii="Arial" w:cs="Arial" w:eastAsia="Arial" w:hAnsi="Arial"/>
          <w:sz w:val="18"/>
          <w:szCs w:val="18"/>
          <w:color w:val="auto"/>
        </w:rPr>
      </w:pPr>
    </w:p>
    <w:p>
      <w:pPr>
        <w:ind w:left="1040" w:right="160" w:hanging="519"/>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or the ability to obtain needed third-party foundry and assembly/test subcontract services;</w:t>
      </w:r>
    </w:p>
    <w:p>
      <w:pPr>
        <w:ind w:left="1040" w:hanging="519"/>
        <w:spacing w:after="0"/>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32" w:lineRule="exact"/>
        <w:rPr>
          <w:rFonts w:ascii="Arial" w:cs="Arial" w:eastAsia="Arial" w:hAnsi="Arial"/>
          <w:sz w:val="16"/>
          <w:szCs w:val="16"/>
          <w:color w:val="auto"/>
        </w:rPr>
      </w:pPr>
    </w:p>
    <w:p>
      <w:pPr>
        <w:ind w:left="1040" w:right="160" w:hanging="519"/>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TI is or may become subject, or actions of enforcement authorities, that restrict TI’s ability to manufacture or ship our products or operate our business, or subject TI to fines, penalties, or other legal liability;</w:t>
      </w:r>
    </w:p>
    <w:p>
      <w:pPr>
        <w:spacing w:after="0" w:line="1" w:lineRule="exact"/>
        <w:rPr>
          <w:rFonts w:ascii="Arial" w:cs="Arial" w:eastAsia="Arial" w:hAnsi="Arial"/>
          <w:sz w:val="18"/>
          <w:szCs w:val="18"/>
          <w:color w:val="auto"/>
        </w:rPr>
      </w:pPr>
    </w:p>
    <w:p>
      <w:pPr>
        <w:ind w:left="1040" w:right="500" w:hanging="519"/>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TI products, manufacturing, services, design or communications, or recalls by TI customers for a product containing a TI part;</w:t>
      </w:r>
    </w:p>
    <w:p>
      <w:pPr>
        <w:ind w:left="1040" w:right="280" w:hanging="519"/>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adverse resolution of tax audits, increases in tariff rates, and the ability to realize deferred tax assets;</w:t>
      </w: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loss suffered by a customer or distributor of TI with respect to TI-consigned inventory;</w:t>
      </w:r>
    </w:p>
    <w:p>
      <w:pPr>
        <w:spacing w:after="0" w:line="9" w:lineRule="exact"/>
        <w:rPr>
          <w:rFonts w:ascii="Arial" w:cs="Arial" w:eastAsia="Arial" w:hAnsi="Arial"/>
          <w:sz w:val="18"/>
          <w:szCs w:val="18"/>
          <w:color w:val="auto"/>
        </w:rPr>
      </w:pPr>
    </w:p>
    <w:p>
      <w:pPr>
        <w:ind w:left="1040" w:right="480" w:hanging="519"/>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difficulties of distributors or their promotion of competing product lines to TI’s detriment, or the loss of a significant number of distributors;</w:t>
      </w:r>
    </w:p>
    <w:p>
      <w:pPr>
        <w:ind w:left="1040" w:hanging="519"/>
        <w:spacing w:after="0"/>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or the timing and amount of distributor and other customer inventory adjustments;</w:t>
      </w:r>
    </w:p>
    <w:p>
      <w:pPr>
        <w:spacing w:after="0" w:line="32" w:lineRule="exact"/>
        <w:rPr>
          <w:rFonts w:ascii="Arial" w:cs="Arial" w:eastAsia="Arial" w:hAnsi="Arial"/>
          <w:sz w:val="16"/>
          <w:szCs w:val="16"/>
          <w:color w:val="auto"/>
        </w:rPr>
      </w:pPr>
    </w:p>
    <w:p>
      <w:pPr>
        <w:ind w:left="1040" w:right="240" w:hanging="519"/>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our ability to utilize our manufacturing facilities at sufficient levels to cover our fixed operating costs, in an intensely competitive and cyclical industry;</w:t>
      </w:r>
    </w:p>
    <w:p>
      <w:pPr>
        <w:ind w:left="1040" w:right="40" w:hanging="519"/>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maintain freedom of operation; or TI’s exposure to infringement claims;</w:t>
      </w:r>
    </w:p>
    <w:p>
      <w:pPr>
        <w:ind w:left="1040" w:right="160" w:hanging="519"/>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TI’s ability to fund our daily operations, invest in the business, make strategic acquisitions, or make principal and interest payments on our debt;</w:t>
      </w: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TI’s ability to recruit and retain skilled engineering, management and technical personnel;</w:t>
      </w:r>
    </w:p>
    <w:p>
      <w:pPr>
        <w:spacing w:after="0" w:line="9" w:lineRule="exact"/>
        <w:rPr>
          <w:rFonts w:ascii="Arial" w:cs="Arial" w:eastAsia="Arial" w:hAnsi="Arial"/>
          <w:sz w:val="18"/>
          <w:szCs w:val="18"/>
          <w:color w:val="auto"/>
        </w:rPr>
      </w:pPr>
    </w:p>
    <w:p>
      <w:pPr>
        <w:ind w:left="1040" w:right="140" w:hanging="519"/>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or our ability to realize our expectations regarding the amount and timing of restructuring charges and associated cost savings; and</w:t>
      </w: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Impairments of TI’s non-financial assets.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TEXAS INSTRUMENTS INCORPORATED</w:t>
      </w:r>
    </w:p>
    <w:p>
      <w:pPr>
        <w:spacing w:after="0" w:line="252" w:lineRule="exact"/>
        <w:rPr>
          <w:sz w:val="20"/>
          <w:szCs w:val="20"/>
          <w:color w:val="auto"/>
        </w:rPr>
      </w:pPr>
    </w:p>
    <w:tbl>
      <w:tblPr>
        <w:tblLayout w:type="fixed"/>
        <w:tblInd w:w="744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Rafael R. Lizardi</w:t>
            </w:r>
          </w:p>
        </w:tc>
      </w:tr>
      <w:tr>
        <w:trPr>
          <w:trHeight w:val="195"/>
        </w:trPr>
        <w:tc>
          <w:tcPr>
            <w:tcW w:w="740" w:type="dxa"/>
            <w:vAlign w:val="bottom"/>
          </w:tcPr>
          <w:p>
            <w:pPr>
              <w:spacing w:after="0"/>
              <w:rPr>
                <w:sz w:val="16"/>
                <w:szCs w:val="16"/>
                <w:color w:val="auto"/>
              </w:rPr>
            </w:pPr>
          </w:p>
        </w:tc>
        <w:tc>
          <w:tcPr>
            <w:tcW w:w="3240" w:type="dxa"/>
            <w:vAlign w:val="bottom"/>
          </w:tcPr>
          <w:p>
            <w:pPr>
              <w:ind w:left="40"/>
              <w:spacing w:after="0" w:line="195" w:lineRule="exact"/>
              <w:rPr>
                <w:sz w:val="20"/>
                <w:szCs w:val="20"/>
                <w:color w:val="auto"/>
              </w:rPr>
            </w:pPr>
            <w:r>
              <w:rPr>
                <w:rFonts w:ascii="Arial" w:cs="Arial" w:eastAsia="Arial" w:hAnsi="Arial"/>
                <w:sz w:val="18"/>
                <w:szCs w:val="18"/>
                <w:color w:val="auto"/>
              </w:rPr>
              <w:t>Rafael R. Lizardi</w:t>
            </w:r>
          </w:p>
        </w:tc>
      </w:tr>
      <w:tr>
        <w:trPr>
          <w:trHeight w:val="216"/>
        </w:trPr>
        <w:tc>
          <w:tcPr>
            <w:tcW w:w="740" w:type="dxa"/>
            <w:vAlign w:val="bottom"/>
          </w:tcPr>
          <w:p>
            <w:pPr>
              <w:spacing w:after="0"/>
              <w:rPr>
                <w:sz w:val="18"/>
                <w:szCs w:val="18"/>
                <w:color w:val="auto"/>
              </w:rPr>
            </w:pPr>
          </w:p>
        </w:tc>
        <w:tc>
          <w:tcPr>
            <w:tcW w:w="3240" w:type="dxa"/>
            <w:vAlign w:val="bottom"/>
          </w:tcPr>
          <w:p>
            <w:pPr>
              <w:ind w:left="40"/>
              <w:spacing w:after="0"/>
              <w:rPr>
                <w:sz w:val="20"/>
                <w:szCs w:val="20"/>
                <w:color w:val="auto"/>
              </w:rPr>
            </w:pPr>
            <w:r>
              <w:rPr>
                <w:rFonts w:ascii="Arial" w:cs="Arial" w:eastAsia="Arial" w:hAnsi="Arial"/>
                <w:sz w:val="18"/>
                <w:szCs w:val="18"/>
                <w:color w:val="auto"/>
              </w:rPr>
              <w:t>Senior Vice President and</w:t>
            </w:r>
          </w:p>
        </w:tc>
      </w:tr>
      <w:tr>
        <w:trPr>
          <w:trHeight w:val="230"/>
        </w:trPr>
        <w:tc>
          <w:tcPr>
            <w:tcW w:w="740" w:type="dxa"/>
            <w:vAlign w:val="bottom"/>
          </w:tcPr>
          <w:p>
            <w:pPr>
              <w:spacing w:after="0"/>
              <w:rPr>
                <w:sz w:val="20"/>
                <w:szCs w:val="20"/>
                <w:color w:val="auto"/>
              </w:rPr>
            </w:pPr>
          </w:p>
        </w:tc>
        <w:tc>
          <w:tcPr>
            <w:tcW w:w="324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4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u w:val="single" w:color="auto"/>
          <w:color w:val="auto"/>
        </w:rPr>
        <w:t>Exhibit 31(a)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25"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225" w:lineRule="exact"/>
        <w:rPr>
          <w:rFonts w:ascii="Arial" w:cs="Arial" w:eastAsia="Arial" w:hAnsi="Arial"/>
          <w:sz w:val="18"/>
          <w:szCs w:val="18"/>
          <w:color w:val="auto"/>
        </w:rPr>
      </w:pPr>
    </w:p>
    <w:p>
      <w:pPr>
        <w:jc w:val="both"/>
        <w:ind w:left="540" w:right="400" w:hanging="532"/>
        <w:spacing w:after="0" w:line="264"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40" w:right="360" w:hanging="532"/>
        <w:spacing w:after="0" w:line="308"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40" w:right="400" w:hanging="532"/>
        <w:spacing w:after="0" w:line="264"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120" w:hanging="532"/>
        <w:spacing w:after="0" w:line="264"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440" w:hanging="532"/>
        <w:spacing w:after="0" w:line="264"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80" w:right="600" w:hanging="532"/>
        <w:spacing w:after="0" w:line="342" w:lineRule="auto"/>
        <w:tabs>
          <w:tab w:leader="none" w:pos="10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80" w:right="120" w:hanging="532"/>
        <w:spacing w:after="0" w:line="264"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40" w:right="120" w:hanging="532"/>
        <w:spacing w:after="0" w:line="308"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80" w:right="20" w:hanging="532"/>
        <w:spacing w:after="0" w:line="277"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pacing w:after="0" w:line="293"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/s/ Richard K. Templeton</w:t>
      </w:r>
    </w:p>
    <w:p>
      <w:pPr>
        <w:spacing w:after="0" w:line="50"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7"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u w:val="single" w:color="auto"/>
          <w:color w:val="auto"/>
        </w:rPr>
        <w:t>Exhibit 31(b)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Rafael R. Lizardi, certify that:</w:t>
      </w:r>
    </w:p>
    <w:p>
      <w:pPr>
        <w:spacing w:after="0" w:line="225"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225" w:lineRule="exact"/>
        <w:rPr>
          <w:rFonts w:ascii="Arial" w:cs="Arial" w:eastAsia="Arial" w:hAnsi="Arial"/>
          <w:sz w:val="18"/>
          <w:szCs w:val="18"/>
          <w:color w:val="auto"/>
        </w:rPr>
      </w:pPr>
    </w:p>
    <w:p>
      <w:pPr>
        <w:jc w:val="both"/>
        <w:ind w:left="540" w:right="400" w:hanging="532"/>
        <w:spacing w:after="0" w:line="264"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40" w:right="360" w:hanging="532"/>
        <w:spacing w:after="0" w:line="308"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40" w:right="400" w:hanging="532"/>
        <w:spacing w:after="0" w:line="264"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120" w:hanging="532"/>
        <w:spacing w:after="0" w:line="264"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440" w:hanging="532"/>
        <w:spacing w:after="0" w:line="264"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80" w:right="600" w:hanging="532"/>
        <w:spacing w:after="0" w:line="342" w:lineRule="auto"/>
        <w:tabs>
          <w:tab w:leader="none" w:pos="10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80" w:right="140" w:hanging="532"/>
        <w:spacing w:after="0" w:line="264"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40" w:right="100" w:hanging="532"/>
        <w:spacing w:after="0" w:line="308"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80" w:right="20" w:hanging="532"/>
        <w:spacing w:after="0" w:line="277"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pacing w:after="0" w:line="29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/s/ Rafael R. Lizardi</w:t>
      </w:r>
    </w:p>
    <w:p>
      <w:pPr>
        <w:spacing w:after="0" w:line="23"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u w:val="single" w:color="auto"/>
          <w:color w:val="auto"/>
        </w:rPr>
        <w:t>Exhibit 32(a)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126" w:lineRule="exact"/>
        <w:rPr>
          <w:sz w:val="20"/>
          <w:szCs w:val="20"/>
          <w:color w:val="auto"/>
        </w:rPr>
      </w:pPr>
    </w:p>
    <w:p>
      <w:pPr>
        <w:ind w:left="560" w:right="80" w:hanging="5"/>
        <w:spacing w:after="0" w:line="264" w:lineRule="auto"/>
        <w:tabs>
          <w:tab w:leader="none" w:pos="7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2017, as filed with the Securities and Exchange Commission on the date hereof (the “Report”) fully complies with the requirements of Section 13(a) or 15(d) of the Securities Exchange Act of 1934; and</w:t>
      </w:r>
    </w:p>
    <w:p>
      <w:pPr>
        <w:spacing w:after="0" w:line="73" w:lineRule="exact"/>
        <w:rPr>
          <w:rFonts w:ascii="Arial" w:cs="Arial" w:eastAsia="Arial" w:hAnsi="Arial"/>
          <w:sz w:val="18"/>
          <w:szCs w:val="18"/>
          <w:color w:val="auto"/>
        </w:rPr>
      </w:pPr>
    </w:p>
    <w:p>
      <w:pPr>
        <w:ind w:left="820" w:hanging="265"/>
        <w:spacing w:after="0"/>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 2017</w:t>
      </w:r>
    </w:p>
    <w:p>
      <w:pPr>
        <w:spacing w:after="0" w:line="293"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 Richard K. Templeton</w:t>
      </w:r>
    </w:p>
    <w:p>
      <w:pPr>
        <w:spacing w:after="0" w:line="23"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-130810</wp:posOffset>
            </wp:positionV>
            <wp:extent cx="27959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7"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t>Exhibit 32(b)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right="220" w:firstLine="547"/>
        <w:spacing w:after="0" w:line="308" w:lineRule="auto"/>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Rafael R. Lizardi, Senior Vice President and Chief Financial Officer of Texas Instruments Incorporated (the “Company”), hereby certifies that, to his knowledge:</w:t>
      </w:r>
    </w:p>
    <w:p>
      <w:pPr>
        <w:spacing w:after="0" w:line="38" w:lineRule="exact"/>
        <w:rPr>
          <w:sz w:val="20"/>
          <w:szCs w:val="20"/>
          <w:color w:val="auto"/>
        </w:rPr>
      </w:pPr>
    </w:p>
    <w:p>
      <w:pPr>
        <w:ind w:left="560" w:right="80" w:hanging="5"/>
        <w:spacing w:after="0" w:line="264" w:lineRule="auto"/>
        <w:tabs>
          <w:tab w:leader="none" w:pos="7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2017, as filed with the Securities and Exchange Commission on the date hereof (the “Report”) fully complies with the requirements of Section 13(a) or 15(d) of the Securities Exchange Act of 1934; and</w:t>
      </w:r>
    </w:p>
    <w:p>
      <w:pPr>
        <w:spacing w:after="0" w:line="73" w:lineRule="exact"/>
        <w:rPr>
          <w:rFonts w:ascii="Arial" w:cs="Arial" w:eastAsia="Arial" w:hAnsi="Arial"/>
          <w:sz w:val="18"/>
          <w:szCs w:val="18"/>
          <w:color w:val="auto"/>
        </w:rPr>
      </w:pPr>
    </w:p>
    <w:p>
      <w:pPr>
        <w:ind w:left="820" w:hanging="265"/>
        <w:spacing w:after="0"/>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 2017</w:t>
      </w:r>
    </w:p>
    <w:p>
      <w:pPr>
        <w:spacing w:after="0" w:line="29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/s/ Rafael R. Lizardi</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-130810</wp:posOffset>
            </wp:positionV>
            <wp:extent cx="27959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decimal"/>
      <w:start w:val="3"/>
    </w:lvl>
  </w:abstractNum>
  <w:abstractNum w:abstractNumId="6">
    <w:nsid w:val="6B68079A"/>
    <w:multiLevelType w:val="hybridMultilevel"/>
    <w:lvl w:ilvl="0">
      <w:lvlJc w:val="left"/>
      <w:lvlText w:val="(%1)"/>
      <w:numFmt w:val="lowerLetter"/>
      <w:start w:val="1"/>
    </w:lvl>
  </w:abstractNum>
  <w:abstractNum w:abstractNumId="7">
    <w:nsid w:val="4E6AFB66"/>
    <w:multiLevelType w:val="hybridMultilevel"/>
    <w:lvl w:ilvl="0">
      <w:lvlJc w:val="left"/>
      <w:lvlText w:val="%1."/>
      <w:numFmt w:val="decimal"/>
      <w:start w:val="4"/>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6"/>
    </w:lvl>
  </w:abstractNum>
  <w:abstractNum w:abstractNumId="10">
    <w:nsid w:val="431BD7B7"/>
    <w:multiLevelType w:val="hybridMultilevel"/>
    <w:lvl w:ilvl="0">
      <w:lvlJc w:val="left"/>
      <w:lvlText w:val="%1."/>
      <w:numFmt w:val="decimal"/>
      <w:start w:val="7"/>
    </w:lvl>
  </w:abstractNum>
  <w:abstractNum w:abstractNumId="11">
    <w:nsid w:val="3F2DBA31"/>
    <w:multiLevelType w:val="hybridMultilevel"/>
    <w:lvl w:ilvl="0">
      <w:lvlJc w:val="left"/>
      <w:lvlText w:val="%1."/>
      <w:numFmt w:val="decimal"/>
      <w:start w:val="8"/>
    </w:lvl>
  </w:abstractNum>
  <w:abstractNum w:abstractNumId="12">
    <w:nsid w:val="7C83E458"/>
    <w:multiLevelType w:val="hybridMultilevel"/>
    <w:lvl w:ilvl="0">
      <w:lvlJc w:val="left"/>
      <w:lvlText w:val="%1."/>
      <w:numFmt w:val="decimal"/>
      <w:start w:val="9"/>
    </w:lvl>
  </w:abstractNum>
  <w:abstractNum w:abstractNumId="13">
    <w:nsid w:val="257130A3"/>
    <w:multiLevelType w:val="hybridMultilevel"/>
    <w:lvl w:ilvl="0">
      <w:lvlJc w:val="left"/>
      <w:lvlText w:val="%1."/>
      <w:numFmt w:val="decimal"/>
      <w:start w:val="10"/>
    </w:lvl>
  </w:abstractNum>
  <w:abstractNum w:abstractNumId="14">
    <w:nsid w:val="62BBD95A"/>
    <w:multiLevelType w:val="hybridMultilevel"/>
    <w:lvl w:ilvl="0">
      <w:lvlJc w:val="left"/>
      <w:lvlText w:val="(%1)"/>
      <w:numFmt w:val="lowerLetter"/>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lowerRoman"/>
      <w:start w:val="1"/>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2"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40" Type="http://schemas.openxmlformats.org/officeDocument/2006/relationships/hyperlink" Target="http://www.sec.gov/Archives/edgar/data/97476/000009747615000003/txn-12312014xexhibit3a.htm" TargetMode="External"/><Relationship Id="rId41" Type="http://schemas.openxmlformats.org/officeDocument/2006/relationships/hyperlink" Target="http://www.sec.gov/Archives/edgar/data/97476/000156459016030135/txn-ex3_6.htm" TargetMode="External"/><Relationship Id="rId43" Type="http://schemas.openxmlformats.org/officeDocument/2006/relationships/hyperlink" Target="http://www.sec.gov/Archives/edgar/data/97476/000119312517158011/d582525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2019-12-29T03:43:37Z</dcterms:created>
  <dcterms:modified xsi:type="dcterms:W3CDTF">2019-12-29T03:43:37Z</dcterms:modified>
</cp:coreProperties>
</file>