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November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249555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382" w:right="439" w:bottom="1440" w:gutter="0" w:footer="0" w:header="0"/>
          <w:type w:val="continuous"/>
        </w:sectPr>
      </w:pPr>
    </w:p>
    <w:p>
      <w:pPr>
        <w:spacing w:after="0" w:line="5"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254635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$800,000,000 of Notes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18, 2022, Texas Instruments Incorporated (“Texas Instruments”) consummated the issuance and sale of $300,000,000 aggregate principal amount of its 4.700% Notes due 2024 and $500,000,000 aggregate principal amount of its 4.600% Notes due 2028 (collectively, the “Notes”), pursuant to an underwriting agreement filed herewith as Exhibit 1.1 dated November 15, 2022 among Texas Instruments and J.P. Morgan Securities LLC, Mizuho Securities USA LLC and Morgan Stanley &amp; Co. LLC, as underwriters. The Notes were issued pursuant to an Indenture dated as of May 23, 2011 (the “Indenture”) between Texas Instruments and U.S. Bank Trust Company, National Association, as successor in interest to U.S. Bank National Association, as trustee, and an Officers’ Certificate issued pursuant thereto.</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Notes were offered pursuant to Texas Instruments’ Registration Statement on Form S-3 filed on February 4, 2022 (Reg. No. 333-262523), including the prospectus contained therein, and a related preliminary prospectus supplement dated November 15, 2022 and a prospectus supplement dated November 15, 2022.</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40" w:type="dxa"/>
            <w:vAlign w:val="bottom"/>
          </w:tcPr>
          <w:p>
            <w:pPr>
              <w:jc w:val="right"/>
              <w:ind w:right="13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03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Underwriting Agreement dated November 15, 2022 among Texas Instruments Incorporated and J.P. Morgan Securities LLC, Mizuho Securities</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USA LLC and Morgan Stanley &amp; Co. LLC</w:t>
            </w:r>
          </w:p>
        </w:tc>
        <w:tc>
          <w:tcPr>
            <w:tcW w:w="7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tcPr>
          <w:p>
            <w:pPr>
              <w:jc w:val="right"/>
              <w:ind w:right="136"/>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320" w:type="dxa"/>
            <w:vAlign w:val="bottom"/>
            <w:gridSpan w:val="7"/>
          </w:tcPr>
          <w:p>
            <w:pPr>
              <w:spacing w:after="0"/>
              <w:rPr>
                <w:sz w:val="20"/>
                <w:szCs w:val="20"/>
                <w:color w:val="auto"/>
              </w:rPr>
            </w:pPr>
            <w:r>
              <w:rPr>
                <w:rFonts w:ascii="Arial" w:cs="Arial" w:eastAsia="Arial" w:hAnsi="Arial"/>
                <w:sz w:val="18"/>
                <w:szCs w:val="18"/>
                <w:color w:val="0000EE"/>
              </w:rPr>
              <w:t>Officers’ Certificate setting forth the terms of the Notes</w:t>
            </w:r>
          </w:p>
        </w:tc>
        <w:tc>
          <w:tcPr>
            <w:tcW w:w="0" w:type="dxa"/>
            <w:vAlign w:val="bottom"/>
          </w:tcPr>
          <w:p>
            <w:pPr>
              <w:spacing w:after="0"/>
              <w:rPr>
                <w:sz w:val="1"/>
                <w:szCs w:val="1"/>
                <w:color w:val="auto"/>
              </w:rPr>
            </w:pPr>
          </w:p>
        </w:tc>
      </w:tr>
      <w:tr>
        <w:trPr>
          <w:trHeight w:val="304"/>
        </w:trPr>
        <w:tc>
          <w:tcPr>
            <w:tcW w:w="540" w:type="dxa"/>
            <w:vAlign w:val="bottom"/>
          </w:tcPr>
          <w:p>
            <w:pPr>
              <w:jc w:val="right"/>
              <w:ind w:right="13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9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5"/>
              </w:rPr>
              <w:t>Opinion of Davis Polk &amp; Wardwell LLP</w:t>
            </w:r>
          </w:p>
        </w:tc>
        <w:tc>
          <w:tcPr>
            <w:tcW w:w="1080" w:type="dxa"/>
            <w:vAlign w:val="bottom"/>
            <w:tcBorders>
              <w:top w:val="single" w:sz="8" w:color="0000EE"/>
            </w:tcBorders>
            <w:gridSpan w:val="2"/>
          </w:tcPr>
          <w:p>
            <w:pPr>
              <w:spacing w:after="0"/>
              <w:rPr>
                <w:sz w:val="24"/>
                <w:szCs w:val="24"/>
                <w:color w:val="auto"/>
              </w:rPr>
            </w:pPr>
          </w:p>
        </w:tc>
        <w:tc>
          <w:tcPr>
            <w:tcW w:w="6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jc w:val="right"/>
              <w:ind w:right="136"/>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4"/>
                <w:szCs w:val="24"/>
                <w:color w:val="auto"/>
              </w:rPr>
            </w:pPr>
          </w:p>
        </w:tc>
        <w:tc>
          <w:tcPr>
            <w:tcW w:w="10320" w:type="dxa"/>
            <w:vAlign w:val="bottom"/>
            <w:gridSpan w:val="7"/>
          </w:tcPr>
          <w:p>
            <w:pPr>
              <w:spacing w:after="0"/>
              <w:rPr>
                <w:sz w:val="20"/>
                <w:szCs w:val="20"/>
                <w:color w:val="auto"/>
              </w:rPr>
            </w:pPr>
            <w:r>
              <w:rPr>
                <w:rFonts w:ascii="Arial" w:cs="Arial" w:eastAsia="Arial" w:hAnsi="Arial"/>
                <w:sz w:val="18"/>
                <w:szCs w:val="18"/>
                <w:color w:val="0000EE"/>
              </w:rPr>
              <w:t>Consent of Davis Polk &amp; Wardwell LLP (included in Exhibit 5.1)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4" w:right="4540" w:hanging="5464"/>
        <w:spacing w:after="0" w:line="490" w:lineRule="auto"/>
        <w:tabs>
          <w:tab w:leader="none" w:pos="662"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3</w:t>
      </w:r>
    </w:p>
    <w:p>
      <w:pPr>
        <w:sectPr>
          <w:pgSz w:w="11900" w:h="16838" w:orient="portrait"/>
          <w:cols w:equalWidth="0" w:num="1">
            <w:col w:w="10984"/>
          </w:cols>
          <w:pgMar w:left="436" w:top="297" w:right="479" w:bottom="1440" w:gutter="0" w:footer="0" w:header="0"/>
        </w:sectPr>
      </w:pPr>
    </w:p>
    <w:bookmarkStart w:id="3" w:name="page4"/>
    <w:bookmarkEnd w:id="3"/>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spacing w:after="0"/>
        <w:tabs>
          <w:tab w:leader="none" w:pos="6260" w:val="left"/>
          <w:tab w:leader="none" w:pos="6700" w:val="left"/>
        </w:tabs>
        <w:rPr>
          <w:sz w:val="20"/>
          <w:szCs w:val="20"/>
          <w:color w:val="auto"/>
        </w:rPr>
      </w:pPr>
      <w:r>
        <w:rPr>
          <w:rFonts w:ascii="Arial" w:cs="Arial" w:eastAsia="Arial" w:hAnsi="Arial"/>
          <w:sz w:val="18"/>
          <w:szCs w:val="18"/>
          <w:color w:val="auto"/>
        </w:rPr>
        <w:t>Date: November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7260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Rafael R. Lizardi</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Senior Vice President and Chief Financial Officer</w:t>
      </w:r>
    </w:p>
    <w:p>
      <w:pPr>
        <w:spacing w:after="0" w:line="16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20"/>
          </w:cols>
          <w:pgMar w:left="440" w:top="301" w:right="11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November 15,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jc w:val="both"/>
        <w:ind w:right="200" w:firstLine="440"/>
        <w:spacing w:after="0" w:line="298" w:lineRule="auto"/>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Underwriters</w:t>
      </w:r>
      <w:r>
        <w:rPr>
          <w:rFonts w:ascii="Arial" w:cs="Arial" w:eastAsia="Arial" w:hAnsi="Arial"/>
          <w:sz w:val="16"/>
          <w:szCs w:val="16"/>
          <w:color w:val="auto"/>
        </w:rPr>
        <w:t>”) understand that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$300,000,000 principal amount of the 4.700% Notes due 2024 (the “</w:t>
      </w:r>
      <w:r>
        <w:rPr>
          <w:rFonts w:ascii="Arial" w:cs="Arial" w:eastAsia="Arial" w:hAnsi="Arial"/>
          <w:sz w:val="16"/>
          <w:szCs w:val="16"/>
          <w:b w:val="1"/>
          <w:bCs w:val="1"/>
          <w:color w:val="auto"/>
        </w:rPr>
        <w:t>2024 Notes</w:t>
      </w:r>
      <w:r>
        <w:rPr>
          <w:rFonts w:ascii="Arial" w:cs="Arial" w:eastAsia="Arial" w:hAnsi="Arial"/>
          <w:sz w:val="16"/>
          <w:szCs w:val="16"/>
          <w:color w:val="auto"/>
        </w:rPr>
        <w:t>”) and $500,000,000 principal amount of the 4.600% Notes due 2028 (the “</w:t>
      </w:r>
      <w:r>
        <w:rPr>
          <w:rFonts w:ascii="Arial" w:cs="Arial" w:eastAsia="Arial" w:hAnsi="Arial"/>
          <w:sz w:val="16"/>
          <w:szCs w:val="16"/>
          <w:b w:val="1"/>
          <w:bCs w:val="1"/>
          <w:color w:val="auto"/>
        </w:rPr>
        <w:t>2028 Notes</w:t>
      </w:r>
      <w:r>
        <w:rPr>
          <w:rFonts w:ascii="Arial" w:cs="Arial" w:eastAsia="Arial" w:hAnsi="Arial"/>
          <w:sz w:val="16"/>
          <w:szCs w:val="16"/>
          <w:color w:val="auto"/>
        </w:rPr>
        <w:t>” and, together with the 2024 Notes,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 hereto, as more fully described in the Time of Sale Prospectus. The Offered Securities will be issued pursuant to an Indenture dated as of May 23, 2011, between the Company and U.S. Bank Trust Company, National Association, as successor in interest to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5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 hereto, the principal amount of the applicable series of the Offered Securities set forth opposite their respective names in Schedule II hereto. For purposes of this Agreement, “</w:t>
      </w:r>
      <w:r>
        <w:rPr>
          <w:rFonts w:ascii="Arial" w:cs="Arial" w:eastAsia="Arial" w:hAnsi="Arial"/>
          <w:sz w:val="18"/>
          <w:szCs w:val="18"/>
          <w:b w:val="1"/>
          <w:bCs w:val="1"/>
          <w:color w:val="auto"/>
        </w:rPr>
        <w:t>Applicable Time</w:t>
      </w:r>
      <w:r>
        <w:rPr>
          <w:rFonts w:ascii="Arial" w:cs="Arial" w:eastAsia="Arial" w:hAnsi="Arial"/>
          <w:sz w:val="18"/>
          <w:szCs w:val="18"/>
          <w:color w:val="auto"/>
        </w:rPr>
        <w:t>” means 5:25 P.M. (New York time) on the date hereof.</w:t>
      </w:r>
    </w:p>
    <w:p>
      <w:pPr>
        <w:spacing w:after="0" w:line="187"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Payment of the respective purchase prices for the applicable series of the Offered Securities shall be made to the Company by Federal funds wire transfer against delivery of such series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9:00 A.M. (New York time) on November 18, 2022, or at such other time, not later than November 28, 2022, as shall be designated by the Manager.</w:t>
      </w:r>
    </w:p>
    <w:p>
      <w:pPr>
        <w:spacing w:after="0" w:line="176"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February 22, 2019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w:t>
      </w:r>
    </w:p>
    <w:p>
      <w:pPr>
        <w:sectPr>
          <w:pgSz w:w="11900" w:h="16838" w:orient="portrait"/>
          <w:cols w:equalWidth="0" w:num="1">
            <w:col w:w="11020"/>
          </w:cols>
          <w:pgMar w:left="440" w:top="121" w:right="439" w:bottom="1440" w:gutter="0" w:footer="0" w:header="0"/>
        </w:sectPr>
      </w:pPr>
    </w:p>
    <w:bookmarkStart w:id="5" w:name="page6"/>
    <w:bookmarkEnd w:id="5"/>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J.P. Morgan Securities LLC, Mizuho Securities USA LLC and Morgan Stanley &amp; Co. LLC, whose authority hereunder may be exercised by them jointly, (v) Section III(b)(iv)</w:t>
      </w:r>
    </w:p>
    <w:p>
      <w:pPr>
        <w:spacing w:after="0" w:line="2" w:lineRule="exact"/>
        <w:rPr>
          <w:sz w:val="20"/>
          <w:szCs w:val="20"/>
          <w:color w:val="auto"/>
        </w:rPr>
      </w:pPr>
    </w:p>
    <w:p>
      <w:pPr>
        <w:ind w:left="4" w:hanging="4"/>
        <w:spacing w:after="0" w:line="266" w:lineRule="auto"/>
        <w:tabs>
          <w:tab w:leader="none" w:pos="289" w:val="left"/>
        </w:tabs>
        <w:numPr>
          <w:ilvl w:val="0"/>
          <w:numId w:val="3"/>
        </w:numPr>
        <w:rPr>
          <w:rFonts w:ascii="Arial" w:cs="Arial" w:eastAsia="Arial" w:hAnsi="Arial"/>
          <w:sz w:val="17"/>
          <w:szCs w:val="17"/>
          <w:color w:val="auto"/>
        </w:rPr>
      </w:pPr>
      <w:r>
        <w:rPr>
          <w:rFonts w:ascii="Arial" w:cs="Arial" w:eastAsia="Arial" w:hAnsi="Arial"/>
          <w:sz w:val="17"/>
          <w:szCs w:val="17"/>
          <w:color w:val="auto"/>
        </w:rPr>
        <w:t>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6" w:name="page7"/>
    <w:bookmarkEnd w:id="6"/>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On behalf of themselves and the several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Underwriters listed in Schedule II hereto</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Robert Bottamedi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Mizuho Securities USA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Justin T. Surma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Justin T. Surma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Julie McBrien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Julie McBrien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800"/>
          </w:cols>
          <w:pgMar w:left="440" w:top="274"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-213360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TO UNDERWRITING AGREEMENT</w:t>
      </w:r>
    </w:p>
    <w:p>
      <w:pPr>
        <w:spacing w:after="0" w:line="207"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Pricing Term Sheet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4.700% Notes due 2024</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$300,000,000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November 18, 2024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4.700%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99.955% of principal amount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 18 and November 18, beginning on May 18, 2023, and on the maturity 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$299,265,000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4.375% due October 31, 2024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 basis points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4.724%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100-00; 4.374%</w:t>
      </w:r>
    </w:p>
    <w:p>
      <w:pPr>
        <w:spacing w:after="0" w:line="117" w:lineRule="exact"/>
        <w:rPr>
          <w:sz w:val="20"/>
          <w:szCs w:val="20"/>
          <w:color w:val="auto"/>
        </w:rPr>
      </w:pPr>
    </w:p>
    <w:p>
      <w:pPr>
        <w:ind w:left="440"/>
        <w:spacing w:after="0" w:line="293" w:lineRule="auto"/>
        <w:rPr>
          <w:sz w:val="20"/>
          <w:szCs w:val="20"/>
          <w:color w:val="auto"/>
        </w:rPr>
      </w:pPr>
      <w:r>
        <w:rPr>
          <w:rFonts w:ascii="Arial" w:cs="Arial" w:eastAsia="Arial" w:hAnsi="Arial"/>
          <w:sz w:val="16"/>
          <w:szCs w:val="16"/>
          <w:color w:val="auto"/>
        </w:rPr>
        <w:t>At any time before November 18, 2024 at the greater of: (1) (a) the sum of the present values of the remaining scheduled payments of principal and interest thereon discounted to the redemption date on a semi-annual basis (assuming a 360-day year consisting of twelve 30-day months) at the Treasury Rate plus 7.5 basis points less (b) interest accrued to the date of redemption, and (2) 100% of the principal amount of the Notes to be redeemed, plus, in either case, accrued and unpaid interest thereon to the redemption date.</w:t>
      </w:r>
    </w:p>
    <w:p>
      <w:pPr>
        <w:spacing w:after="0" w:line="9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I-1</w:t>
      </w:r>
    </w:p>
    <w:p>
      <w:pPr>
        <w:sectPr>
          <w:pgSz w:w="11900" w:h="16838" w:orient="portrait"/>
          <w:cols w:equalWidth="0" w:num="2">
            <w:col w:w="3040" w:space="720"/>
            <w:col w:w="7220"/>
          </w:cols>
          <w:pgMar w:left="440" w:top="270"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18"/>
          <w:szCs w:val="18"/>
          <w:color w:val="auto"/>
        </w:rPr>
        <w:t>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-215900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ind w:left="6"/>
        <w:spacing w:after="0"/>
        <w:rPr>
          <w:sz w:val="20"/>
          <w:szCs w:val="20"/>
          <w:color w:val="auto"/>
        </w:rPr>
      </w:pPr>
      <w:r>
        <w:rPr>
          <w:rFonts w:ascii="Arial" w:cs="Arial" w:eastAsia="Arial" w:hAnsi="Arial"/>
          <w:sz w:val="18"/>
          <w:szCs w:val="18"/>
          <w:color w:val="auto"/>
        </w:rPr>
        <w:t>November 18, 2022 (T+3)</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882508 BR4/US882508BR48</w:t>
      </w:r>
    </w:p>
    <w:p>
      <w:pPr>
        <w:spacing w:after="0" w:line="225" w:lineRule="exact"/>
        <w:rPr>
          <w:sz w:val="20"/>
          <w:szCs w:val="20"/>
          <w:color w:val="auto"/>
        </w:rPr>
      </w:pPr>
    </w:p>
    <w:p>
      <w:pPr>
        <w:ind w:left="446"/>
        <w:spacing w:after="0"/>
        <w:rPr>
          <w:sz w:val="20"/>
          <w:szCs w:val="20"/>
          <w:color w:val="auto"/>
        </w:rPr>
      </w:pPr>
      <w:r>
        <w:rPr>
          <w:rFonts w:ascii="Arial" w:cs="Arial" w:eastAsia="Arial" w:hAnsi="Arial"/>
          <w:sz w:val="18"/>
          <w:szCs w:val="18"/>
          <w:u w:val="single" w:color="auto"/>
          <w:color w:val="auto"/>
        </w:rPr>
        <w:t>4.600% Notes due 2028</w:t>
      </w:r>
    </w:p>
    <w:p>
      <w:pPr>
        <w:spacing w:after="0" w:line="252" w:lineRule="exact"/>
        <w:rPr>
          <w:sz w:val="20"/>
          <w:szCs w:val="20"/>
          <w:color w:val="auto"/>
        </w:rPr>
      </w:pPr>
    </w:p>
    <w:p>
      <w:pPr>
        <w:ind w:left="6"/>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February 15, 2028</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4.600%</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99.827% of principal amount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color w:val="auto"/>
        </w:rPr>
        <w:t>August 15 and February 15, beginning on February 15, 2023, and on the maturity date</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$497,635,000</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4.125% due October 31, 2027</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70 basis points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4.639%</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100-26+; 3.939%</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6"/>
          <w:szCs w:val="16"/>
          <w:color w:val="auto"/>
        </w:rPr>
        <w:t>At any time before January 15, 2028 (one month before the maturity date) at the greater of: (1)</w:t>
      </w:r>
    </w:p>
    <w:p>
      <w:pPr>
        <w:spacing w:after="0" w:line="46" w:lineRule="exact"/>
        <w:rPr>
          <w:sz w:val="20"/>
          <w:szCs w:val="20"/>
          <w:color w:val="auto"/>
        </w:rPr>
      </w:pPr>
    </w:p>
    <w:p>
      <w:pPr>
        <w:ind w:left="6" w:right="220" w:hanging="6"/>
        <w:spacing w:after="0" w:line="295" w:lineRule="auto"/>
        <w:tabs>
          <w:tab w:leader="none" w:pos="25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discounted to the redemption date (assuming the Notes matured on January 15, 2028) on a semi-annual basis (assuming a 360-day year consisting of twelve 30-day months) at the Treasury Rate plus 12.5 basis points less (b) interest accrued to the</w:t>
      </w:r>
    </w:p>
    <w:p>
      <w:pPr>
        <w:spacing w:after="0" w:line="94" w:lineRule="exact"/>
        <w:rPr>
          <w:sz w:val="20"/>
          <w:szCs w:val="20"/>
          <w:color w:val="auto"/>
        </w:rPr>
      </w:pPr>
    </w:p>
    <w:p>
      <w:pPr>
        <w:ind w:left="1206"/>
        <w:spacing w:after="0"/>
        <w:rPr>
          <w:sz w:val="20"/>
          <w:szCs w:val="20"/>
          <w:color w:val="auto"/>
        </w:rPr>
      </w:pPr>
      <w:r>
        <w:rPr>
          <w:rFonts w:ascii="Arial" w:cs="Arial" w:eastAsia="Arial" w:hAnsi="Arial"/>
          <w:sz w:val="18"/>
          <w:szCs w:val="18"/>
          <w:color w:val="auto"/>
        </w:rPr>
        <w:t>I-2</w:t>
      </w:r>
    </w:p>
    <w:p>
      <w:pPr>
        <w:sectPr>
          <w:pgSz w:w="11900" w:h="16838" w:orient="portrait"/>
          <w:cols w:equalWidth="0" w:num="2">
            <w:col w:w="3474" w:space="720"/>
            <w:col w:w="6806"/>
          </w:cols>
          <w:pgMar w:left="440" w:top="274" w:right="4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w w:val="90"/>
              </w:rPr>
              <w:t>date of redemption, and (2) 100% of the principal amount of the Notes to be redeemed, plus,</w:t>
            </w:r>
          </w:p>
        </w:tc>
      </w:tr>
      <w:tr>
        <w:trPr>
          <w:trHeight w:val="230"/>
        </w:trPr>
        <w:tc>
          <w:tcPr>
            <w:tcW w:w="3220" w:type="dxa"/>
            <w:vAlign w:val="bottom"/>
          </w:tcPr>
          <w:p>
            <w:pPr>
              <w:spacing w:after="0"/>
              <w:rPr>
                <w:sz w:val="20"/>
                <w:szCs w:val="20"/>
                <w:color w:val="auto"/>
              </w:rPr>
            </w:pP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in either case, accrued and unpaid interest thereon to the redemption date.</w:t>
            </w:r>
          </w:p>
        </w:tc>
      </w:tr>
      <w:tr>
        <w:trPr>
          <w:trHeight w:val="310"/>
        </w:trPr>
        <w:tc>
          <w:tcPr>
            <w:tcW w:w="3220" w:type="dxa"/>
            <w:vAlign w:val="bottom"/>
          </w:tcPr>
          <w:p>
            <w:pPr>
              <w:spacing w:after="0"/>
              <w:rPr>
                <w:sz w:val="20"/>
                <w:szCs w:val="20"/>
                <w:color w:val="auto"/>
              </w:rPr>
            </w:pPr>
            <w:r>
              <w:rPr>
                <w:rFonts w:ascii="Arial" w:cs="Arial" w:eastAsia="Arial" w:hAnsi="Arial"/>
                <w:sz w:val="18"/>
                <w:szCs w:val="18"/>
                <w:color w:val="auto"/>
              </w:rPr>
              <w:t>Par Call:</w:t>
            </w: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w w:val="90"/>
              </w:rPr>
              <w:t>At any time on or after January 15, 2028 (one month before the maturity date) at 100% of the</w:t>
            </w:r>
          </w:p>
        </w:tc>
      </w:tr>
      <w:tr>
        <w:trPr>
          <w:trHeight w:val="216"/>
        </w:trPr>
        <w:tc>
          <w:tcPr>
            <w:tcW w:w="3220" w:type="dxa"/>
            <w:vAlign w:val="bottom"/>
          </w:tcPr>
          <w:p>
            <w:pPr>
              <w:spacing w:after="0"/>
              <w:rPr>
                <w:sz w:val="18"/>
                <w:szCs w:val="18"/>
                <w:color w:val="auto"/>
              </w:rPr>
            </w:pP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w w:val="93"/>
              </w:rPr>
              <w:t>principal amount of notes being redeemed plus accrued and unpaid interest thereon to the</w:t>
            </w:r>
          </w:p>
        </w:tc>
      </w:tr>
      <w:tr>
        <w:trPr>
          <w:trHeight w:val="230"/>
        </w:trPr>
        <w:tc>
          <w:tcPr>
            <w:tcW w:w="3220" w:type="dxa"/>
            <w:vAlign w:val="bottom"/>
          </w:tcPr>
          <w:p>
            <w:pPr>
              <w:spacing w:after="0"/>
              <w:rPr>
                <w:sz w:val="20"/>
                <w:szCs w:val="20"/>
                <w:color w:val="auto"/>
              </w:rPr>
            </w:pP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redemption date.</w:t>
            </w:r>
          </w:p>
        </w:tc>
      </w:tr>
      <w:tr>
        <w:trPr>
          <w:trHeight w:val="324"/>
        </w:trPr>
        <w:tc>
          <w:tcPr>
            <w:tcW w:w="3220" w:type="dxa"/>
            <w:vAlign w:val="bottom"/>
          </w:tcPr>
          <w:p>
            <w:pPr>
              <w:spacing w:after="0"/>
              <w:rPr>
                <w:sz w:val="20"/>
                <w:szCs w:val="20"/>
                <w:color w:val="auto"/>
              </w:rPr>
            </w:pPr>
            <w:r>
              <w:rPr>
                <w:rFonts w:ascii="Arial" w:cs="Arial" w:eastAsia="Arial" w:hAnsi="Arial"/>
                <w:sz w:val="18"/>
                <w:szCs w:val="18"/>
                <w:color w:val="auto"/>
              </w:rPr>
              <w:t>Trade Date:</w:t>
            </w: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November 15, 2022</w:t>
            </w:r>
          </w:p>
        </w:tc>
      </w:tr>
      <w:tr>
        <w:trPr>
          <w:trHeight w:val="324"/>
        </w:trPr>
        <w:tc>
          <w:tcPr>
            <w:tcW w:w="3220" w:type="dxa"/>
            <w:vAlign w:val="bottom"/>
          </w:tcPr>
          <w:p>
            <w:pPr>
              <w:spacing w:after="0"/>
              <w:rPr>
                <w:sz w:val="20"/>
                <w:szCs w:val="20"/>
                <w:color w:val="auto"/>
              </w:rPr>
            </w:pPr>
            <w:r>
              <w:rPr>
                <w:rFonts w:ascii="Arial" w:cs="Arial" w:eastAsia="Arial" w:hAnsi="Arial"/>
                <w:sz w:val="18"/>
                <w:szCs w:val="18"/>
                <w:color w:val="auto"/>
              </w:rPr>
              <w:t>Settlement Date:</w:t>
            </w: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November 18, 2022 (T+3)</w:t>
            </w:r>
          </w:p>
        </w:tc>
      </w:tr>
      <w:tr>
        <w:trPr>
          <w:trHeight w:val="324"/>
        </w:trPr>
        <w:tc>
          <w:tcPr>
            <w:tcW w:w="3220" w:type="dxa"/>
            <w:vAlign w:val="bottom"/>
          </w:tcPr>
          <w:p>
            <w:pPr>
              <w:spacing w:after="0"/>
              <w:rPr>
                <w:sz w:val="20"/>
                <w:szCs w:val="20"/>
                <w:color w:val="auto"/>
              </w:rPr>
            </w:pPr>
            <w:r>
              <w:rPr>
                <w:rFonts w:ascii="Arial" w:cs="Arial" w:eastAsia="Arial" w:hAnsi="Arial"/>
                <w:sz w:val="18"/>
                <w:szCs w:val="18"/>
                <w:color w:val="auto"/>
              </w:rPr>
              <w:t>Denominations:</w:t>
            </w: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220" w:type="dxa"/>
            <w:vAlign w:val="bottom"/>
          </w:tcPr>
          <w:p>
            <w:pPr>
              <w:spacing w:after="0"/>
              <w:rPr>
                <w:sz w:val="20"/>
                <w:szCs w:val="20"/>
                <w:color w:val="auto"/>
              </w:rPr>
            </w:pPr>
            <w:r>
              <w:rPr>
                <w:rFonts w:ascii="Arial" w:cs="Arial" w:eastAsia="Arial" w:hAnsi="Arial"/>
                <w:sz w:val="18"/>
                <w:szCs w:val="18"/>
                <w:color w:val="auto"/>
              </w:rPr>
              <w:t>CUSIP/ISIN:</w:t>
            </w: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882508 BV5/US882508BV59</w:t>
            </w:r>
          </w:p>
        </w:tc>
      </w:tr>
      <w:tr>
        <w:trPr>
          <w:trHeight w:val="392"/>
        </w:trPr>
        <w:tc>
          <w:tcPr>
            <w:tcW w:w="3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80" w:type="dxa"/>
            <w:vAlign w:val="bottom"/>
            <w:gridSpan w:val="2"/>
          </w:tcPr>
          <w:p>
            <w:pPr>
              <w:jc w:val="center"/>
              <w:ind w:right="4760"/>
              <w:spacing w:after="0"/>
              <w:rPr>
                <w:sz w:val="20"/>
                <w:szCs w:val="20"/>
                <w:color w:val="auto"/>
              </w:rPr>
            </w:pPr>
            <w:r>
              <w:rPr>
                <w:rFonts w:ascii="Arial" w:cs="Arial" w:eastAsia="Arial" w:hAnsi="Arial"/>
                <w:sz w:val="18"/>
                <w:szCs w:val="18"/>
                <w:color w:val="auto"/>
                <w:w w:val="94"/>
              </w:rPr>
              <w:t>Other Information</w:t>
            </w:r>
          </w:p>
        </w:tc>
      </w:tr>
      <w:tr>
        <w:trPr>
          <w:trHeight w:val="20"/>
        </w:trPr>
        <w:tc>
          <w:tcPr>
            <w:tcW w:w="3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453"/>
        </w:trPr>
        <w:tc>
          <w:tcPr>
            <w:tcW w:w="3220" w:type="dxa"/>
            <w:vAlign w:val="bottom"/>
          </w:tcPr>
          <w:p>
            <w:pPr>
              <w:spacing w:after="0"/>
              <w:rPr>
                <w:sz w:val="20"/>
                <w:szCs w:val="20"/>
                <w:color w:val="auto"/>
              </w:rPr>
            </w:pPr>
            <w:r>
              <w:rPr>
                <w:rFonts w:ascii="Arial" w:cs="Arial" w:eastAsia="Arial" w:hAnsi="Arial"/>
                <w:sz w:val="18"/>
                <w:szCs w:val="18"/>
                <w:color w:val="auto"/>
              </w:rPr>
              <w:t>Ratings:*</w:t>
            </w: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tc>
      </w:tr>
      <w:tr>
        <w:trPr>
          <w:trHeight w:val="310"/>
        </w:trPr>
        <w:tc>
          <w:tcPr>
            <w:tcW w:w="3220" w:type="dxa"/>
            <w:vAlign w:val="bottom"/>
          </w:tcPr>
          <w:p>
            <w:pPr>
              <w:spacing w:after="0"/>
              <w:rPr>
                <w:sz w:val="24"/>
                <w:szCs w:val="24"/>
                <w:color w:val="auto"/>
              </w:rPr>
            </w:pP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J.P. Morgan Securities LLC</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Mizuho Securities USA LLC</w:t>
            </w:r>
          </w:p>
        </w:tc>
      </w:tr>
      <w:tr>
        <w:trPr>
          <w:trHeight w:val="230"/>
        </w:trPr>
        <w:tc>
          <w:tcPr>
            <w:tcW w:w="3220" w:type="dxa"/>
            <w:vAlign w:val="bottom"/>
          </w:tcPr>
          <w:p>
            <w:pPr>
              <w:spacing w:after="0"/>
              <w:rPr>
                <w:sz w:val="20"/>
                <w:szCs w:val="20"/>
                <w:color w:val="auto"/>
              </w:rPr>
            </w:pPr>
          </w:p>
        </w:tc>
        <w:tc>
          <w:tcPr>
            <w:tcW w:w="7700" w:type="dxa"/>
            <w:vAlign w:val="bottom"/>
            <w:gridSpan w:val="3"/>
          </w:tcPr>
          <w:p>
            <w:pPr>
              <w:ind w:left="980"/>
              <w:spacing w:after="0"/>
              <w:rPr>
                <w:sz w:val="20"/>
                <w:szCs w:val="20"/>
                <w:color w:val="auto"/>
              </w:rPr>
            </w:pPr>
            <w:r>
              <w:rPr>
                <w:rFonts w:ascii="Arial" w:cs="Arial" w:eastAsia="Arial" w:hAnsi="Arial"/>
                <w:sz w:val="18"/>
                <w:szCs w:val="18"/>
                <w:color w:val="auto"/>
              </w:rPr>
              <w:t>Morgan Stanley &amp; Co. LLC</w:t>
            </w:r>
          </w:p>
        </w:tc>
      </w:tr>
      <w:tr>
        <w:trPr>
          <w:trHeight w:val="365"/>
        </w:trPr>
        <w:tc>
          <w:tcPr>
            <w:tcW w:w="3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80" w:type="dxa"/>
            <w:vAlign w:val="bottom"/>
            <w:gridSpan w:val="2"/>
          </w:tcPr>
          <w:p>
            <w:pPr>
              <w:jc w:val="center"/>
              <w:ind w:right="4760"/>
              <w:spacing w:after="0"/>
              <w:rPr>
                <w:sz w:val="20"/>
                <w:szCs w:val="20"/>
                <w:color w:val="auto"/>
              </w:rPr>
            </w:pPr>
            <w:r>
              <w:rPr>
                <w:rFonts w:ascii="Arial" w:cs="Arial" w:eastAsia="Arial" w:hAnsi="Arial"/>
                <w:sz w:val="18"/>
                <w:szCs w:val="18"/>
                <w:color w:val="auto"/>
                <w:w w:val="94"/>
              </w:rPr>
              <w:t>I-3</w:t>
            </w:r>
          </w:p>
        </w:tc>
      </w:tr>
    </w:tbl>
    <w:p>
      <w:pPr>
        <w:jc w:val="center"/>
        <w:ind w:right="4760"/>
        <w:spacing w:after="0"/>
        <w:rPr>
          <w:sz w:val="20"/>
          <w:szCs w:val="20"/>
          <w:color w:val="auto"/>
        </w:rPr>
        <w:sectPr>
          <w:pgSz w:w="11900" w:h="16838" w:orient="portrait"/>
          <w:cols w:equalWidth="0" w:num="1">
            <w:col w:w="10920"/>
          </w:cols>
          <w:pgMar w:left="440" w:top="274"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p>
      <w:pPr>
        <w:ind w:left="424" w:hanging="424"/>
        <w:spacing w:after="0"/>
        <w:tabs>
          <w:tab w:leader="none" w:pos="42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48" w:lineRule="exact"/>
        <w:rPr>
          <w:sz w:val="20"/>
          <w:szCs w:val="20"/>
          <w:color w:val="auto"/>
        </w:rPr>
      </w:pPr>
    </w:p>
    <w:p>
      <w:pPr>
        <w:ind w:left="4"/>
        <w:spacing w:after="0" w:line="273" w:lineRule="auto"/>
        <w:rPr>
          <w:sz w:val="20"/>
          <w:szCs w:val="20"/>
          <w:color w:val="auto"/>
        </w:rPr>
      </w:pPr>
      <w:r>
        <w:rPr>
          <w:rFonts w:ascii="Arial" w:cs="Arial" w:eastAsia="Arial" w:hAnsi="Arial"/>
          <w:sz w:val="17"/>
          <w:szCs w:val="17"/>
          <w:b w:val="1"/>
          <w:bCs w:val="1"/>
          <w:color w:val="auto"/>
        </w:rPr>
        <w:t>It is expected that delivery of the notes will be made against payment therefore on or about November 18, 2022, which is the third business day following the date hereof (such settlement cycle being referred to as “T+3”).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T+3,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ind w:left="4"/>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J.P. Morgan Securities LLC at (212) 834-6081 (collect), Mizuho Securities USA LLC at (866) 271-7403 or Morgan Stanley &amp; Co. LLC at (866) 718-1649.</w:t>
      </w:r>
    </w:p>
    <w:p>
      <w:pPr>
        <w:spacing w:after="0" w:line="189" w:lineRule="exact"/>
        <w:rPr>
          <w:sz w:val="20"/>
          <w:szCs w:val="20"/>
          <w:color w:val="auto"/>
        </w:rPr>
      </w:pPr>
    </w:p>
    <w:p>
      <w:pPr>
        <w:ind w:left="4" w:right="12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0924"/>
          </w:cols>
          <w:pgMar w:left="436" w:top="270" w:right="5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UNDERWRITING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color w:val="auto"/>
                <w:w w:val="96"/>
              </w:rPr>
              <w:t>Underwriter</w:t>
            </w:r>
          </w:p>
        </w:tc>
        <w:tc>
          <w:tcPr>
            <w:tcW w:w="7960" w:type="dxa"/>
            <w:vAlign w:val="bottom"/>
            <w:vMerge w:val="restart"/>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3"/>
              </w:rPr>
              <w:t>4.700% Notes</w:t>
            </w:r>
          </w:p>
        </w:tc>
        <w:tc>
          <w:tcPr>
            <w:tcW w:w="26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4.600% Notes</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7960" w:type="dxa"/>
            <w:vAlign w:val="bottom"/>
            <w:vMerge w:val="continue"/>
          </w:tcPr>
          <w:p>
            <w:pPr>
              <w:spacing w:after="0"/>
              <w:rPr>
                <w:sz w:val="15"/>
                <w:szCs w:val="15"/>
                <w:color w:val="auto"/>
              </w:rPr>
            </w:pPr>
          </w:p>
        </w:tc>
        <w:tc>
          <w:tcPr>
            <w:tcW w:w="102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2"/>
              </w:rPr>
              <w:t>due 2024</w:t>
            </w:r>
          </w:p>
        </w:tc>
        <w:tc>
          <w:tcPr>
            <w:tcW w:w="260" w:type="dxa"/>
            <w:vAlign w:val="bottom"/>
          </w:tcPr>
          <w:p>
            <w:pPr>
              <w:spacing w:after="0"/>
              <w:rPr>
                <w:sz w:val="15"/>
                <w:szCs w:val="15"/>
                <w:color w:val="auto"/>
              </w:rPr>
            </w:pPr>
          </w:p>
        </w:tc>
        <w:tc>
          <w:tcPr>
            <w:tcW w:w="106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88"/>
              </w:rPr>
              <w:t>due 2028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$100,000,000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$166,668,000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8"/>
              </w:rPr>
              <w:t>$100,000,000</w:t>
            </w:r>
          </w:p>
        </w:tc>
        <w:tc>
          <w:tcPr>
            <w:tcW w:w="13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$166,666,000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$100,000,000</w:t>
            </w:r>
          </w:p>
        </w:tc>
        <w:tc>
          <w:tcPr>
            <w:tcW w:w="13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$166,666,000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300,000,000</w:t>
            </w:r>
          </w:p>
        </w:tc>
        <w:tc>
          <w:tcPr>
            <w:tcW w:w="1320" w:type="dxa"/>
            <w:vAlign w:val="bottom"/>
            <w:gridSpan w:val="3"/>
          </w:tcPr>
          <w:p>
            <w:pPr>
              <w:jc w:val="center"/>
              <w:ind w:left="1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500,000,000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440" w:top="270" w:right="439" w:bottom="1440" w:gutter="0" w:footer="0" w:header="0"/>
        </w:sectPr>
      </w:pPr>
    </w:p>
    <w:bookmarkStart w:id="13" w:name="page14"/>
    <w:bookmarkEnd w:id="13"/>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019"/>
          </w:cols>
          <w:pgMar w:left="440" w:top="270" w:right="1440" w:bottom="1440" w:gutter="0" w:footer="0" w:header="0"/>
        </w:sectPr>
      </w:pPr>
    </w:p>
    <w:bookmarkStart w:id="14" w:name="page15"/>
    <w:bookmarkEnd w:id="14"/>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only information that the Underwriters have furnished to the Company in writing expressly for use in the Prospectus Supplement is:</w:t>
      </w:r>
    </w:p>
    <w:p>
      <w:pPr>
        <w:spacing w:after="0" w:line="140" w:lineRule="exact"/>
        <w:rPr>
          <w:sz w:val="20"/>
          <w:szCs w:val="20"/>
          <w:color w:val="auto"/>
        </w:rPr>
      </w:pPr>
    </w:p>
    <w:p>
      <w:pPr>
        <w:ind w:right="60" w:firstLine="419"/>
        <w:spacing w:after="0" w:line="277" w:lineRule="auto"/>
        <w:tabs>
          <w:tab w:leader="none" w:pos="6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paragraph of text under the caption “Underwriting” in the Prospectus Supplement, concerning the terms offered by the Underwriters;</w:t>
      </w:r>
    </w:p>
    <w:p>
      <w:pPr>
        <w:spacing w:after="0" w:line="62" w:lineRule="exact"/>
        <w:rPr>
          <w:rFonts w:ascii="Arial" w:cs="Arial" w:eastAsia="Arial" w:hAnsi="Arial"/>
          <w:sz w:val="18"/>
          <w:szCs w:val="18"/>
          <w:color w:val="auto"/>
        </w:rPr>
      </w:pPr>
    </w:p>
    <w:p>
      <w:pPr>
        <w:ind w:firstLine="419"/>
        <w:spacing w:after="0" w:line="277" w:lineRule="auto"/>
        <w:tabs>
          <w:tab w:leader="none" w:pos="6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9900"/>
          </w:cols>
          <w:pgMar w:left="880" w:top="270" w:right="11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February 22, 2019</w:t>
      </w:r>
    </w:p>
    <w:p>
      <w:pPr>
        <w:spacing w:after="0" w:line="2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8"/>
          <w:szCs w:val="18"/>
          <w:b w:val="1"/>
          <w:bCs w:val="1"/>
          <w:color w:val="auto"/>
        </w:rPr>
        <w:t>Underwriting Agreement</w:t>
      </w:r>
      <w:r>
        <w:rPr>
          <w:rFonts w:ascii="Arial" w:cs="Arial" w:eastAsia="Arial" w:hAnsi="Arial"/>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From time to time in one or more offerings on terms determined at the time of sale, the Company proposes to issue and sell (a) its common stock, $1.00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(b) its preferred stock, $25.00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(c) certain of its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(d) warrants to purchase Common Stock, Preferred Stock or Debt Securities (“</w:t>
      </w:r>
      <w:r>
        <w:rPr>
          <w:rFonts w:ascii="Arial" w:cs="Arial" w:eastAsia="Arial" w:hAnsi="Arial"/>
          <w:sz w:val="17"/>
          <w:szCs w:val="17"/>
          <w:b w:val="1"/>
          <w:bCs w:val="1"/>
          <w:color w:val="auto"/>
        </w:rPr>
        <w:t>Warrants</w:t>
      </w:r>
      <w:r>
        <w:rPr>
          <w:rFonts w:ascii="Arial" w:cs="Arial" w:eastAsia="Arial" w:hAnsi="Arial"/>
          <w:sz w:val="17"/>
          <w:szCs w:val="17"/>
          <w:color w:val="auto"/>
        </w:rPr>
        <w:t>”), and (e) units consisting of Common Stock, Preferred Stock, Debt Securities or Warrants or any combination thereof (“</w:t>
      </w:r>
      <w:r>
        <w:rPr>
          <w:rFonts w:ascii="Arial" w:cs="Arial" w:eastAsia="Arial" w:hAnsi="Arial"/>
          <w:sz w:val="17"/>
          <w:szCs w:val="17"/>
          <w:b w:val="1"/>
          <w:bCs w:val="1"/>
          <w:color w:val="auto"/>
        </w:rPr>
        <w:t>Units</w:t>
      </w:r>
      <w:r>
        <w:rPr>
          <w:rFonts w:ascii="Arial" w:cs="Arial" w:eastAsia="Arial" w:hAnsi="Arial"/>
          <w:sz w:val="17"/>
          <w:szCs w:val="17"/>
          <w:color w:val="auto"/>
        </w:rPr>
        <w:t>”). The Common Stock, Preferred Stock, Debt Securities, Warrants and Units are each referred to as “</w:t>
      </w:r>
      <w:r>
        <w:rPr>
          <w:rFonts w:ascii="Arial" w:cs="Arial" w:eastAsia="Arial" w:hAnsi="Arial"/>
          <w:sz w:val="17"/>
          <w:szCs w:val="17"/>
          <w:b w:val="1"/>
          <w:bCs w:val="1"/>
          <w:color w:val="auto"/>
        </w:rPr>
        <w:t>Securities</w:t>
      </w:r>
      <w:r>
        <w:rPr>
          <w:rFonts w:ascii="Arial" w:cs="Arial" w:eastAsia="Arial" w:hAnsi="Arial"/>
          <w:sz w:val="17"/>
          <w:szCs w:val="17"/>
          <w:color w:val="auto"/>
        </w:rPr>
        <w:t>” for the purposes of this Agreement.</w:t>
      </w:r>
    </w:p>
    <w:p>
      <w:pPr>
        <w:spacing w:after="0" w:line="17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has the meaning set forth in Rule 405 under the Securities Act. The term “issuer free writing prospectus” has the meaning set forth in Rule</w:t>
      </w:r>
      <w:r>
        <w:rPr>
          <w:rFonts w:ascii="Arial" w:cs="Arial" w:eastAsia="Arial" w:hAnsi="Arial"/>
          <w:sz w:val="17"/>
          <w:szCs w:val="17"/>
          <w:b w:val="1"/>
          <w:bCs w:val="1"/>
          <w:color w:val="auto"/>
        </w:rPr>
        <w:t xml:space="preserve"> </w:t>
      </w:r>
      <w:r>
        <w:rPr>
          <w:rFonts w:ascii="Arial" w:cs="Arial" w:eastAsia="Arial" w:hAnsi="Arial"/>
          <w:sz w:val="17"/>
          <w:szCs w:val="17"/>
          <w:color w:val="auto"/>
        </w:rPr>
        <w:t>433 under the Securities Act. The term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Base Prospectus and preliminary prospectus, if any, together with any additional documents 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6" w:name="page17"/>
    <w:bookmarkEnd w:id="1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As used herein, the term “</w:t>
      </w:r>
      <w:r>
        <w:rPr>
          <w:rFonts w:ascii="Arial" w:cs="Arial" w:eastAsia="Arial" w:hAnsi="Arial"/>
          <w:sz w:val="17"/>
          <w:szCs w:val="17"/>
          <w:b w:val="1"/>
          <w:bCs w:val="1"/>
          <w:color w:val="auto"/>
        </w:rPr>
        <w:t>Applicable Time</w:t>
      </w:r>
      <w:r>
        <w:rPr>
          <w:rFonts w:ascii="Arial" w:cs="Arial" w:eastAsia="Arial" w:hAnsi="Arial"/>
          <w:sz w:val="17"/>
          <w:szCs w:val="17"/>
          <w:color w:val="auto"/>
        </w:rPr>
        <w:t>” means the time and date set forth in the Underwriting Agreement or such other time as agreed in writing by the Company and the Manager.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225" w:lineRule="exact"/>
        <w:rPr>
          <w:sz w:val="20"/>
          <w:szCs w:val="20"/>
          <w:color w:val="auto"/>
        </w:rPr>
      </w:pPr>
    </w:p>
    <w:p>
      <w:pPr>
        <w:ind w:left="440" w:right="80" w:firstLine="419"/>
        <w:spacing w:after="0" w:line="271" w:lineRule="auto"/>
        <w:tabs>
          <w:tab w:leader="none" w:pos="1108"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7" w:name="page18"/>
    <w:bookmarkEnd w:id="17"/>
    <w:p>
      <w:pPr>
        <w:ind w:right="540" w:firstLine="419"/>
        <w:spacing w:after="0" w:line="277" w:lineRule="auto"/>
        <w:tabs>
          <w:tab w:leader="none" w:pos="67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540" w:right="160" w:firstLine="408"/>
        <w:spacing w:after="0" w:line="277" w:lineRule="auto"/>
        <w:tabs>
          <w:tab w:leader="none" w:pos="115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w:t>
      </w:r>
    </w:p>
    <w:p>
      <w:pPr>
        <w:spacing w:after="0" w:line="62" w:lineRule="exact"/>
        <w:rPr>
          <w:rFonts w:ascii="Arial" w:cs="Arial" w:eastAsia="Arial" w:hAnsi="Arial"/>
          <w:sz w:val="18"/>
          <w:szCs w:val="18"/>
          <w:color w:val="auto"/>
        </w:rPr>
      </w:pPr>
    </w:p>
    <w:p>
      <w:pPr>
        <w:jc w:val="both"/>
        <w:ind w:left="540" w:right="60" w:firstLine="408"/>
        <w:spacing w:after="0" w:line="286" w:lineRule="auto"/>
        <w:tabs>
          <w:tab w:leader="none" w:pos="1206"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57" w:lineRule="exact"/>
        <w:rPr>
          <w:rFonts w:ascii="Arial" w:cs="Arial" w:eastAsia="Arial" w:hAnsi="Arial"/>
          <w:sz w:val="17"/>
          <w:szCs w:val="17"/>
          <w:color w:val="auto"/>
        </w:rPr>
      </w:pPr>
    </w:p>
    <w:p>
      <w:pPr>
        <w:ind w:left="540" w:right="160" w:firstLine="408"/>
        <w:spacing w:after="0" w:line="277" w:lineRule="auto"/>
        <w:tabs>
          <w:tab w:leader="none" w:pos="1256"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ind w:left="540" w:right="180" w:firstLine="408"/>
        <w:spacing w:after="0" w:line="263" w:lineRule="auto"/>
        <w:tabs>
          <w:tab w:leader="none" w:pos="124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5" w:lineRule="exact"/>
        <w:rPr>
          <w:rFonts w:ascii="Arial" w:cs="Arial" w:eastAsia="Arial" w:hAnsi="Arial"/>
          <w:sz w:val="18"/>
          <w:szCs w:val="18"/>
          <w:color w:val="auto"/>
        </w:rPr>
      </w:pPr>
    </w:p>
    <w:p>
      <w:pPr>
        <w:ind w:left="1660" w:hanging="289"/>
        <w:spacing w:after="0"/>
        <w:tabs>
          <w:tab w:leader="none" w:pos="1660"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ind w:left="980" w:firstLine="391"/>
        <w:spacing w:after="0" w:line="259" w:lineRule="auto"/>
        <w:tabs>
          <w:tab w:leader="none" w:pos="1648"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8" w:lineRule="exact"/>
        <w:rPr>
          <w:rFonts w:ascii="Arial" w:cs="Arial" w:eastAsia="Arial" w:hAnsi="Arial"/>
          <w:sz w:val="18"/>
          <w:szCs w:val="18"/>
          <w:color w:val="auto"/>
        </w:rPr>
      </w:pPr>
    </w:p>
    <w:p>
      <w:pPr>
        <w:ind w:left="540" w:right="300" w:firstLine="408"/>
        <w:spacing w:after="0" w:line="279" w:lineRule="auto"/>
        <w:tabs>
          <w:tab w:leader="none" w:pos="1196"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18" w:name="page19"/>
    <w:bookmarkEnd w:id="18"/>
    <w:p>
      <w:pPr>
        <w:ind w:left="-20" w:firstLine="408"/>
        <w:spacing w:after="0" w:line="296" w:lineRule="auto"/>
        <w:tabs>
          <w:tab w:leader="none" w:pos="686"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53" w:lineRule="exact"/>
        <w:rPr>
          <w:rFonts w:ascii="Arial" w:cs="Arial" w:eastAsia="Arial" w:hAnsi="Arial"/>
          <w:sz w:val="16"/>
          <w:szCs w:val="16"/>
          <w:color w:val="auto"/>
        </w:rPr>
      </w:pPr>
    </w:p>
    <w:p>
      <w:pPr>
        <w:ind w:left="-20" w:right="120" w:firstLine="408"/>
        <w:spacing w:after="0" w:line="257" w:lineRule="auto"/>
        <w:tabs>
          <w:tab w:leader="none" w:pos="73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79" w:lineRule="exact"/>
        <w:rPr>
          <w:rFonts w:ascii="Arial" w:cs="Arial" w:eastAsia="Arial" w:hAnsi="Arial"/>
          <w:sz w:val="18"/>
          <w:szCs w:val="18"/>
          <w:color w:val="auto"/>
        </w:rPr>
      </w:pPr>
    </w:p>
    <w:p>
      <w:pPr>
        <w:ind w:left="-20" w:right="80" w:firstLine="408"/>
        <w:spacing w:after="0" w:line="277" w:lineRule="auto"/>
        <w:tabs>
          <w:tab w:leader="none" w:pos="786"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420" w:right="80" w:firstLine="391"/>
        <w:spacing w:after="0" w:line="255"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4" w:lineRule="exact"/>
        <w:rPr>
          <w:rFonts w:ascii="Arial" w:cs="Arial" w:eastAsia="Arial" w:hAnsi="Arial"/>
          <w:sz w:val="18"/>
          <w:szCs w:val="18"/>
          <w:color w:val="auto"/>
        </w:rPr>
      </w:pPr>
    </w:p>
    <w:p>
      <w:pPr>
        <w:ind w:left="420" w:right="20" w:firstLine="391"/>
        <w:spacing w:after="0" w:line="301" w:lineRule="auto"/>
        <w:tabs>
          <w:tab w:leader="none" w:pos="1088"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0"/>
          </w:cols>
          <w:pgMar w:left="1440" w:top="274" w:right="459" w:bottom="1440" w:gutter="0" w:footer="0" w:header="0"/>
        </w:sectPr>
      </w:pPr>
    </w:p>
    <w:bookmarkStart w:id="19" w:name="page20"/>
    <w:bookmarkEnd w:id="19"/>
    <w:p>
      <w:pPr>
        <w:ind w:left="980" w:right="180" w:firstLine="391"/>
        <w:spacing w:after="0" w:line="259" w:lineRule="auto"/>
        <w:tabs>
          <w:tab w:leader="none" w:pos="1648" w:val="left"/>
        </w:tabs>
        <w:numPr>
          <w:ilvl w:val="2"/>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980" w:right="60" w:firstLine="391"/>
        <w:spacing w:after="0" w:line="301" w:lineRule="auto"/>
        <w:tabs>
          <w:tab w:leader="none" w:pos="1658" w:val="left"/>
        </w:tabs>
        <w:numPr>
          <w:ilvl w:val="2"/>
          <w:numId w:val="10"/>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49" w:lineRule="exact"/>
        <w:rPr>
          <w:rFonts w:ascii="Arial" w:cs="Arial" w:eastAsia="Arial" w:hAnsi="Arial"/>
          <w:sz w:val="16"/>
          <w:szCs w:val="16"/>
          <w:color w:val="auto"/>
        </w:rPr>
      </w:pPr>
    </w:p>
    <w:p>
      <w:pPr>
        <w:ind w:right="720" w:firstLine="419"/>
        <w:spacing w:after="0" w:line="277" w:lineRule="auto"/>
        <w:tabs>
          <w:tab w:leader="none" w:pos="6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540" w:firstLine="408"/>
        <w:spacing w:after="0" w:line="263" w:lineRule="auto"/>
        <w:tabs>
          <w:tab w:leader="none" w:pos="1156"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5" w:lineRule="exact"/>
        <w:rPr>
          <w:rFonts w:ascii="Arial" w:cs="Arial" w:eastAsia="Arial" w:hAnsi="Arial"/>
          <w:sz w:val="18"/>
          <w:szCs w:val="18"/>
          <w:color w:val="auto"/>
        </w:rPr>
      </w:pPr>
    </w:p>
    <w:p>
      <w:pPr>
        <w:ind w:left="1220" w:hanging="272"/>
        <w:spacing w:after="0"/>
        <w:tabs>
          <w:tab w:leader="none" w:pos="12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980" w:right="40" w:firstLine="391"/>
        <w:spacing w:after="0" w:line="272" w:lineRule="auto"/>
        <w:tabs>
          <w:tab w:leader="none" w:pos="1658" w:val="left"/>
        </w:tabs>
        <w:numPr>
          <w:ilvl w:val="2"/>
          <w:numId w:val="11"/>
        </w:numPr>
        <w:rPr>
          <w:rFonts w:ascii="Arial" w:cs="Arial" w:eastAsia="Arial" w:hAnsi="Arial"/>
          <w:sz w:val="17"/>
          <w:szCs w:val="17"/>
          <w:color w:val="auto"/>
        </w:rPr>
      </w:pPr>
      <w:r>
        <w:rPr>
          <w:rFonts w:ascii="Arial" w:cs="Arial" w:eastAsia="Arial" w:hAnsi="Arial"/>
          <w:sz w:val="17"/>
          <w:szCs w:val="17"/>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69" w:lineRule="exact"/>
        <w:rPr>
          <w:rFonts w:ascii="Arial" w:cs="Arial" w:eastAsia="Arial" w:hAnsi="Arial"/>
          <w:sz w:val="17"/>
          <w:szCs w:val="17"/>
          <w:color w:val="auto"/>
        </w:rPr>
      </w:pPr>
    </w:p>
    <w:p>
      <w:pPr>
        <w:ind w:left="980" w:right="240" w:firstLine="391"/>
        <w:spacing w:after="0" w:line="277" w:lineRule="auto"/>
        <w:tabs>
          <w:tab w:leader="none" w:pos="164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20" w:name="page21"/>
    <w:bookmarkEnd w:id="20"/>
    <w:p>
      <w:pPr>
        <w:ind w:left="1100" w:hanging="289"/>
        <w:spacing w:after="0"/>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has been duly qualified under the Trust Indenture Act of 1939.</w:t>
      </w:r>
    </w:p>
    <w:p>
      <w:pPr>
        <w:spacing w:after="0" w:line="117" w:lineRule="exact"/>
        <w:rPr>
          <w:rFonts w:ascii="Arial" w:cs="Arial" w:eastAsia="Arial" w:hAnsi="Arial"/>
          <w:sz w:val="18"/>
          <w:szCs w:val="18"/>
          <w:color w:val="auto"/>
        </w:rPr>
      </w:pPr>
    </w:p>
    <w:p>
      <w:pPr>
        <w:ind w:left="700" w:hanging="31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Warrants are Offered Securities:</w:t>
      </w:r>
    </w:p>
    <w:p>
      <w:pPr>
        <w:spacing w:after="0" w:line="117" w:lineRule="exact"/>
        <w:rPr>
          <w:rFonts w:ascii="Arial" w:cs="Arial" w:eastAsia="Arial" w:hAnsi="Arial"/>
          <w:sz w:val="18"/>
          <w:szCs w:val="18"/>
          <w:color w:val="auto"/>
        </w:rPr>
      </w:pPr>
    </w:p>
    <w:p>
      <w:pPr>
        <w:ind w:left="420" w:firstLine="391"/>
        <w:spacing w:after="0" w:line="259"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420" w:right="180" w:firstLine="391"/>
        <w:spacing w:after="0" w:line="277"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700" w:hanging="31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Units are Offered Securities:</w:t>
      </w:r>
    </w:p>
    <w:p>
      <w:pPr>
        <w:spacing w:after="0" w:line="117" w:lineRule="exact"/>
        <w:rPr>
          <w:rFonts w:ascii="Arial" w:cs="Arial" w:eastAsia="Arial" w:hAnsi="Arial"/>
          <w:sz w:val="18"/>
          <w:szCs w:val="18"/>
          <w:color w:val="auto"/>
        </w:rPr>
      </w:pPr>
    </w:p>
    <w:p>
      <w:pPr>
        <w:ind w:left="420" w:right="100" w:firstLine="391"/>
        <w:spacing w:after="0" w:line="259"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420" w:right="440" w:firstLine="391"/>
        <w:spacing w:after="0" w:line="277"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640" w:hanging="25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0" w:right="260" w:firstLine="408"/>
        <w:spacing w:after="0" w:line="263" w:lineRule="auto"/>
        <w:tabs>
          <w:tab w:leader="none" w:pos="6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5" w:lineRule="exact"/>
        <w:rPr>
          <w:rFonts w:ascii="Arial" w:cs="Arial" w:eastAsia="Arial" w:hAnsi="Arial"/>
          <w:sz w:val="18"/>
          <w:szCs w:val="18"/>
          <w:color w:val="auto"/>
        </w:rPr>
      </w:pPr>
    </w:p>
    <w:p>
      <w:pPr>
        <w:ind w:left="-20" w:right="240" w:firstLine="408"/>
        <w:spacing w:after="0" w:line="308" w:lineRule="auto"/>
        <w:tabs>
          <w:tab w:leader="none" w:pos="7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4" w:right="459" w:bottom="1440" w:gutter="0" w:footer="0" w:header="0"/>
        </w:sectPr>
      </w:pPr>
    </w:p>
    <w:bookmarkStart w:id="21" w:name="page22"/>
    <w:bookmarkEnd w:id="21"/>
    <w:p>
      <w:pPr>
        <w:ind w:left="-20" w:right="120" w:firstLine="408"/>
        <w:spacing w:after="0" w:line="282" w:lineRule="auto"/>
        <w:tabs>
          <w:tab w:leader="none" w:pos="786"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jc w:val="both"/>
        <w:ind w:left="-20" w:right="160" w:firstLine="408"/>
        <w:spacing w:after="0" w:line="311" w:lineRule="auto"/>
        <w:tabs>
          <w:tab w:leader="none" w:pos="6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40" w:lineRule="exact"/>
        <w:rPr>
          <w:rFonts w:ascii="Arial" w:cs="Arial" w:eastAsia="Arial" w:hAnsi="Arial"/>
          <w:sz w:val="16"/>
          <w:szCs w:val="16"/>
          <w:color w:val="auto"/>
        </w:rPr>
      </w:pPr>
    </w:p>
    <w:p>
      <w:pPr>
        <w:ind w:left="-20" w:firstLine="408"/>
        <w:spacing w:after="0" w:line="311"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40" w:lineRule="exact"/>
        <w:rPr>
          <w:rFonts w:ascii="Arial" w:cs="Arial" w:eastAsia="Arial" w:hAnsi="Arial"/>
          <w:sz w:val="16"/>
          <w:szCs w:val="16"/>
          <w:color w:val="auto"/>
        </w:rPr>
      </w:pPr>
    </w:p>
    <w:p>
      <w:pPr>
        <w:ind w:left="-20" w:right="80" w:firstLine="408"/>
        <w:spacing w:after="0" w:line="301" w:lineRule="auto"/>
        <w:tabs>
          <w:tab w:leader="none" w:pos="6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49" w:lineRule="exact"/>
        <w:rPr>
          <w:rFonts w:ascii="Arial" w:cs="Arial" w:eastAsia="Arial" w:hAnsi="Arial"/>
          <w:sz w:val="16"/>
          <w:szCs w:val="16"/>
          <w:color w:val="auto"/>
        </w:rPr>
      </w:pPr>
    </w:p>
    <w:p>
      <w:pPr>
        <w:ind w:left="-20" w:right="120" w:firstLine="408"/>
        <w:spacing w:after="0" w:line="277" w:lineRule="auto"/>
        <w:tabs>
          <w:tab w:leader="none" w:pos="7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420" w:right="140" w:firstLine="391"/>
        <w:spacing w:after="0" w:line="293" w:lineRule="auto"/>
        <w:tabs>
          <w:tab w:leader="none" w:pos="1098"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270" w:right="459" w:bottom="1440" w:gutter="0" w:footer="0" w:header="0"/>
        </w:sectPr>
      </w:pPr>
    </w:p>
    <w:bookmarkStart w:id="22" w:name="page23"/>
    <w:bookmarkEnd w:id="22"/>
    <w:p>
      <w:pPr>
        <w:ind w:left="1420" w:right="180" w:firstLine="391"/>
        <w:spacing w:after="0" w:line="259" w:lineRule="auto"/>
        <w:tabs>
          <w:tab w:leader="none" w:pos="2088" w:val="left"/>
        </w:tabs>
        <w:numPr>
          <w:ilvl w:val="2"/>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1420" w:firstLine="391"/>
        <w:spacing w:after="0" w:line="301" w:lineRule="auto"/>
        <w:tabs>
          <w:tab w:leader="none" w:pos="2088"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49" w:lineRule="exact"/>
        <w:rPr>
          <w:rFonts w:ascii="Arial" w:cs="Arial" w:eastAsia="Arial" w:hAnsi="Arial"/>
          <w:sz w:val="16"/>
          <w:szCs w:val="16"/>
          <w:color w:val="auto"/>
        </w:rPr>
      </w:pPr>
    </w:p>
    <w:p>
      <w:pPr>
        <w:ind w:left="980" w:right="60" w:firstLine="408"/>
        <w:spacing w:after="0" w:line="277" w:lineRule="auto"/>
        <w:tabs>
          <w:tab w:leader="none" w:pos="17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440" w:right="420" w:firstLine="419"/>
        <w:spacing w:after="0" w:line="277" w:lineRule="auto"/>
        <w:tabs>
          <w:tab w:leader="none" w:pos="11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its own counsel, in a form acceptable to the Manager, dated the Closing Date.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80" w:lineRule="exact"/>
        <w:rPr>
          <w:sz w:val="20"/>
          <w:szCs w:val="20"/>
          <w:color w:val="auto"/>
        </w:rPr>
      </w:pPr>
    </w:p>
    <w:p>
      <w:pPr>
        <w:ind w:left="440" w:right="100" w:firstLine="419"/>
        <w:spacing w:after="0" w:line="279" w:lineRule="auto"/>
        <w:tabs>
          <w:tab w:leader="none" w:pos="11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3" w:name="page24"/>
    <w:bookmarkEnd w:id="23"/>
    <w:p>
      <w:pPr>
        <w:jc w:val="both"/>
        <w:ind w:left="440" w:right="260" w:firstLine="419"/>
        <w:spacing w:after="0" w:line="301" w:lineRule="auto"/>
        <w:tabs>
          <w:tab w:leader="none" w:pos="1088"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49" w:lineRule="exact"/>
        <w:rPr>
          <w:rFonts w:ascii="Arial" w:cs="Arial" w:eastAsia="Arial" w:hAnsi="Arial"/>
          <w:sz w:val="16"/>
          <w:szCs w:val="16"/>
          <w:color w:val="auto"/>
        </w:rPr>
      </w:pPr>
    </w:p>
    <w:p>
      <w:pPr>
        <w:ind w:left="440" w:right="100" w:firstLine="419"/>
        <w:spacing w:after="0" w:line="279" w:lineRule="auto"/>
        <w:tabs>
          <w:tab w:leader="none" w:pos="111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440" w:right="20" w:firstLine="419"/>
        <w:spacing w:after="0" w:line="311" w:lineRule="auto"/>
        <w:tabs>
          <w:tab w:leader="none" w:pos="11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40" w:lineRule="exact"/>
        <w:rPr>
          <w:rFonts w:ascii="Arial" w:cs="Arial" w:eastAsia="Arial" w:hAnsi="Arial"/>
          <w:sz w:val="16"/>
          <w:szCs w:val="16"/>
          <w:color w:val="auto"/>
        </w:rPr>
      </w:pPr>
    </w:p>
    <w:p>
      <w:pPr>
        <w:ind w:left="440" w:firstLine="419"/>
        <w:spacing w:after="0" w:line="259" w:lineRule="auto"/>
        <w:tabs>
          <w:tab w:leader="none" w:pos="11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left="440" w:right="180" w:firstLine="419"/>
        <w:spacing w:after="0" w:line="277" w:lineRule="auto"/>
        <w:tabs>
          <w:tab w:leader="none" w:pos="11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jc w:val="both"/>
        <w:ind w:left="440" w:right="80" w:firstLine="419"/>
        <w:spacing w:after="0" w:line="263" w:lineRule="auto"/>
        <w:tabs>
          <w:tab w:leader="none" w:pos="11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5" w:lineRule="exact"/>
        <w:rPr>
          <w:rFonts w:ascii="Arial" w:cs="Arial" w:eastAsia="Arial" w:hAnsi="Arial"/>
          <w:sz w:val="18"/>
          <w:szCs w:val="18"/>
          <w:color w:val="auto"/>
        </w:rPr>
      </w:pPr>
    </w:p>
    <w:p>
      <w:pPr>
        <w:ind w:left="440" w:right="560" w:firstLine="419"/>
        <w:spacing w:after="0" w:line="286" w:lineRule="auto"/>
        <w:tabs>
          <w:tab w:leader="none" w:pos="1108"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4" w:name="page25"/>
    <w:bookmarkEnd w:id="24"/>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69" w:lineRule="exact"/>
        <w:rPr>
          <w:sz w:val="20"/>
          <w:szCs w:val="20"/>
          <w:color w:val="auto"/>
        </w:rPr>
      </w:pPr>
    </w:p>
    <w:p>
      <w:pPr>
        <w:ind w:firstLine="419"/>
        <w:spacing w:after="0" w:line="287"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3" w:lineRule="exact"/>
        <w:rPr>
          <w:rFonts w:ascii="Arial" w:cs="Arial" w:eastAsia="Arial" w:hAnsi="Arial"/>
          <w:sz w:val="16"/>
          <w:szCs w:val="16"/>
          <w:color w:val="auto"/>
        </w:rPr>
      </w:pPr>
    </w:p>
    <w:p>
      <w:pPr>
        <w:ind w:right="280" w:firstLine="419"/>
        <w:spacing w:after="0" w:line="342" w:lineRule="auto"/>
        <w:tabs>
          <w:tab w:leader="none" w:pos="67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5" w:lineRule="exact"/>
        <w:rPr>
          <w:rFonts w:ascii="Arial" w:cs="Arial" w:eastAsia="Arial" w:hAnsi="Arial"/>
          <w:sz w:val="16"/>
          <w:szCs w:val="16"/>
          <w:color w:val="auto"/>
        </w:rPr>
      </w:pPr>
    </w:p>
    <w:p>
      <w:pPr>
        <w:ind w:firstLine="419"/>
        <w:spacing w:after="0" w:line="279" w:lineRule="auto"/>
        <w:tabs>
          <w:tab w:leader="none" w:pos="67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0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880" w:top="274" w:right="519" w:bottom="1440" w:gutter="0" w:footer="0" w:header="0"/>
        </w:sectPr>
      </w:pPr>
    </w:p>
    <w:bookmarkStart w:id="25" w:name="page26"/>
    <w:bookmarkEnd w:id="25"/>
    <w:p>
      <w:pPr>
        <w:ind w:right="160" w:firstLine="419"/>
        <w:spacing w:after="0" w:line="259" w:lineRule="auto"/>
        <w:tabs>
          <w:tab w:leader="none" w:pos="638"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260" w:firstLine="419"/>
        <w:spacing w:after="0" w:line="259" w:lineRule="auto"/>
        <w:tabs>
          <w:tab w:leader="none" w:pos="6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20" w:firstLine="419"/>
        <w:spacing w:after="0" w:line="277" w:lineRule="auto"/>
        <w:tabs>
          <w:tab w:leader="none" w:pos="6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19"/>
        <w:spacing w:after="0" w:line="268" w:lineRule="auto"/>
        <w:tabs>
          <w:tab w:leader="none" w:pos="6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78" w:lineRule="exact"/>
        <w:rPr>
          <w:rFonts w:ascii="Arial" w:cs="Arial" w:eastAsia="Arial" w:hAnsi="Arial"/>
          <w:sz w:val="17"/>
          <w:szCs w:val="17"/>
          <w:color w:val="auto"/>
        </w:rPr>
      </w:pPr>
    </w:p>
    <w:p>
      <w:pPr>
        <w:ind w:firstLine="419"/>
        <w:spacing w:after="0" w:line="275" w:lineRule="auto"/>
        <w:tabs>
          <w:tab w:leader="none" w:pos="7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26" w:name="page27"/>
    <w:bookmarkEnd w:id="26"/>
    <w:p>
      <w:pPr>
        <w:ind w:left="440" w:right="20" w:firstLine="419"/>
        <w:spacing w:after="0" w:line="284" w:lineRule="auto"/>
        <w:tabs>
          <w:tab w:leader="none" w:pos="1118" w:val="left"/>
        </w:tabs>
        <w:numPr>
          <w:ilvl w:val="1"/>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spacing w:after="0" w:line="4" w:lineRule="exact"/>
        <w:rPr>
          <w:rFonts w:ascii="Arial" w:cs="Arial" w:eastAsia="Arial" w:hAnsi="Arial"/>
          <w:sz w:val="16"/>
          <w:szCs w:val="16"/>
          <w:color w:val="auto"/>
        </w:rPr>
      </w:pPr>
    </w:p>
    <w:p>
      <w:pPr>
        <w:ind w:left="440" w:right="40" w:hanging="4"/>
        <w:spacing w:after="0" w:line="286"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left="440" w:firstLine="419"/>
        <w:spacing w:after="0" w:line="301" w:lineRule="auto"/>
        <w:tabs>
          <w:tab w:leader="none" w:pos="11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7" w:name="page28"/>
    <w:bookmarkEnd w:id="27"/>
    <w:p>
      <w:pPr>
        <w:ind w:firstLine="419"/>
        <w:spacing w:after="0" w:line="285" w:lineRule="auto"/>
        <w:tabs>
          <w:tab w:leader="none" w:pos="678"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276" w:lineRule="exact"/>
        <w:rPr>
          <w:rFonts w:ascii="Arial" w:cs="Arial" w:eastAsia="Arial" w:hAnsi="Arial"/>
          <w:sz w:val="16"/>
          <w:szCs w:val="16"/>
          <w:color w:val="auto"/>
        </w:rPr>
      </w:pPr>
    </w:p>
    <w:p>
      <w:pPr>
        <w:ind w:right="60" w:firstLine="419"/>
        <w:spacing w:after="0" w:line="257" w:lineRule="auto"/>
        <w:tabs>
          <w:tab w:leader="none" w:pos="6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28" w:name="page29"/>
    <w:bookmarkEnd w:id="28"/>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63" w:lineRule="exact"/>
        <w:rPr>
          <w:sz w:val="20"/>
          <w:szCs w:val="20"/>
          <w:color w:val="auto"/>
        </w:rPr>
      </w:pPr>
    </w:p>
    <w:p>
      <w:pPr>
        <w:ind w:firstLine="419"/>
        <w:spacing w:after="0" w:line="257" w:lineRule="auto"/>
        <w:tabs>
          <w:tab w:leader="none" w:pos="6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9" w:lineRule="exact"/>
        <w:rPr>
          <w:rFonts w:ascii="Arial" w:cs="Arial" w:eastAsia="Arial" w:hAnsi="Arial"/>
          <w:sz w:val="18"/>
          <w:szCs w:val="18"/>
          <w:color w:val="auto"/>
        </w:rPr>
      </w:pPr>
    </w:p>
    <w:p>
      <w:pPr>
        <w:ind w:right="260" w:firstLine="419"/>
        <w:spacing w:after="0" w:line="263" w:lineRule="auto"/>
        <w:tabs>
          <w:tab w:leader="none" w:pos="6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5" w:lineRule="exact"/>
        <w:rPr>
          <w:rFonts w:ascii="Arial" w:cs="Arial" w:eastAsia="Arial" w:hAnsi="Arial"/>
          <w:sz w:val="18"/>
          <w:szCs w:val="18"/>
          <w:color w:val="auto"/>
        </w:rPr>
      </w:pPr>
    </w:p>
    <w:p>
      <w:pPr>
        <w:ind w:right="20" w:firstLine="419"/>
        <w:spacing w:after="0" w:line="255"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4" w:lineRule="exact"/>
        <w:rPr>
          <w:rFonts w:ascii="Arial" w:cs="Arial" w:eastAsia="Arial" w:hAnsi="Arial"/>
          <w:sz w:val="18"/>
          <w:szCs w:val="18"/>
          <w:color w:val="auto"/>
        </w:rPr>
      </w:pPr>
    </w:p>
    <w:p>
      <w:pPr>
        <w:ind w:right="20" w:firstLine="419"/>
        <w:spacing w:after="0" w:line="275" w:lineRule="auto"/>
        <w:tabs>
          <w:tab w:leader="none" w:pos="6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80" w:top="274" w:right="479" w:bottom="1440" w:gutter="0" w:footer="0" w:header="0"/>
        </w:sectPr>
      </w:pPr>
    </w:p>
    <w:bookmarkStart w:id="29" w:name="page30"/>
    <w:bookmarkEnd w:id="29"/>
    <w:p>
      <w:pPr>
        <w:ind w:left="4" w:right="240" w:firstLine="419"/>
        <w:spacing w:after="0" w:line="287" w:lineRule="auto"/>
        <w:tabs>
          <w:tab w:leader="none" w:pos="681" w:val="left"/>
        </w:tabs>
        <w:numPr>
          <w:ilvl w:val="1"/>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2" w:lineRule="exact"/>
        <w:rPr>
          <w:rFonts w:ascii="Arial" w:cs="Arial" w:eastAsia="Arial" w:hAnsi="Arial"/>
          <w:sz w:val="16"/>
          <w:szCs w:val="16"/>
          <w:color w:val="auto"/>
        </w:rPr>
      </w:pPr>
    </w:p>
    <w:p>
      <w:pPr>
        <w:ind w:left="4" w:right="160" w:hanging="4"/>
        <w:spacing w:after="0" w:line="260" w:lineRule="auto"/>
        <w:tabs>
          <w:tab w:leader="none" w:pos="2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77" w:lineRule="exact"/>
        <w:rPr>
          <w:rFonts w:ascii="Arial" w:cs="Arial" w:eastAsia="Arial" w:hAnsi="Arial"/>
          <w:sz w:val="18"/>
          <w:szCs w:val="18"/>
          <w:color w:val="auto"/>
        </w:rPr>
      </w:pPr>
    </w:p>
    <w:p>
      <w:pPr>
        <w:ind w:left="644" w:hanging="221"/>
        <w:spacing w:after="0"/>
        <w:tabs>
          <w:tab w:leader="none" w:pos="64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 w:firstLine="419"/>
        <w:spacing w:after="0" w:line="254" w:lineRule="auto"/>
        <w:tabs>
          <w:tab w:leader="none" w:pos="641"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6" w:lineRule="exact"/>
        <w:rPr>
          <w:rFonts w:ascii="Arial" w:cs="Arial" w:eastAsia="Arial" w:hAnsi="Arial"/>
          <w:sz w:val="18"/>
          <w:szCs w:val="18"/>
          <w:color w:val="auto"/>
        </w:rPr>
      </w:pPr>
    </w:p>
    <w:p>
      <w:pPr>
        <w:ind w:left="4" w:firstLine="419"/>
        <w:spacing w:after="0" w:line="255" w:lineRule="auto"/>
        <w:tabs>
          <w:tab w:leader="none" w:pos="681"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84" w:lineRule="exact"/>
        <w:rPr>
          <w:rFonts w:ascii="Arial" w:cs="Arial" w:eastAsia="Arial" w:hAnsi="Arial"/>
          <w:sz w:val="18"/>
          <w:szCs w:val="18"/>
          <w:color w:val="auto"/>
        </w:rPr>
      </w:pPr>
    </w:p>
    <w:p>
      <w:pPr>
        <w:ind w:left="4" w:right="160" w:firstLine="419"/>
        <w:spacing w:after="0" w:line="286" w:lineRule="auto"/>
        <w:tabs>
          <w:tab w:leader="none" w:pos="641" w:val="left"/>
        </w:tabs>
        <w:numPr>
          <w:ilvl w:val="1"/>
          <w:numId w:val="29"/>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7" w:lineRule="exact"/>
        <w:rPr>
          <w:rFonts w:ascii="Arial" w:cs="Arial" w:eastAsia="Arial" w:hAnsi="Arial"/>
          <w:sz w:val="17"/>
          <w:szCs w:val="17"/>
          <w:color w:val="auto"/>
        </w:rPr>
      </w:pPr>
    </w:p>
    <w:p>
      <w:pPr>
        <w:ind w:left="4" w:right="280" w:firstLine="419"/>
        <w:spacing w:after="0" w:line="263" w:lineRule="auto"/>
        <w:tabs>
          <w:tab w:leader="none" w:pos="731"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30" w:name="page31"/>
    <w:bookmarkEnd w:id="30"/>
    <w:p>
      <w:pPr>
        <w:ind w:left="440" w:right="40" w:firstLine="419"/>
        <w:spacing w:after="0" w:line="275" w:lineRule="auto"/>
        <w:tabs>
          <w:tab w:leader="none" w:pos="1118" w:val="left"/>
        </w:tabs>
        <w:numPr>
          <w:ilvl w:val="0"/>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8" w:lineRule="exact"/>
        <w:rPr>
          <w:rFonts w:ascii="Arial" w:cs="Arial" w:eastAsia="Arial" w:hAnsi="Arial"/>
          <w:sz w:val="17"/>
          <w:szCs w:val="17"/>
          <w:color w:val="auto"/>
        </w:rPr>
      </w:pPr>
    </w:p>
    <w:p>
      <w:pPr>
        <w:ind w:left="440" w:right="80" w:firstLine="419"/>
        <w:spacing w:after="0" w:line="263"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jc w:val="both"/>
        <w:ind w:left="440" w:right="40" w:firstLine="419"/>
        <w:spacing w:after="0" w:line="263"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1" w:name="page32"/>
    <w:bookmarkEnd w:id="31"/>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84"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1"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w:t>
      </w:r>
    </w:p>
    <w:p>
      <w:pPr>
        <w:spacing w:after="0" w:line="1" w:lineRule="exact"/>
        <w:rPr>
          <w:sz w:val="20"/>
          <w:szCs w:val="20"/>
          <w:color w:val="auto"/>
        </w:rPr>
      </w:pPr>
    </w:p>
    <w:p>
      <w:pPr>
        <w:ind w:left="4" w:right="400" w:hanging="4"/>
        <w:spacing w:after="0" w:line="260" w:lineRule="auto"/>
        <w:tabs>
          <w:tab w:leader="none" w:pos="2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allocation provided by clause (i) above is not permitted by applicable law, such proportion as is appropriate to reflect not only the relative benefits referred to in clause (i) above but also the relative fault of the Company on the one hand and of the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32" w:name="page33"/>
    <w:bookmarkEnd w:id="3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440" w:right="140" w:firstLine="419"/>
        <w:spacing w:after="0" w:line="263" w:lineRule="auto"/>
        <w:tabs>
          <w:tab w:leader="none" w:pos="11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8"/>
          <w:szCs w:val="18"/>
          <w:color w:val="auto"/>
        </w:rPr>
      </w:pPr>
    </w:p>
    <w:p>
      <w:pPr>
        <w:ind w:left="440" w:right="40" w:firstLine="419"/>
        <w:spacing w:after="0" w:line="254" w:lineRule="auto"/>
        <w:tabs>
          <w:tab w:leader="none" w:pos="11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IX.</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34" w:name="page35"/>
    <w:bookmarkEnd w:id="34"/>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5" w:name="page36"/>
    <w:bookmarkEnd w:id="35"/>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58" w:lineRule="exact"/>
        <w:rPr>
          <w:sz w:val="20"/>
          <w:szCs w:val="20"/>
          <w:color w:val="auto"/>
        </w:rPr>
      </w:pPr>
    </w:p>
    <w:p>
      <w:pPr>
        <w:ind w:left="1100" w:hanging="241"/>
        <w:spacing w:after="0"/>
        <w:tabs>
          <w:tab w:leader="none" w:pos="11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“BHC Act Affiliate” has the meaning assigned to the term “affiliate” in, and shall be interpreted in accordance with, 12 U.S.C. §</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1841(k);</w:t>
      </w:r>
    </w:p>
    <w:p>
      <w:pPr>
        <w:spacing w:after="0" w:line="102" w:lineRule="exact"/>
        <w:rPr>
          <w:rFonts w:ascii="Arial" w:cs="Arial" w:eastAsia="Arial" w:hAnsi="Arial"/>
          <w:sz w:val="17"/>
          <w:szCs w:val="17"/>
          <w:color w:val="auto"/>
        </w:rPr>
      </w:pPr>
    </w:p>
    <w:p>
      <w:pPr>
        <w:jc w:val="both"/>
        <w:ind w:left="440" w:right="340" w:firstLine="419"/>
        <w:spacing w:after="0" w:line="263" w:lineRule="auto"/>
        <w:tabs>
          <w:tab w:leader="none" w:pos="11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75" w:lineRule="exact"/>
        <w:rPr>
          <w:rFonts w:ascii="Arial" w:cs="Arial" w:eastAsia="Arial" w:hAnsi="Arial"/>
          <w:sz w:val="18"/>
          <w:szCs w:val="18"/>
          <w:color w:val="auto"/>
        </w:rPr>
      </w:pPr>
    </w:p>
    <w:p>
      <w:pPr>
        <w:ind w:left="440" w:firstLine="419"/>
        <w:spacing w:after="0" w:line="277" w:lineRule="auto"/>
        <w:tabs>
          <w:tab w:leader="none" w:pos="11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“Default Right” has the meaning assigned to that term in, and shall be interpreted in accordance with, 12 C.F.R. §§ 252.81, 47.2 or 382.1, as applicable;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5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BE GOVERNED BY AND CONSTRUED IN ACCORDANCE WITH THE LAWS OF THE STATE OF NEW YORK.</w:t>
      </w:r>
    </w:p>
    <w:p>
      <w:pPr>
        <w:sectPr>
          <w:pgSz w:w="11900" w:h="16838" w:orient="portrait"/>
          <w:cols w:equalWidth="0" w:num="1">
            <w:col w:w="10880"/>
          </w:cols>
          <w:pgMar w:left="440" w:top="274" w:right="579" w:bottom="1440" w:gutter="0" w:footer="0" w:header="0"/>
        </w:sectPr>
      </w:pP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880"/>
          </w:cols>
          <w:pgMar w:left="440" w:top="274" w:right="57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18, 2022</w:t>
      </w:r>
    </w:p>
    <w:p>
      <w:pPr>
        <w:spacing w:after="0" w:line="22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Reference is made to the Indenture dated as of May 23, 2011 (the “</w:t>
      </w:r>
      <w:r>
        <w:rPr>
          <w:rFonts w:ascii="Arial" w:cs="Arial" w:eastAsia="Arial" w:hAnsi="Arial"/>
          <w:sz w:val="18"/>
          <w:szCs w:val="18"/>
          <w:b w:val="1"/>
          <w:bCs w:val="1"/>
          <w:color w:val="auto"/>
        </w:rPr>
        <w:t>Indenture</w:t>
      </w:r>
      <w:r>
        <w:rPr>
          <w:rFonts w:ascii="Arial" w:cs="Arial" w:eastAsia="Arial" w:hAnsi="Arial"/>
          <w:sz w:val="18"/>
          <w:szCs w:val="18"/>
          <w:color w:val="auto"/>
        </w:rPr>
        <w:t>”) by and between 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and U.S. Bank Trust Company, National Association, as successor in interest to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The Trustee is the trustee for any and all securities issued under the Indenture. Pursuant to Section 2.04(c) of the Indenture, the undersigned officers do hereby certify, in connection with the issuance of $300,000,000 aggregate principal amount of 4.700% Notes due 2024 (the “</w:t>
      </w:r>
      <w:r>
        <w:rPr>
          <w:rFonts w:ascii="Arial" w:cs="Arial" w:eastAsia="Arial" w:hAnsi="Arial"/>
          <w:sz w:val="18"/>
          <w:szCs w:val="18"/>
          <w:b w:val="1"/>
          <w:bCs w:val="1"/>
          <w:color w:val="auto"/>
        </w:rPr>
        <w:t>2024 Notes</w:t>
      </w:r>
      <w:r>
        <w:rPr>
          <w:rFonts w:ascii="Arial" w:cs="Arial" w:eastAsia="Arial" w:hAnsi="Arial"/>
          <w:sz w:val="18"/>
          <w:szCs w:val="18"/>
          <w:color w:val="auto"/>
        </w:rPr>
        <w:t>”) and $500,000,000 aggregate principal amount of 4.600% Notes due 2028 (the “</w:t>
      </w:r>
      <w:r>
        <w:rPr>
          <w:rFonts w:ascii="Arial" w:cs="Arial" w:eastAsia="Arial" w:hAnsi="Arial"/>
          <w:sz w:val="18"/>
          <w:szCs w:val="18"/>
          <w:b w:val="1"/>
          <w:bCs w:val="1"/>
          <w:color w:val="auto"/>
        </w:rPr>
        <w:t>2028 Notes</w:t>
      </w:r>
      <w:r>
        <w:rPr>
          <w:rFonts w:ascii="Arial" w:cs="Arial" w:eastAsia="Arial" w:hAnsi="Arial"/>
          <w:sz w:val="18"/>
          <w:szCs w:val="18"/>
          <w:color w:val="auto"/>
        </w:rPr>
        <w:t>” and, together with the 2024 Notes, the “</w:t>
      </w:r>
      <w:r>
        <w:rPr>
          <w:rFonts w:ascii="Arial" w:cs="Arial" w:eastAsia="Arial" w:hAnsi="Arial"/>
          <w:sz w:val="18"/>
          <w:szCs w:val="18"/>
          <w:b w:val="1"/>
          <w:bCs w:val="1"/>
          <w:color w:val="auto"/>
        </w:rPr>
        <w:t>Notes</w:t>
      </w:r>
      <w:r>
        <w:rPr>
          <w:rFonts w:ascii="Arial" w:cs="Arial" w:eastAsia="Arial" w:hAnsi="Arial"/>
          <w:sz w:val="18"/>
          <w:szCs w:val="18"/>
          <w:color w:val="auto"/>
        </w:rPr>
        <w:t>”), that (i) the form and terms of the Notes have been established pursuant to Section 2.01 and Section 2.03 of the Indenture and comply with the Indenture, and (ii) the terms of the Notes are as follows: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2024 Notes</w:t>
      </w:r>
    </w:p>
    <w:p>
      <w:pPr>
        <w:sectPr>
          <w:pgSz w:w="11900" w:h="16838" w:orient="portrait"/>
          <w:cols w:equalWidth="0" w:num="1">
            <w:col w:w="11020"/>
          </w:cols>
          <w:pgMar w:left="440" w:top="121"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4.700% Notes due 2024.</w:t>
      </w:r>
    </w:p>
    <w:p>
      <w:pPr>
        <w:spacing w:after="0" w:line="151" w:lineRule="exact"/>
        <w:rPr>
          <w:sz w:val="20"/>
          <w:szCs w:val="20"/>
          <w:color w:val="auto"/>
        </w:rPr>
      </w:pPr>
    </w:p>
    <w:p>
      <w:pPr>
        <w:sectPr>
          <w:pgSz w:w="11900" w:h="16838" w:orient="portrait"/>
          <w:cols w:equalWidth="0" w:num="2">
            <w:col w:w="3480" w:space="720"/>
            <w:col w:w="6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Instruments Incorporated.</w:t>
      </w:r>
    </w:p>
    <w:p>
      <w:pPr>
        <w:spacing w:after="0" w:line="140" w:lineRule="exact"/>
        <w:rPr>
          <w:sz w:val="20"/>
          <w:szCs w:val="20"/>
          <w:color w:val="auto"/>
        </w:rPr>
      </w:pPr>
    </w:p>
    <w:p>
      <w:pPr>
        <w:sectPr>
          <w:pgSz w:w="11900" w:h="16838" w:orient="portrait"/>
          <w:cols w:equalWidth="0" w:num="2">
            <w:col w:w="3480" w:space="720"/>
            <w:col w:w="6820"/>
          </w:cols>
          <w:pgMar w:left="440" w:top="121" w:right="439" w:bottom="1440" w:gutter="0" w:footer="0" w:header="0"/>
          <w:type w:val="continuous"/>
        </w:sectPr>
      </w:pPr>
    </w:p>
    <w:p>
      <w:pPr>
        <w:spacing w:after="0" w:line="277"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ind w:right="620"/>
        <w:spacing w:after="0" w:line="277" w:lineRule="auto"/>
        <w:rPr>
          <w:sz w:val="20"/>
          <w:szCs w:val="20"/>
          <w:color w:val="auto"/>
        </w:rPr>
      </w:pPr>
      <w:r>
        <w:rPr>
          <w:rFonts w:ascii="Arial" w:cs="Arial" w:eastAsia="Arial" w:hAnsi="Arial"/>
          <w:sz w:val="18"/>
          <w:szCs w:val="18"/>
          <w:color w:val="auto"/>
        </w:rPr>
        <w:t>U.S. Bank Trust Company, National Association, as successor in interest to U.S. Bank National Association.</w:t>
      </w:r>
    </w:p>
    <w:p>
      <w:pPr>
        <w:spacing w:after="0" w:line="62" w:lineRule="exact"/>
        <w:rPr>
          <w:sz w:val="20"/>
          <w:szCs w:val="20"/>
          <w:color w:val="auto"/>
        </w:rPr>
      </w:pPr>
    </w:p>
    <w:p>
      <w:pPr>
        <w:sectPr>
          <w:pgSz w:w="11900" w:h="16838" w:orient="portrait"/>
          <w:cols w:equalWidth="0" w:num="2">
            <w:col w:w="3580" w:space="620"/>
            <w:col w:w="6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$300,000,000.</w:t>
      </w:r>
    </w:p>
    <w:p>
      <w:pPr>
        <w:spacing w:after="0" w:line="151" w:lineRule="exact"/>
        <w:rPr>
          <w:sz w:val="20"/>
          <w:szCs w:val="20"/>
          <w:color w:val="auto"/>
        </w:rPr>
      </w:pPr>
    </w:p>
    <w:p>
      <w:pPr>
        <w:sectPr>
          <w:pgSz w:w="11900" w:h="16838" w:orient="portrait"/>
          <w:cols w:equalWidth="0" w:num="2">
            <w:col w:w="3480" w:space="720"/>
            <w:col w:w="682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18, 2024.</w:t>
      </w:r>
    </w:p>
    <w:p>
      <w:pPr>
        <w:spacing w:after="0" w:line="140" w:lineRule="exact"/>
        <w:rPr>
          <w:sz w:val="20"/>
          <w:szCs w:val="20"/>
          <w:color w:val="auto"/>
        </w:rPr>
      </w:pPr>
    </w:p>
    <w:p>
      <w:pPr>
        <w:sectPr>
          <w:pgSz w:w="11900" w:h="16838" w:orient="portrait"/>
          <w:cols w:equalWidth="0" w:num="2">
            <w:col w:w="3480" w:space="720"/>
            <w:col w:w="6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4.700% per annum.</w:t>
      </w:r>
    </w:p>
    <w:p>
      <w:pPr>
        <w:spacing w:after="0" w:line="140" w:lineRule="exact"/>
        <w:rPr>
          <w:sz w:val="20"/>
          <w:szCs w:val="20"/>
          <w:color w:val="auto"/>
        </w:rPr>
      </w:pPr>
    </w:p>
    <w:p>
      <w:pPr>
        <w:sectPr>
          <w:pgSz w:w="11900" w:h="16838" w:orient="portrait"/>
          <w:cols w:equalWidth="0" w:num="2">
            <w:col w:w="3480" w:space="720"/>
            <w:col w:w="6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18, 2022.</w:t>
      </w:r>
    </w:p>
    <w:p>
      <w:pPr>
        <w:spacing w:after="0" w:line="140" w:lineRule="exact"/>
        <w:rPr>
          <w:sz w:val="20"/>
          <w:szCs w:val="20"/>
          <w:color w:val="auto"/>
        </w:rPr>
      </w:pPr>
    </w:p>
    <w:p>
      <w:pPr>
        <w:sectPr>
          <w:pgSz w:w="11900" w:h="16838" w:orient="portrait"/>
          <w:cols w:equalWidth="0" w:num="2">
            <w:col w:w="3480" w:space="720"/>
            <w:col w:w="6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18 and November 18, commencing on May 18, 2023, and on the maturity date.</w:t>
      </w:r>
    </w:p>
    <w:p>
      <w:pPr>
        <w:spacing w:after="0" w:line="140" w:lineRule="exact"/>
        <w:rPr>
          <w:sz w:val="20"/>
          <w:szCs w:val="20"/>
          <w:color w:val="auto"/>
        </w:rPr>
      </w:pPr>
    </w:p>
    <w:p>
      <w:pPr>
        <w:sectPr>
          <w:pgSz w:w="11900" w:h="16838" w:orient="portrait"/>
          <w:cols w:equalWidth="0" w:num="2">
            <w:col w:w="3480" w:space="720"/>
            <w:col w:w="6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Redemption:</w:t>
      </w:r>
    </w:p>
    <w:p>
      <w:pPr>
        <w:spacing w:after="0" w:line="20" w:lineRule="exact"/>
        <w:rPr>
          <w:sz w:val="20"/>
          <w:szCs w:val="20"/>
          <w:color w:val="auto"/>
        </w:rPr>
      </w:pPr>
      <w:r>
        <w:rPr>
          <w:sz w:val="20"/>
          <w:szCs w:val="20"/>
          <w:color w:val="auto"/>
        </w:rPr>
        <w:br w:type="column"/>
      </w:r>
    </w:p>
    <w:p>
      <w:pPr>
        <w:jc w:val="both"/>
        <w:ind w:right="360"/>
        <w:spacing w:after="0" w:line="263" w:lineRule="auto"/>
        <w:rPr>
          <w:sz w:val="20"/>
          <w:szCs w:val="20"/>
          <w:color w:val="auto"/>
        </w:rPr>
      </w:pPr>
      <w:r>
        <w:rPr>
          <w:rFonts w:ascii="Arial" w:cs="Arial" w:eastAsia="Arial" w:hAnsi="Arial"/>
          <w:sz w:val="18"/>
          <w:szCs w:val="18"/>
          <w:color w:val="auto"/>
        </w:rPr>
        <w:t>Prior to their maturity date, the 2024 Notes will be redeemable, in whole or in part at any time, or from time to time, at the Issuer’s option, at a “make-whole premium” redemption price calculated by the Issuer equal to the greater of:</w:t>
      </w:r>
    </w:p>
    <w:p>
      <w:pPr>
        <w:sectPr>
          <w:pgSz w:w="11900" w:h="16838" w:orient="portrait"/>
          <w:cols w:equalWidth="0" w:num="2">
            <w:col w:w="3480" w:space="720"/>
            <w:col w:w="6820"/>
          </w:cols>
          <w:pgMar w:left="440" w:top="121" w:right="439" w:bottom="1440" w:gutter="0" w:footer="0" w:header="0"/>
          <w:type w:val="continuous"/>
        </w:sectPr>
      </w:pPr>
    </w:p>
    <w:bookmarkStart w:id="38" w:name="page39"/>
    <w:bookmarkEnd w:id="38"/>
    <w:p>
      <w:pPr>
        <w:ind w:left="3200" w:right="300" w:hanging="6"/>
        <w:spacing w:after="0" w:line="291" w:lineRule="auto"/>
        <w:tabs>
          <w:tab w:leader="none" w:pos="3455"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sum of the present values of the remaining scheduled payments of principal and interest thereon discounted to the redemption date on a semi-annual basis (assuming a</w:t>
      </w:r>
    </w:p>
    <w:p>
      <w:pPr>
        <w:ind w:left="3200"/>
        <w:spacing w:after="0" w:line="253" w:lineRule="auto"/>
        <w:rPr>
          <w:rFonts w:ascii="Arial" w:cs="Arial" w:eastAsia="Arial" w:hAnsi="Arial"/>
          <w:sz w:val="16"/>
          <w:szCs w:val="16"/>
          <w:color w:val="auto"/>
        </w:rPr>
      </w:pPr>
      <w:r>
        <w:rPr>
          <w:rFonts w:ascii="Arial" w:cs="Arial" w:eastAsia="Arial" w:hAnsi="Arial"/>
          <w:sz w:val="18"/>
          <w:szCs w:val="18"/>
          <w:color w:val="auto"/>
        </w:rPr>
        <w:t>360-day year consisting of twelve 30-day months) at the Treasury Rate plus 7.5 basis points less (b) interest accrued to the date of redemption, and (2) 100% of the principal amount of the 2024 Notes to be redeemed, plus, in either case, accrued and unpaid interest thereon to the redemption date.</w:t>
      </w:r>
    </w:p>
    <w:p>
      <w:pPr>
        <w:spacing w:after="0" w:line="98" w:lineRule="exact"/>
        <w:rPr>
          <w:sz w:val="20"/>
          <w:szCs w:val="20"/>
          <w:color w:val="auto"/>
        </w:rPr>
      </w:pPr>
    </w:p>
    <w:p>
      <w:pPr>
        <w:ind w:left="3200" w:right="260"/>
        <w:spacing w:after="0" w:line="259" w:lineRule="auto"/>
        <w:rPr>
          <w:sz w:val="20"/>
          <w:szCs w:val="20"/>
          <w:color w:val="auto"/>
        </w:rPr>
      </w:pPr>
      <w:r>
        <w:rPr>
          <w:rFonts w:ascii="Arial" w:cs="Arial" w:eastAsia="Arial" w:hAnsi="Arial"/>
          <w:sz w:val="18"/>
          <w:szCs w:val="18"/>
          <w:color w:val="auto"/>
        </w:rPr>
        <w:t>The Issuer will deliver to the Trustee at least 15 days prior to the date on which notice of a redemption is mailed to holders of the 2024 Notes (unless a shorter time period shall be acceptable to the Trustee) an Officers’ Certificate stating the aggregate principal amount of 2024 Notes.</w:t>
      </w:r>
    </w:p>
    <w:p>
      <w:pPr>
        <w:spacing w:after="0" w:line="92" w:lineRule="exact"/>
        <w:rPr>
          <w:sz w:val="20"/>
          <w:szCs w:val="20"/>
          <w:color w:val="auto"/>
        </w:rPr>
      </w:pPr>
    </w:p>
    <w:p>
      <w:pPr>
        <w:ind w:left="3200" w:right="80"/>
        <w:spacing w:after="0" w:line="289" w:lineRule="auto"/>
        <w:rPr>
          <w:sz w:val="20"/>
          <w:szCs w:val="20"/>
          <w:color w:val="auto"/>
        </w:rPr>
      </w:pPr>
      <w:r>
        <w:rPr>
          <w:rFonts w:ascii="Arial" w:cs="Arial" w:eastAsia="Arial" w:hAnsi="Arial"/>
          <w:sz w:val="16"/>
          <w:szCs w:val="16"/>
          <w:color w:val="auto"/>
        </w:rPr>
        <w:t>Notice of any redemption will be mailed or electronically delivered (or otherwise transmitted in accordance with the Depositary’s procedures) at least 10 days but not more than 60 days before the redemption date to each Holder of the 2024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72" w:lineRule="exact"/>
        <w:rPr>
          <w:sz w:val="20"/>
          <w:szCs w:val="20"/>
          <w:color w:val="auto"/>
        </w:rPr>
      </w:pPr>
    </w:p>
    <w:p>
      <w:pPr>
        <w:ind w:left="3200"/>
        <w:spacing w:after="0" w:line="293" w:lineRule="auto"/>
        <w:rPr>
          <w:sz w:val="20"/>
          <w:szCs w:val="20"/>
          <w:color w:val="auto"/>
        </w:rPr>
      </w:pPr>
      <w:r>
        <w:rPr>
          <w:rFonts w:ascii="Arial" w:cs="Arial" w:eastAsia="Arial" w:hAnsi="Arial"/>
          <w:sz w:val="16"/>
          <w:szCs w:val="16"/>
          <w:color w:val="auto"/>
        </w:rPr>
        <w:t>In the case of a partial redemption, selection of the 2024 Notes for redemption will be made pro rata, by lot or by such other method as the Trustee in its sole discretion deems appropriate and fair. No 2024 Note of a principal amount of $2,000 or less will be redeemed in part. If any 2024 Note is to be redeemed in part only, the notice of redemption that relates to such Note will state the portion of the principal amount of such Note to be redeemed. A new Note in a principal amount equal to the unredeemed portion of the Note</w:t>
      </w:r>
    </w:p>
    <w:p>
      <w:pPr>
        <w:sectPr>
          <w:pgSz w:w="11900" w:h="16838" w:orient="portrait"/>
          <w:cols w:equalWidth="0" w:num="1">
            <w:col w:w="10000"/>
          </w:cols>
          <w:pgMar w:left="1440" w:top="274" w:right="45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Sinking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2028 Notes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Principal Amount at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 Call Date:</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will be issued in the name of the holder of the 2024 Note upon surrender for cancellation of the original Note. For so long as the 2024 Notes are held by DTC (or another Depositary), the redemption of the 2024 Notes shall be done in accordance with the policies and procedures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-652145</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Unless the Issuer defaults in payment of the redemption price, on and after the redemption date, interest will cease to accrue on the 2024 Notes or portions thereof called for redemption.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in excess thereof.</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terms of the 2024 Notes shall include such other terms as are set forth in the form of 2024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 the Indenture.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4.600% Notes due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U.S. Bank Trust Company, National Association, as successor in interest to U.S. Bank National Association.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4.600%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18,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February 15 and August 15, commencing on February 15, 2023, and on the maturity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January 15, 2028 (one month before the maturity date).</w:t>
      </w:r>
    </w:p>
    <w:p>
      <w:pPr>
        <w:sectPr>
          <w:pgSz w:w="11900" w:h="16838" w:orient="portrait"/>
          <w:cols w:equalWidth="0" w:num="2">
            <w:col w:w="3580" w:space="620"/>
            <w:col w:w="6780"/>
          </w:cols>
          <w:pgMar w:left="440" w:top="274" w:right="479" w:bottom="1440" w:gutter="0" w:footer="0" w:header="0"/>
        </w:sectPr>
      </w:pPr>
    </w:p>
    <w:bookmarkStart w:id="40" w:name="page41"/>
    <w:bookmarkEnd w:id="40"/>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Prior to the Par Call Date, the 2028 Notes will be redeemable, in whole or in part at any time, or from time to time, at the Issuer’s option, at a “make-whole premium” redemption price calculated by the Issuer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-516890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480" w:space="720"/>
            <w:col w:w="6720"/>
          </w:cols>
          <w:pgMar w:left="440" w:top="274" w:right="539" w:bottom="1440" w:gutter="0" w:footer="0" w:header="0"/>
        </w:sectPr>
      </w:pPr>
    </w:p>
    <w:p>
      <w:pPr>
        <w:ind w:left="4200" w:right="20"/>
        <w:spacing w:after="0" w:line="293" w:lineRule="auto"/>
        <w:rPr>
          <w:sz w:val="20"/>
          <w:szCs w:val="20"/>
          <w:color w:val="auto"/>
        </w:rPr>
      </w:pPr>
      <w:r>
        <w:rPr>
          <w:rFonts w:ascii="Arial" w:cs="Arial" w:eastAsia="Arial" w:hAnsi="Arial"/>
          <w:sz w:val="16"/>
          <w:szCs w:val="16"/>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12.5 basis points less (b) interest accrued to the date of redemption, and (2) 100% of the principal amount of the 2028 Notes to be redeemed, plus, in either case, accrued and unpaid interest thereon to the redemption date.</w:t>
      </w:r>
    </w:p>
    <w:p>
      <w:pPr>
        <w:spacing w:after="0" w:line="70" w:lineRule="exact"/>
        <w:rPr>
          <w:sz w:val="20"/>
          <w:szCs w:val="20"/>
          <w:color w:val="auto"/>
        </w:rPr>
      </w:pPr>
    </w:p>
    <w:p>
      <w:pPr>
        <w:ind w:left="4200"/>
        <w:spacing w:after="0" w:line="259" w:lineRule="auto"/>
        <w:rPr>
          <w:sz w:val="20"/>
          <w:szCs w:val="20"/>
          <w:color w:val="auto"/>
        </w:rPr>
      </w:pPr>
      <w:r>
        <w:rPr>
          <w:rFonts w:ascii="Arial" w:cs="Arial" w:eastAsia="Arial" w:hAnsi="Arial"/>
          <w:sz w:val="18"/>
          <w:szCs w:val="18"/>
          <w:color w:val="auto"/>
        </w:rPr>
        <w:t>On or after the Par Call Date, the Issuer may redeem the 2028 Notes, in whole or in part, at any time and from time to time, at a redemption price equal to 100% of the principal amount of the 2028 Notes being redeemed plus accrued and unpaid interest thereon to the redemption date.</w:t>
      </w:r>
    </w:p>
    <w:p>
      <w:pPr>
        <w:spacing w:after="0" w:line="92" w:lineRule="exact"/>
        <w:rPr>
          <w:sz w:val="20"/>
          <w:szCs w:val="20"/>
          <w:color w:val="auto"/>
        </w:rPr>
      </w:pPr>
    </w:p>
    <w:p>
      <w:pPr>
        <w:ind w:left="4200" w:right="180"/>
        <w:spacing w:after="0" w:line="259" w:lineRule="auto"/>
        <w:rPr>
          <w:sz w:val="20"/>
          <w:szCs w:val="20"/>
          <w:color w:val="auto"/>
        </w:rPr>
      </w:pPr>
      <w:r>
        <w:rPr>
          <w:rFonts w:ascii="Arial" w:cs="Arial" w:eastAsia="Arial" w:hAnsi="Arial"/>
          <w:sz w:val="18"/>
          <w:szCs w:val="18"/>
          <w:color w:val="auto"/>
        </w:rPr>
        <w:t>The Issuer will deliver to the Trustee at least 15 days prior to the date on which notice of a redemption is mailed to holders of the 2028 Notes (unless a shorter time period shall be acceptable to the Trustee) an Officers’ Certificate stating the aggregate principal amount of 2028 Notes.</w:t>
      </w:r>
    </w:p>
    <w:p>
      <w:pPr>
        <w:spacing w:after="0" w:line="92" w:lineRule="exact"/>
        <w:rPr>
          <w:sz w:val="20"/>
          <w:szCs w:val="20"/>
          <w:color w:val="auto"/>
        </w:rPr>
      </w:pPr>
    </w:p>
    <w:p>
      <w:pPr>
        <w:ind w:left="4200"/>
        <w:spacing w:after="0" w:line="289" w:lineRule="auto"/>
        <w:rPr>
          <w:sz w:val="20"/>
          <w:szCs w:val="20"/>
          <w:color w:val="auto"/>
        </w:rPr>
      </w:pPr>
      <w:r>
        <w:rPr>
          <w:rFonts w:ascii="Arial" w:cs="Arial" w:eastAsia="Arial" w:hAnsi="Arial"/>
          <w:sz w:val="16"/>
          <w:szCs w:val="16"/>
          <w:color w:val="auto"/>
        </w:rPr>
        <w:t>Notice of any redemption will be mailed or electronically delivered (or otherwise transmitted in accordance with the Depositary’s procedures) at least 10 days but not more than 60 days before the redemption date to each Holder of the 2028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ectPr>
          <w:pgSz w:w="11900" w:h="16838" w:orient="portrait"/>
          <w:cols w:equalWidth="0" w:num="1">
            <w:col w:w="10920"/>
          </w:cols>
          <w:pgMar w:left="440" w:top="274" w:right="539" w:bottom="1440" w:gutter="0" w:footer="0" w:header="0"/>
          <w:type w:val="continuous"/>
        </w:sectPr>
      </w:pPr>
    </w:p>
    <w:bookmarkStart w:id="41" w:name="page42"/>
    <w:bookmarkEnd w:id="41"/>
    <w:p>
      <w:pPr>
        <w:ind w:left="42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2028 Notes for redemption will be made pro rata, by lot or by such other method as the Trustee in its sole discretion deems appropriate and fair. No 2028 Note of a principal amount of $2,000 or less will be redeemed in part. If any 2028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2028 Note upon surrender for cancellation of the original Note. For so long as the 2028 Notes are held by DTC (or another Depositary), the redemption of the 2028 Notes shall be done in accordance with the policies and procedures of the Depositary.</w:t>
      </w:r>
    </w:p>
    <w:p>
      <w:pPr>
        <w:spacing w:after="0" w:line="72" w:lineRule="exact"/>
        <w:rPr>
          <w:sz w:val="20"/>
          <w:szCs w:val="20"/>
          <w:color w:val="auto"/>
        </w:rPr>
      </w:pPr>
    </w:p>
    <w:p>
      <w:pPr>
        <w:ind w:left="4200" w:right="40"/>
        <w:spacing w:after="0" w:line="342" w:lineRule="auto"/>
        <w:rPr>
          <w:sz w:val="20"/>
          <w:szCs w:val="20"/>
          <w:color w:val="auto"/>
        </w:rPr>
      </w:pPr>
      <w:r>
        <w:rPr>
          <w:rFonts w:ascii="Arial" w:cs="Arial" w:eastAsia="Arial" w:hAnsi="Arial"/>
          <w:sz w:val="16"/>
          <w:szCs w:val="16"/>
          <w:color w:val="auto"/>
        </w:rPr>
        <w:t>Unless the Issuer defaults in payment of the redemption price, on and after the redemption date, interest will cease to accrue on the 2028 Notes or portions thereof called for redemption.</w:t>
      </w:r>
    </w:p>
    <w:p>
      <w:pPr>
        <w:sectPr>
          <w:pgSz w:w="11900" w:h="16838" w:orient="portrait"/>
          <w:cols w:equalWidth="0" w:num="1">
            <w:col w:w="11000"/>
          </w:cols>
          <w:pgMar w:left="440" w:top="274" w:right="45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480" w:space="720"/>
            <w:col w:w="6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480" w:space="720"/>
            <w:col w:w="6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3480" w:space="720"/>
            <w:col w:w="6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 xml:space="preserve">The terms of the 2028 Notes shall include such other terms as are set forth in the form of 2028 Notes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in the Indenture.</w:t>
      </w:r>
    </w:p>
    <w:p>
      <w:pPr>
        <w:spacing w:after="0" w:line="170" w:lineRule="exact"/>
        <w:rPr>
          <w:sz w:val="20"/>
          <w:szCs w:val="20"/>
          <w:color w:val="auto"/>
        </w:rPr>
      </w:pPr>
    </w:p>
    <w:p>
      <w:pPr>
        <w:sectPr>
          <w:pgSz w:w="11900" w:h="16838" w:orient="portrait"/>
          <w:cols w:equalWidth="0" w:num="2">
            <w:col w:w="3480" w:space="720"/>
            <w:col w:w="6800"/>
          </w:cols>
          <w:pgMar w:left="440" w:top="274" w:right="459" w:bottom="1440" w:gutter="0" w:footer="0" w:header="0"/>
          <w:type w:val="continuous"/>
        </w:sectPr>
      </w:pPr>
    </w:p>
    <w:p>
      <w:pPr>
        <w:ind w:right="120" w:firstLine="440"/>
        <w:spacing w:after="0" w:line="272" w:lineRule="auto"/>
        <w:rPr>
          <w:sz w:val="20"/>
          <w:szCs w:val="20"/>
          <w:color w:val="auto"/>
        </w:rPr>
      </w:pPr>
      <w:r>
        <w:rPr>
          <w:rFonts w:ascii="Arial" w:cs="Arial" w:eastAsia="Arial" w:hAnsi="Arial"/>
          <w:sz w:val="17"/>
          <w:szCs w:val="17"/>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2024 Notes or the 2028 Notes, as the case may be, other than with respect to the date of issuance, the issue price and interest accrued prior to the issue date of the additional notes (together, the “</w:t>
      </w:r>
      <w:r>
        <w:rPr>
          <w:rFonts w:ascii="Arial" w:cs="Arial" w:eastAsia="Arial" w:hAnsi="Arial"/>
          <w:sz w:val="17"/>
          <w:szCs w:val="17"/>
          <w:b w:val="1"/>
          <w:bCs w:val="1"/>
          <w:color w:val="auto"/>
        </w:rPr>
        <w:t>Additional Notes</w:t>
      </w:r>
      <w:r>
        <w:rPr>
          <w:rFonts w:ascii="Arial" w:cs="Arial" w:eastAsia="Arial" w:hAnsi="Arial"/>
          <w:sz w:val="17"/>
          <w:szCs w:val="17"/>
          <w:color w:val="auto"/>
        </w:rPr>
        <w:t xml:space="preserve">”). The Additional Notes of a series will have the same CUSIP number as the applicable series of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Additional Notes that are not fungible with the applicable series of Notes for U.S. federal income tax purposes will be issued under a separate CUSIP number. Any Additional Notes will be issued in accordance with Section 2.03 of the Indenture.</w:t>
      </w:r>
    </w:p>
    <w:p>
      <w:pPr>
        <w:sectPr>
          <w:pgSz w:w="11900" w:h="16838" w:orient="portrait"/>
          <w:cols w:equalWidth="0" w:num="1">
            <w:col w:w="11000"/>
          </w:cols>
          <w:pgMar w:left="440" w:top="274" w:right="459" w:bottom="1440" w:gutter="0" w:footer="0" w:header="0"/>
          <w:type w:val="continuous"/>
        </w:sectPr>
      </w:pPr>
    </w:p>
    <w:bookmarkStart w:id="42" w:name="page43"/>
    <w:bookmarkEnd w:id="42"/>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660"/>
          </w:cols>
          <w:pgMar w:left="880" w:top="274" w:right="1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2024]</w:t>
      </w:r>
    </w:p>
    <w:p>
      <w:pPr>
        <w:spacing w:after="0" w:line="225"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95"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70" w:right="4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4.700% Notes due 2024</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882508 BR4</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US882508BR48</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$[_______]</w:t>
      </w:r>
    </w:p>
    <w:p>
      <w:pPr>
        <w:spacing w:after="0" w:line="200" w:lineRule="exact"/>
        <w:rPr>
          <w:sz w:val="20"/>
          <w:szCs w:val="20"/>
          <w:color w:val="auto"/>
        </w:rPr>
      </w:pPr>
    </w:p>
    <w:p>
      <w:pPr>
        <w:sectPr>
          <w:pgSz w:w="11900" w:h="16838" w:orient="portrait"/>
          <w:cols w:equalWidth="0" w:num="2">
            <w:col w:w="8340" w:space="720"/>
            <w:col w:w="1960"/>
          </w:cols>
          <w:pgMar w:left="440" w:top="270" w:right="439" w:bottom="1440" w:gutter="0" w:footer="0" w:header="0"/>
          <w:type w:val="continuous"/>
        </w:sectPr>
      </w:pPr>
    </w:p>
    <w:p>
      <w:pPr>
        <w:spacing w:after="0" w:line="21"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$[_______] on November 18, 2024.</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May 18 and November 18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18,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May 3 and November 3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46" w:name="page47"/>
    <w:bookmarkEnd w:id="4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Vice President and Chief</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Financial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Edgar A. Morales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Global Note – 2024 Notes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18,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Global Note – 2024 Notes</w:t>
      </w:r>
      <w:r>
        <w:rPr>
          <w:rFonts w:ascii="Arial" w:cs="Arial" w:eastAsia="Arial" w:hAnsi="Arial"/>
          <w:sz w:val="18"/>
          <w:szCs w:val="18"/>
          <w:color w:val="auto"/>
        </w:rPr>
        <w:t>]</w:t>
      </w:r>
    </w:p>
    <w:p>
      <w:pPr>
        <w:sectPr>
          <w:pgSz w:w="11900" w:h="16838" w:orient="portrait"/>
          <w:cols w:equalWidth="0" w:num="1">
            <w:col w:w="10140"/>
          </w:cols>
          <w:pgMar w:left="440" w:top="274" w:right="131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4.700% Notes due 2024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November 18, 2022. Interest on this Note will be paid to but excluding the relevant Interest Payment Date. The Issuer will pay interest semi-annually in arrears on each Interest Payment Date, commencing May 18, 2023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Paying Agent.</w:t>
      </w:r>
    </w:p>
    <w:p>
      <w:pPr>
        <w:spacing w:after="0" w:line="113"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Initially, U.S. Bank Trust Company,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Indenture; Defined Terms.</w:t>
      </w:r>
    </w:p>
    <w:p>
      <w:pPr>
        <w:spacing w:after="0" w:line="11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This Note is one of the 4.700% Notes due 2024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November 18, 2022,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ectPr>
          <w:pgSz w:w="11900" w:h="16838" w:orient="portrait"/>
          <w:cols w:equalWidth="0" w:num="1">
            <w:col w:w="11000"/>
          </w:cols>
          <w:pgMar w:left="440" w:top="274" w:right="459" w:bottom="1440" w:gutter="0" w:footer="0" w:header="0"/>
        </w:sectPr>
      </w:pPr>
    </w:p>
    <w:bookmarkStart w:id="49" w:name="page50"/>
    <w:bookmarkEnd w:id="49"/>
    <w:p>
      <w:pPr>
        <w:ind w:left="440" w:right="40" w:firstLine="42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Denominations; Transfer; Exchange.</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Amendment; Supplement; Waiver.</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ectPr>
          <w:pgSz w:w="11900" w:h="16838" w:orient="portrait"/>
          <w:cols w:equalWidth="0" w:num="1">
            <w:col w:w="11000"/>
          </w:cols>
          <w:pgMar w:left="440" w:top="274" w:right="45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 Redemption.</w:t>
      </w:r>
    </w:p>
    <w:p>
      <w:pPr>
        <w:spacing w:after="0" w:line="117"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Prior to November 18, 2024 (their maturity date), the Issuer may redeem the Notes at its option, in whole or in part, at any time and from time to time, at a redemption price (expressed as a percentage of principal amount and rounded to three decimal places) equal to the greater of:</w:t>
      </w:r>
    </w:p>
    <w:p>
      <w:pPr>
        <w:spacing w:after="0" w:line="38" w:lineRule="exact"/>
        <w:rPr>
          <w:sz w:val="20"/>
          <w:szCs w:val="20"/>
          <w:color w:val="auto"/>
        </w:rPr>
      </w:pPr>
    </w:p>
    <w:p>
      <w:pPr>
        <w:ind w:right="480" w:firstLine="436"/>
        <w:spacing w:after="0" w:line="263"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the sum of the present values of the remaining scheduled payments of principal and interest thereon in each case discounted to the redemption date on a semi-annual basis (assuming a 360-day year consisting of twelve 30-day months) at the applicable Treasury Rate (as defined below) plus 7.5 basis points less (b) interest accrued to the date of redemption, and</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accrued and unpaid interest thereon to the redemption date.</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Rate</w:t>
      </w:r>
      <w:r>
        <w:rPr>
          <w:rFonts w:ascii="Arial" w:cs="Arial" w:eastAsia="Arial" w:hAnsi="Arial"/>
          <w:sz w:val="16"/>
          <w:szCs w:val="16"/>
          <w:color w:val="auto"/>
        </w:rPr>
        <w:t>” means, with respect to any redemption date, the yield determined by the Issuer in accordance with the following two paragraphs.</w:t>
      </w:r>
    </w:p>
    <w:p>
      <w:pPr>
        <w:spacing w:after="0" w:line="252"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 – Treasury constant maturities – 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Issuer shall select, as applicable: (1) the yield for the Treasury constant maturity on H.15 exactly equal to the period from the redemption date to the maturity date for the Notes,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maturity date for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maturity date for the Notes. If there is no United States Treasury security maturing on the maturity date for the Notes but there are two or more United States Treasury securities with a maturity date equally distant from the maturity date for the Notes, one with a maturity date preceding the maturity date and one with a maturity date following the maturity date for the Notes, the Issuer shall select the United States Treasury</w:t>
      </w:r>
    </w:p>
    <w:p>
      <w:pPr>
        <w:sectPr>
          <w:pgSz w:w="11900" w:h="16838" w:orient="portrait"/>
          <w:cols w:equalWidth="0" w:num="1">
            <w:col w:w="11000"/>
          </w:cols>
          <w:pgMar w:left="440" w:top="274" w:right="459" w:bottom="1440" w:gutter="0" w:footer="0" w:header="0"/>
        </w:sectPr>
      </w:pPr>
    </w:p>
    <w:bookmarkStart w:id="51" w:name="page52"/>
    <w:bookmarkEnd w:id="51"/>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with a maturity date preceding the maturity date for the Notes. If there are two or more United States Treasury securities maturing on the maturity date for the Notes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Notes or portions thereof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Defaults and Remedies.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ectPr>
          <w:pgSz w:w="11900" w:h="16838" w:orient="portrait"/>
          <w:cols w:equalWidth="0" w:num="1">
            <w:col w:w="11000"/>
          </w:cols>
          <w:pgMar w:left="440" w:top="274" w:right="459" w:bottom="1440" w:gutter="0" w:footer="0" w:header="0"/>
        </w:sectPr>
      </w:pPr>
    </w:p>
    <w:bookmarkStart w:id="52" w:name="page53"/>
    <w:bookmarkEnd w:id="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Abbreviations and Defined Terms.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CUSIP Numbers.</w:t>
      </w:r>
    </w:p>
    <w:p>
      <w:pPr>
        <w:spacing w:after="0" w:line="117" w:lineRule="exact"/>
        <w:rPr>
          <w:sz w:val="20"/>
          <w:szCs w:val="20"/>
          <w:color w:val="auto"/>
        </w:rPr>
      </w:pPr>
    </w:p>
    <w:p>
      <w:pPr>
        <w:jc w:val="both"/>
        <w:ind w:right="44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0940"/>
          </w:cols>
          <w:pgMar w:left="440" w:top="274" w:right="5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1500" w:type="dxa"/>
            <w:vAlign w:val="bottom"/>
          </w:tcPr>
          <w:p>
            <w:pPr>
              <w:spacing w:after="0"/>
              <w:rPr>
                <w:sz w:val="18"/>
                <w:szCs w:val="18"/>
                <w:color w:val="auto"/>
              </w:rPr>
            </w:pPr>
          </w:p>
        </w:tc>
        <w:tc>
          <w:tcPr>
            <w:tcW w:w="7300" w:type="dxa"/>
            <w:vAlign w:val="bottom"/>
            <w:gridSpan w:val="2"/>
          </w:tcPr>
          <w:p>
            <w:pPr>
              <w:ind w:left="60"/>
              <w:spacing w:after="0"/>
              <w:rPr>
                <w:sz w:val="20"/>
                <w:szCs w:val="20"/>
                <w:color w:val="auto"/>
              </w:rPr>
            </w:pPr>
            <w:r>
              <w:rPr>
                <w:rFonts w:ascii="Arial" w:cs="Arial" w:eastAsia="Arial" w:hAnsi="Arial"/>
                <w:sz w:val="18"/>
                <w:szCs w:val="18"/>
                <w:color w:val="auto"/>
                <w:w w:val="93"/>
              </w:rPr>
              <w:t>agent to transfer this Note on the books of the Issuer. The agent may substitute another to act for</w:t>
            </w: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him.</w:t>
            </w:r>
          </w:p>
        </w:tc>
        <w:tc>
          <w:tcPr>
            <w:tcW w:w="1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257"/>
        </w:trPr>
        <w:tc>
          <w:tcPr>
            <w:tcW w:w="3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4740" w:type="dxa"/>
            <w:vAlign w:val="bottom"/>
            <w:tcBorders>
              <w:bottom w:val="single" w:sz="8" w:color="auto"/>
            </w:tcBorders>
          </w:tcPr>
          <w:p>
            <w:pPr>
              <w:spacing w:after="0"/>
              <w:rPr>
                <w:sz w:val="22"/>
                <w:szCs w:val="22"/>
                <w:color w:val="auto"/>
              </w:rPr>
            </w:pPr>
          </w:p>
        </w:tc>
      </w:tr>
      <w:tr>
        <w:trPr>
          <w:trHeight w:val="453"/>
        </w:trPr>
        <w:tc>
          <w:tcPr>
            <w:tcW w:w="2220" w:type="dxa"/>
            <w:vAlign w:val="bottom"/>
            <w:gridSpan w:val="2"/>
          </w:tcPr>
          <w:p>
            <w:pPr>
              <w:spacing w:after="0"/>
              <w:rPr>
                <w:sz w:val="20"/>
                <w:szCs w:val="20"/>
                <w:color w:val="auto"/>
              </w:rPr>
            </w:pPr>
            <w:r>
              <w:rPr>
                <w:rFonts w:ascii="Arial" w:cs="Arial" w:eastAsia="Arial" w:hAnsi="Arial"/>
                <w:sz w:val="18"/>
                <w:szCs w:val="18"/>
                <w:color w:val="auto"/>
              </w:rPr>
              <w:t>Date:</w:t>
            </w:r>
          </w:p>
        </w:tc>
        <w:tc>
          <w:tcPr>
            <w:tcW w:w="8800" w:type="dxa"/>
            <w:vAlign w:val="bottom"/>
            <w:gridSpan w:val="3"/>
          </w:tcPr>
          <w:p>
            <w:pPr>
              <w:ind w:left="320"/>
              <w:spacing w:after="0"/>
              <w:rPr>
                <w:sz w:val="20"/>
                <w:szCs w:val="20"/>
                <w:color w:val="auto"/>
              </w:rPr>
            </w:pPr>
            <w:r>
              <w:rPr>
                <w:rFonts w:ascii="Arial" w:cs="Arial" w:eastAsia="Arial" w:hAnsi="Arial"/>
                <w:sz w:val="18"/>
                <w:szCs w:val="18"/>
                <w:color w:val="auto"/>
              </w:rPr>
              <w:t>Your Signature:</w:t>
            </w:r>
          </w:p>
        </w:tc>
      </w:tr>
      <w:tr>
        <w:trPr>
          <w:trHeight w:val="20"/>
        </w:trPr>
        <w:tc>
          <w:tcPr>
            <w:tcW w:w="3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126365</wp:posOffset>
            </wp:positionV>
            <wp:extent cx="19710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71040" cy="8890"/>
                    </a:xfrm>
                    <a:prstGeom prst="rect">
                      <a:avLst/>
                    </a:prstGeom>
                    <a:noFill/>
                  </pic:spPr>
                </pic:pic>
              </a:graphicData>
            </a:graphic>
          </wp:anchor>
        </w:drawing>
      </w:r>
    </w:p>
    <w:p>
      <w:pPr>
        <w:spacing w:after="0" w:line="20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16281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8140" cy="8255"/>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126365</wp:posOffset>
            </wp:positionV>
            <wp:extent cx="19710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of a part of this Global Note for Physical Notes or a part of another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decrease in</w:t>
            </w:r>
          </w:p>
        </w:tc>
        <w:tc>
          <w:tcPr>
            <w:tcW w:w="2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Amount of increase in</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 this</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Global Note following</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6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 of this</w:t>
            </w:r>
          </w:p>
        </w:tc>
        <w:tc>
          <w:tcPr>
            <w:tcW w:w="2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6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3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2028]</w:t>
      </w:r>
    </w:p>
    <w:p>
      <w:pPr>
        <w:spacing w:after="0" w:line="225"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95"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70" w:right="4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4.600% Notes due 2028</w:t>
      </w:r>
    </w:p>
    <w:p>
      <w:pPr>
        <w:sectPr>
          <w:pgSz w:w="11900" w:h="16838" w:orient="portrait"/>
          <w:cols w:equalWidth="0" w:num="1">
            <w:col w:w="11020"/>
          </w:cols>
          <w:pgMar w:left="440" w:top="270" w:right="4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No. [1]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CUSIP No.: 882508 BV5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ISIN No.: US882508BV59</w:t>
      </w:r>
    </w:p>
    <w:p>
      <w:pPr>
        <w:spacing w:after="0" w:line="115" w:lineRule="exact"/>
        <w:rPr>
          <w:sz w:val="20"/>
          <w:szCs w:val="20"/>
          <w:color w:val="auto"/>
        </w:rPr>
      </w:pPr>
    </w:p>
    <w:p>
      <w:pPr>
        <w:sectPr>
          <w:pgSz w:w="11900" w:h="16838" w:orient="portrait"/>
          <w:cols w:equalWidth="0" w:num="2">
            <w:col w:w="8140" w:space="720"/>
            <w:col w:w="2160"/>
          </w:cols>
          <w:pgMar w:left="440" w:top="270" w:right="439" w:bottom="1440" w:gutter="0" w:footer="0" w:header="0"/>
          <w:type w:val="continuous"/>
        </w:sectPr>
      </w:pPr>
    </w:p>
    <w:p>
      <w:pPr>
        <w:ind w:left="10080"/>
        <w:spacing w:after="0"/>
        <w:rPr>
          <w:sz w:val="20"/>
          <w:szCs w:val="20"/>
          <w:color w:val="auto"/>
        </w:rPr>
      </w:pPr>
      <w:r>
        <w:rPr>
          <w:rFonts w:ascii="Arial" w:cs="Arial" w:eastAsia="Arial" w:hAnsi="Arial"/>
          <w:sz w:val="18"/>
          <w:szCs w:val="18"/>
          <w:color w:val="auto"/>
        </w:rPr>
        <w:t>$[_______]</w:t>
      </w:r>
    </w:p>
    <w:p>
      <w:pPr>
        <w:sectPr>
          <w:pgSz w:w="11900" w:h="16838" w:orient="portrait"/>
          <w:cols w:equalWidth="0" w:num="1">
            <w:col w:w="11020"/>
          </w:cols>
          <w:pgMar w:left="440" w:top="270" w:right="439" w:bottom="1440" w:gutter="0" w:footer="0" w:header="0"/>
          <w:type w:val="continuous"/>
        </w:sectPr>
      </w:pPr>
    </w:p>
    <w:p>
      <w:pPr>
        <w:spacing w:after="0" w:line="237"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$[_______] on February 15, 2028.</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15,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57" w:name="page58"/>
    <w:bookmarkEnd w:id="5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Vice President and Chief</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Financial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Edgar A. Morales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Global Note – 2028 Notes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18,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Global Note – 2028 Notes</w:t>
      </w:r>
      <w:r>
        <w:rPr>
          <w:rFonts w:ascii="Arial" w:cs="Arial" w:eastAsia="Arial" w:hAnsi="Arial"/>
          <w:sz w:val="18"/>
          <w:szCs w:val="18"/>
          <w:color w:val="auto"/>
        </w:rPr>
        <w:t>]</w:t>
      </w:r>
    </w:p>
    <w:p>
      <w:pPr>
        <w:sectPr>
          <w:pgSz w:w="11900" w:h="16838" w:orient="portrait"/>
          <w:cols w:equalWidth="0" w:num="1">
            <w:col w:w="10140"/>
          </w:cols>
          <w:pgMar w:left="440" w:top="274" w:right="131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TEXAS INSTRUMENTS INCORPORATED</w:t>
      </w:r>
    </w:p>
    <w:p>
      <w:pPr>
        <w:sectPr>
          <w:pgSz w:w="11900" w:h="16838" w:orient="portrait"/>
          <w:cols w:equalWidth="0" w:num="1">
            <w:col w:w="9019"/>
          </w:cols>
          <w:pgMar w:left="1440" w:top="274"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4.600% Notes due 2028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November 18, 2022. Interest on this Note will be paid to but excluding the relevant Interest Payment Date. The Issuer will pay interest semi-annually in arrears on each Interest Payment Date, commencing February 15, 2023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Paying Agent.</w:t>
      </w:r>
    </w:p>
    <w:p>
      <w:pPr>
        <w:spacing w:after="0" w:line="113"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Initially, U.S. Bank Trust Company,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Indenture; Defined Terms.</w:t>
      </w:r>
    </w:p>
    <w:p>
      <w:pPr>
        <w:spacing w:after="0" w:line="11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This Note is one of the 4.600% Notes due 2028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November 18, 2022,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61" w:name="page62"/>
    <w:bookmarkEnd w:id="61"/>
    <w:p>
      <w:pPr>
        <w:ind w:left="440" w:right="40" w:firstLine="42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Denominations; Transfer; Exchange.</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Amendment; Supplement; Waiver.</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 Redemption.</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pacing w:after="0" w:line="76" w:lineRule="exact"/>
        <w:rPr>
          <w:sz w:val="20"/>
          <w:szCs w:val="20"/>
          <w:color w:val="auto"/>
        </w:rPr>
      </w:pPr>
    </w:p>
    <w:p>
      <w:pPr>
        <w:ind w:left="960" w:right="140" w:hanging="532"/>
        <w:spacing w:after="0" w:line="311"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12.5 basis points less (b) interest accrued to the date of redemption, and</w:t>
      </w:r>
    </w:p>
    <w:p>
      <w:pPr>
        <w:spacing w:after="0" w:line="54" w:lineRule="exact"/>
        <w:rPr>
          <w:rFonts w:ascii="Arial" w:cs="Arial" w:eastAsia="Arial" w:hAnsi="Arial"/>
          <w:sz w:val="16"/>
          <w:szCs w:val="16"/>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4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 Call Date</w:t>
      </w:r>
      <w:r>
        <w:rPr>
          <w:rFonts w:ascii="Arial" w:cs="Arial" w:eastAsia="Arial" w:hAnsi="Arial"/>
          <w:sz w:val="18"/>
          <w:szCs w:val="18"/>
          <w:color w:val="auto"/>
        </w:rPr>
        <w:t>” means January 15, 2028 (the date that is one month prior to the maturity date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Rate</w:t>
      </w:r>
      <w:r>
        <w:rPr>
          <w:rFonts w:ascii="Arial" w:cs="Arial" w:eastAsia="Arial" w:hAnsi="Arial"/>
          <w:sz w:val="16"/>
          <w:szCs w:val="16"/>
          <w:color w:val="auto"/>
        </w:rPr>
        <w:t>” means, with respect to any redemption date, the yield determined by the Issuer in accordance with the following two paragraphs.</w:t>
      </w:r>
    </w:p>
    <w:p>
      <w:pPr>
        <w:spacing w:after="0" w:line="252"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securities—Treasury constant maturities—Nominal”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Issuer shall select, as applicable: (1) the yield for the Treasury constant maturity on H.15 exactly equal to the period from the redemption date to the Par Call Date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63" w:name="page64"/>
    <w:bookmarkEnd w:id="63"/>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Notes or portions thereof called for redemption.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 Defaults and Remedies.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Abbreviations and Defined Terms.</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CUSIP Numbers.</w:t>
      </w:r>
    </w:p>
    <w:p>
      <w:pPr>
        <w:spacing w:after="0" w:line="117" w:lineRule="exact"/>
        <w:rPr>
          <w:sz w:val="20"/>
          <w:szCs w:val="20"/>
          <w:color w:val="auto"/>
        </w:rPr>
      </w:pPr>
    </w:p>
    <w:p>
      <w:pPr>
        <w:jc w:val="both"/>
        <w:ind w:right="5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800" w:type="dxa"/>
            <w:vAlign w:val="bottom"/>
            <w:gridSpan w:val="3"/>
          </w:tcPr>
          <w:p>
            <w:pPr>
              <w:ind w:left="1140"/>
              <w:spacing w:after="0"/>
              <w:rPr>
                <w:sz w:val="20"/>
                <w:szCs w:val="20"/>
                <w:color w:val="auto"/>
              </w:rPr>
            </w:pPr>
            <w:r>
              <w:rPr>
                <w:rFonts w:ascii="Arial" w:cs="Arial" w:eastAsia="Arial" w:hAnsi="Arial"/>
                <w:sz w:val="18"/>
                <w:szCs w:val="18"/>
                <w:color w:val="auto"/>
                <w:w w:val="94"/>
              </w:rPr>
              <w:t>agent to transfer this Note on the books of the Issuer. The agent may substitute another to act for him.</w:t>
            </w:r>
          </w:p>
        </w:tc>
      </w:tr>
      <w:tr>
        <w:trPr>
          <w:trHeight w:val="257"/>
        </w:trPr>
        <w:tc>
          <w:tcPr>
            <w:tcW w:w="3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4740" w:type="dxa"/>
            <w:vAlign w:val="bottom"/>
            <w:tcBorders>
              <w:bottom w:val="single" w:sz="8" w:color="auto"/>
            </w:tcBorders>
          </w:tcPr>
          <w:p>
            <w:pPr>
              <w:spacing w:after="0"/>
              <w:rPr>
                <w:sz w:val="22"/>
                <w:szCs w:val="22"/>
                <w:color w:val="auto"/>
              </w:rPr>
            </w:pPr>
          </w:p>
        </w:tc>
      </w:tr>
      <w:tr>
        <w:trPr>
          <w:trHeight w:val="453"/>
        </w:trPr>
        <w:tc>
          <w:tcPr>
            <w:tcW w:w="2220" w:type="dxa"/>
            <w:vAlign w:val="bottom"/>
            <w:gridSpan w:val="2"/>
          </w:tcPr>
          <w:p>
            <w:pPr>
              <w:spacing w:after="0"/>
              <w:rPr>
                <w:sz w:val="20"/>
                <w:szCs w:val="20"/>
                <w:color w:val="auto"/>
              </w:rPr>
            </w:pPr>
            <w:r>
              <w:rPr>
                <w:rFonts w:ascii="Arial" w:cs="Arial" w:eastAsia="Arial" w:hAnsi="Arial"/>
                <w:sz w:val="18"/>
                <w:szCs w:val="18"/>
                <w:color w:val="auto"/>
              </w:rPr>
              <w:t>Date:</w:t>
            </w:r>
          </w:p>
        </w:tc>
        <w:tc>
          <w:tcPr>
            <w:tcW w:w="8800" w:type="dxa"/>
            <w:vAlign w:val="bottom"/>
            <w:gridSpan w:val="3"/>
          </w:tcPr>
          <w:p>
            <w:pPr>
              <w:ind w:left="320"/>
              <w:spacing w:after="0"/>
              <w:rPr>
                <w:sz w:val="20"/>
                <w:szCs w:val="20"/>
                <w:color w:val="auto"/>
              </w:rPr>
            </w:pPr>
            <w:r>
              <w:rPr>
                <w:rFonts w:ascii="Arial" w:cs="Arial" w:eastAsia="Arial" w:hAnsi="Arial"/>
                <w:sz w:val="18"/>
                <w:szCs w:val="18"/>
                <w:color w:val="auto"/>
              </w:rPr>
              <w:t>Your Signature:</w:t>
            </w:r>
          </w:p>
        </w:tc>
      </w:tr>
      <w:tr>
        <w:trPr>
          <w:trHeight w:val="20"/>
        </w:trPr>
        <w:tc>
          <w:tcPr>
            <w:tcW w:w="3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126365</wp:posOffset>
            </wp:positionV>
            <wp:extent cx="19710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0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16281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8140" cy="8890"/>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126365</wp:posOffset>
            </wp:positionV>
            <wp:extent cx="19710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71040" cy="8890"/>
                    </a:xfrm>
                    <a:prstGeom prst="rect">
                      <a:avLst/>
                    </a:prstGeom>
                    <a:noFill/>
                  </pic:spPr>
                </pic:pic>
              </a:graphicData>
            </a:graphic>
          </wp:anchor>
        </w:drawing>
      </w:r>
    </w:p>
    <w:p>
      <w:pPr>
        <w:spacing w:after="0" w:line="20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89979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davispolk.com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18,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offering of $300,000,000 aggregate principal amount of 4.700% Notes due 2024 and $500,000,000 aggregate principal amount of 4.600% Notes due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2028 (collectively, the “</w:t>
      </w:r>
      <w:r>
        <w:rPr>
          <w:rFonts w:ascii="Arial" w:cs="Arial" w:eastAsia="Arial" w:hAnsi="Arial"/>
          <w:sz w:val="18"/>
          <w:szCs w:val="18"/>
          <w:b w:val="1"/>
          <w:bCs w:val="1"/>
          <w:color w:val="auto"/>
        </w:rPr>
        <w:t>Notes</w:t>
      </w:r>
      <w:r>
        <w:rPr>
          <w:rFonts w:ascii="Arial" w:cs="Arial" w:eastAsia="Arial" w:hAnsi="Arial"/>
          <w:sz w:val="18"/>
          <w:szCs w:val="18"/>
          <w:color w:val="auto"/>
        </w:rPr>
        <w:t>”) in an underwritten public offering pursuant to an underwriting agreement dated November 15, 2022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J.P. Morgan Securities LLC, Mizuho Securities USA LLC and Morgan Stanley &amp; Co. LLC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are to be issued pursuant to an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U.S. Bank Trust Company, National Association, as successor in interest to U.S. Bank National Association, as Trustee, and an Officers’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Certificate to be issued pursuant thereto on or about November 18, 2022. The Company has filed with the Securities and Exchange Commission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 (File No. 333-262523,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the offer and sale of certain securities, including the Notes.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ectPr>
          <w:pgSz w:w="11900" w:h="16838" w:orient="portrait"/>
          <w:cols w:equalWidth="0" w:num="1">
            <w:col w:w="11020"/>
          </w:cols>
          <w:pgMar w:left="440" w:top="121" w:right="439" w:bottom="1440" w:gutter="0" w:footer="0" w:header="0"/>
        </w:sectPr>
      </w:pPr>
    </w:p>
    <w:bookmarkStart w:id="67" w:name="page68"/>
    <w:bookmarkEnd w:id="67"/>
    <w:p>
      <w:pPr>
        <w:spacing w:after="0"/>
        <w:tabs>
          <w:tab w:leader="none" w:pos="5680" w:val="left"/>
          <w:tab w:leader="none" w:pos="9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November 18, 2022</w:t>
      </w:r>
    </w:p>
    <w:p>
      <w:pPr>
        <w:spacing w:after="0" w:line="3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04"/>
    </w:lvl>
  </w:abstractNum>
  <w:abstractNum w:abstractNumId="2">
    <w:nsid w:val="62BBD95A"/>
    <w:multiLevelType w:val="hybridMultilevel"/>
    <w:lvl w:ilvl="0">
      <w:lvlJc w:val="left"/>
      <w:lvlText w:val="(%1)"/>
      <w:numFmt w:val="upperLetter"/>
      <w:start w:val="2"/>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
    <w:nsid w:val="2D1D5AE9"/>
    <w:multiLevelType w:val="hybridMultilevel"/>
    <w:lvl w:ilvl="0">
      <w:lvlJc w:val="left"/>
      <w:lvlText w:val="(%1)"/>
      <w:numFmt w:val="lowerRoman"/>
      <w:start w:val="6"/>
    </w:lvl>
    <w:lvl w:ilvl="1">
      <w:lvlJc w:val="left"/>
      <w:lvlText w:val="(%2)"/>
      <w:numFmt w:val="upperLetter"/>
      <w:start w:val="1"/>
    </w:lvl>
  </w:abstractNum>
  <w:abstractNum w:abstractNumId="9">
    <w:nsid w:val="676384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0">
    <w:nsid w:val="75A2A8D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
    <w:nsid w:val="8EDBDAB"/>
    <w:multiLevelType w:val="hybridMultilevel"/>
    <w:lvl w:ilvl="0">
      <w:lvlJc w:val="left"/>
      <w:lvlText w:val="%1"/>
      <w:numFmt w:val="lowerRoman"/>
      <w:start w:val="1"/>
    </w:lvl>
    <w:lvl w:ilvl="1">
      <w:lvlJc w:val="left"/>
      <w:lvlText w:val="(%2)"/>
      <w:numFmt w:val="upperLetter"/>
      <w:start w:val="3"/>
    </w:lvl>
  </w:abstractNum>
  <w:abstractNum w:abstractNumId="12">
    <w:nsid w:val="79838CB2"/>
    <w:multiLevelType w:val="hybridMultilevel"/>
    <w:lvl w:ilvl="0">
      <w:lvlJc w:val="left"/>
      <w:lvlText w:val="(%1)"/>
      <w:numFmt w:val="lowerRoman"/>
      <w:start w:val="3"/>
    </w:lvl>
    <w:lvl w:ilvl="1">
      <w:lvlJc w:val="left"/>
      <w:lvlText w:val="(%2)"/>
      <w:numFmt w:val="upperLetter"/>
      <w:start w:val="1"/>
    </w:lvl>
  </w:abstractNum>
  <w:abstractNum w:abstractNumId="13">
    <w:nsid w:val="4353D0CD"/>
    <w:multiLevelType w:val="hybridMultilevel"/>
    <w:lvl w:ilvl="0">
      <w:lvlJc w:val="left"/>
      <w:lvlText w:val="(%1)"/>
      <w:numFmt w:val="lowerRoman"/>
      <w:start w:val="8"/>
    </w:lvl>
    <w:lvl w:ilvl="1">
      <w:lvlJc w:val="left"/>
      <w:lvlText w:val="(%2)"/>
      <w:numFmt w:val="upperLetter"/>
      <w:start w:val="1"/>
    </w:lvl>
  </w:abstractNum>
  <w:abstractNum w:abstractNumId="14">
    <w:nsid w:val="B03E0C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5">
    <w:nsid w:val="189A769B"/>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6">
    <w:nsid w:val="54E49EB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7">
    <w:nsid w:val="71F32454"/>
    <w:multiLevelType w:val="hybridMultilevel"/>
    <w:lvl w:ilvl="0">
      <w:lvlJc w:val="left"/>
      <w:lvlText w:val="(%1)"/>
      <w:numFmt w:val="lowerLetter"/>
      <w:start w:val="5"/>
    </w:lvl>
  </w:abstractNum>
  <w:abstractNum w:abstractNumId="18">
    <w:nsid w:val="2CA88611"/>
    <w:multiLevelType w:val="hybridMultilevel"/>
    <w:lvl w:ilvl="0">
      <w:lvlJc w:val="left"/>
      <w:lvlText w:val="(%1)"/>
      <w:numFmt w:val="lowerLetter"/>
      <w:start w:val="6"/>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6"/>
    </w:lvl>
  </w:abstractNum>
  <w:abstractNum w:abstractNumId="21">
    <w:nsid w:val="3A95F874"/>
    <w:multiLevelType w:val="hybridMultilevel"/>
    <w:lvl w:ilvl="0">
      <w:lvlJc w:val="left"/>
      <w:lvlText w:val="(%1)"/>
      <w:numFmt w:val="lowerLetter"/>
      <w:start w:val="9"/>
    </w:lvl>
  </w:abstractNum>
  <w:abstractNum w:abstractNumId="22">
    <w:nsid w:val="8138641"/>
    <w:multiLevelType w:val="hybridMultilevel"/>
    <w:lvl w:ilvl="0">
      <w:lvlJc w:val="left"/>
      <w:lvlText w:val="%1"/>
      <w:numFmt w:val="lowerLetter"/>
      <w:start w:val="1"/>
    </w:lvl>
    <w:lvl w:ilvl="1">
      <w:lvlJc w:val="left"/>
      <w:lvlText w:val="(%2)"/>
      <w:numFmt w:val="lowerLetter"/>
      <w:start w:val="14"/>
    </w:lvl>
  </w:abstractNum>
  <w:abstractNum w:abstractNumId="23">
    <w:nsid w:val="1E7FF521"/>
    <w:multiLevelType w:val="hybridMultilevel"/>
    <w:lvl w:ilvl="0">
      <w:lvlJc w:val="left"/>
      <w:lvlText w:val="(%1)"/>
      <w:numFmt w:val="lowerLetter"/>
      <w:start w:val="22"/>
    </w:lvl>
    <w:lvl w:ilvl="1">
      <w:lvlJc w:val="left"/>
      <w:lvlText w:val="%2"/>
      <w:numFmt w:val="lowerLetter"/>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lowerLetter"/>
      <w:start w:val="4"/>
    </w:lvl>
  </w:abstractNum>
  <w:abstractNum w:abstractNumId="27">
    <w:nsid w:val="22221A70"/>
    <w:multiLevelType w:val="hybridMultilevel"/>
    <w:lvl w:ilvl="0">
      <w:lvlJc w:val="left"/>
      <w:lvlText w:val="%1"/>
      <w:numFmt w:val="lowerLetter"/>
      <w:start w:val="1"/>
    </w:lvl>
    <w:lvl w:ilvl="1">
      <w:lvlJc w:val="left"/>
      <w:lvlText w:val="(%2)"/>
      <w:numFmt w:val="lowerLetter"/>
      <w:start w:val="8"/>
    </w:lvl>
  </w:abstractNum>
  <w:abstractNum w:abstractNumId="28">
    <w:nsid w:val="4516DDE9"/>
    <w:multiLevelType w:val="hybridMultilevel"/>
    <w:lvl w:ilvl="0">
      <w:lvlJc w:val="left"/>
      <w:lvlText w:val="(%1)"/>
      <w:numFmt w:val="lowerLetter"/>
      <w:start w:val="35"/>
    </w:lvl>
    <w:lvl w:ilvl="1">
      <w:lvlJc w:val="left"/>
      <w:lvlText w:val="(%2)"/>
      <w:numFmt w:val="lowerLetter"/>
      <w:start w:val="9"/>
    </w:lvl>
  </w:abstractNum>
  <w:abstractNum w:abstractNumId="29">
    <w:nsid w:val="3006C83E"/>
    <w:multiLevelType w:val="hybridMultilevel"/>
    <w:lvl w:ilvl="0">
      <w:lvlJc w:val="left"/>
      <w:lvlText w:val="(%1)"/>
      <w:numFmt w:val="lowerLetter"/>
      <w:start w:val="14"/>
    </w:lvl>
  </w:abstractNum>
  <w:abstractNum w:abstractNumId="30">
    <w:nsid w:val="614FD4A1"/>
    <w:multiLevelType w:val="hybridMultilevel"/>
    <w:lvl w:ilvl="0">
      <w:lvlJc w:val="left"/>
      <w:lvlText w:val="(%1)"/>
      <w:numFmt w:val="lowerRoman"/>
      <w:start w:val="2"/>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lvl w:ilvl="1">
      <w:lvlJc w:val="left"/>
      <w:lvlText w:val="(%2)"/>
      <w:numFmt w:val="lowerLetter"/>
      <w:start w:val="1"/>
    </w:lvl>
  </w:abstractNum>
  <w:abstractNum w:abstractNumId="33">
    <w:nsid w:val="440BADFC"/>
    <w:multiLevelType w:val="hybridMultilevel"/>
    <w:lvl w:ilvl="0">
      <w:lvlJc w:val="left"/>
      <w:lvlText w:val="(%1)"/>
      <w:numFmt w:val="lowerLetter"/>
      <w:start w:val="35"/>
    </w:lvl>
    <w:lvl w:ilvl="1">
      <w:lvlJc w:val="left"/>
      <w:lvlText w:val="%2"/>
      <w:numFmt w:val="lowerLetter"/>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2022-11-18T15:23:34Z</dcterms:created>
  <dcterms:modified xsi:type="dcterms:W3CDTF">2022-11-18T15:23:34Z</dcterms:modified>
</cp:coreProperties>
</file>