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7)*</w:t>
      </w:r>
    </w:p>
    <w:p>
      <w:pPr>
        <w:spacing w:after="0" w:line="200" w:lineRule="exact"/>
        <w:rPr>
          <w:sz w:val="24"/>
          <w:szCs w:val="24"/>
          <w:color w:val="auto"/>
        </w:rPr>
      </w:pPr>
    </w:p>
    <w:p>
      <w:pPr>
        <w:spacing w:after="0" w:line="204"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Texas Instruments Incorporated</w:t>
      </w:r>
    </w:p>
    <w:p>
      <w:pPr>
        <w:jc w:val="center"/>
        <w:ind w:right="241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882508104</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29, 2017</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882508104</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Research Global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558" w:lineRule="auto"/>
        <w:tabs>
          <w:tab w:leader="none" w:pos="179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41,093,260</w:t>
      </w:r>
    </w:p>
    <w:p>
      <w:pPr>
        <w:spacing w:after="0" w:line="16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41,093,260</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41,093,260</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4.2%</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882508104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4"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7</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Texas Instruments Incorporated</w:t>
      </w:r>
    </w:p>
    <w:p>
      <w:pPr>
        <w:sectPr>
          <w:pgSz w:w="11900" w:h="16838" w:orient="portrait"/>
          <w:cols w:equalWidth="0" w:num="1">
            <w:col w:w="10219"/>
          </w:cols>
          <w:pgMar w:left="240" w:top="142" w:right="1440" w:bottom="0" w:gutter="0" w:footer="0" w:header="0"/>
          <w:type w:val="continuous"/>
        </w:sectPr>
      </w:pP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12500 TI Boulevard</w:t>
      </w:r>
    </w:p>
    <w:p>
      <w:pPr>
        <w:ind w:left="740"/>
        <w:spacing w:after="0"/>
        <w:rPr>
          <w:sz w:val="20"/>
          <w:szCs w:val="20"/>
          <w:color w:val="auto"/>
        </w:rPr>
      </w:pPr>
      <w:r>
        <w:rPr>
          <w:rFonts w:ascii="Courier New" w:cs="Courier New" w:eastAsia="Courier New" w:hAnsi="Courier New"/>
          <w:sz w:val="18"/>
          <w:szCs w:val="18"/>
          <w:color w:val="auto"/>
        </w:rPr>
        <w:t>P.O. Box 660199</w:t>
      </w:r>
    </w:p>
    <w:p>
      <w:pPr>
        <w:ind w:left="740"/>
        <w:spacing w:after="0" w:line="237" w:lineRule="auto"/>
        <w:rPr>
          <w:sz w:val="20"/>
          <w:szCs w:val="20"/>
          <w:color w:val="auto"/>
        </w:rPr>
      </w:pPr>
      <w:r>
        <w:rPr>
          <w:rFonts w:ascii="Courier New" w:cs="Courier New" w:eastAsia="Courier New" w:hAnsi="Courier New"/>
          <w:sz w:val="18"/>
          <w:szCs w:val="18"/>
          <w:color w:val="auto"/>
        </w:rPr>
        <w:t>Dallas, TX 75266-0199</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740"/>
        <w:spacing w:after="0" w:line="238" w:lineRule="auto"/>
        <w:rPr>
          <w:sz w:val="20"/>
          <w:szCs w:val="20"/>
          <w:color w:val="auto"/>
        </w:rPr>
      </w:pPr>
      <w:r>
        <w:rPr>
          <w:rFonts w:ascii="Courier New" w:cs="Courier New" w:eastAsia="Courier New" w:hAnsi="Courier New"/>
          <w:sz w:val="18"/>
          <w:szCs w:val="18"/>
          <w:color w:val="auto"/>
        </w:rPr>
        <w:t>Capital Research Global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pacing w:after="0" w:line="202" w:lineRule="exact"/>
        <w:rPr>
          <w:sz w:val="20"/>
          <w:szCs w:val="20"/>
          <w:color w:val="auto"/>
        </w:rPr>
      </w:pPr>
    </w:p>
    <w:p>
      <w:pPr>
        <w:spacing w:after="0"/>
        <w:tabs>
          <w:tab w:leader="none" w:pos="1460" w:val="left"/>
          <w:tab w:leader="none" w:pos="30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882508104</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w:t>
      </w:r>
    </w:p>
    <w:p>
      <w:pPr>
        <w:ind w:left="740"/>
        <w:spacing w:after="0" w:line="238" w:lineRule="auto"/>
        <w:rPr>
          <w:sz w:val="20"/>
          <w:szCs w:val="20"/>
          <w:color w:val="auto"/>
        </w:rPr>
      </w:pPr>
      <w:r>
        <w:rPr>
          <w:rFonts w:ascii="Courier New" w:cs="Courier New" w:eastAsia="Courier New" w:hAnsi="Courier New"/>
          <w:sz w:val="18"/>
          <w:szCs w:val="18"/>
          <w:color w:val="auto"/>
        </w:rPr>
        <w:t>or 240.13d-2(b) or (c), check whether the person filing is a:</w:t>
      </w:r>
    </w:p>
    <w:p>
      <w:pPr>
        <w:sectPr>
          <w:pgSz w:w="11900" w:h="16838" w:orient="portrait"/>
          <w:cols w:equalWidth="0" w:num="1">
            <w:col w:w="10219"/>
          </w:cols>
          <w:pgMar w:left="240" w:top="142" w:right="1440" w:bottom="0" w:gutter="0" w:footer="0" w:header="0"/>
          <w:type w:val="continuous"/>
        </w:sectPr>
      </w:pPr>
    </w:p>
    <w:bookmarkStart w:id="2" w:name="page3"/>
    <w:bookmarkEnd w:id="2"/>
    <w:p>
      <w:pPr>
        <w:ind w:left="1280" w:right="3479" w:hanging="535"/>
        <w:spacing w:after="0" w:line="235" w:lineRule="auto"/>
        <w:tabs>
          <w:tab w:leader="none" w:pos="170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 240.13d-1(b)(1)(ii)(E).</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Capital Research Global Investors divisions of CRMC is deemed to be the beneficial owner of 41,093,260 shares or 4.2% of the 985,560,591 shares believed to be outstanding.</w:t>
      </w:r>
    </w:p>
    <w:p>
      <w:pPr>
        <w:spacing w:after="0" w:line="203" w:lineRule="exact"/>
        <w:rPr>
          <w:sz w:val="20"/>
          <w:szCs w:val="20"/>
          <w:color w:val="auto"/>
        </w:rPr>
      </w:pPr>
    </w:p>
    <w:p>
      <w:pPr>
        <w:spacing w:after="0"/>
        <w:tabs>
          <w:tab w:leader="none" w:pos="1140" w:val="left"/>
          <w:tab w:leader="none" w:pos="610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8"/>
          <w:szCs w:val="18"/>
          <w:color w:val="auto"/>
        </w:rPr>
        <w:t>Ownership of Five Percent or Less of a Class.</w:t>
      </w:r>
      <w:r>
        <w:rPr>
          <w:sz w:val="20"/>
          <w:szCs w:val="20"/>
          <w:color w:val="auto"/>
        </w:rPr>
        <w:tab/>
      </w:r>
      <w:r>
        <w:rPr>
          <w:rFonts w:ascii="Courier New" w:cs="Courier New" w:eastAsia="Courier New" w:hAnsi="Courier New"/>
          <w:sz w:val="16"/>
          <w:szCs w:val="16"/>
          <w:color w:val="auto"/>
        </w:rPr>
        <w:t>If this</w:t>
      </w:r>
    </w:p>
    <w:p>
      <w:pPr>
        <w:ind w:left="740"/>
        <w:spacing w:after="0" w:line="238" w:lineRule="auto"/>
        <w:rPr>
          <w:sz w:val="20"/>
          <w:szCs w:val="20"/>
          <w:color w:val="auto"/>
        </w:rPr>
      </w:pPr>
      <w:r>
        <w:rPr>
          <w:rFonts w:ascii="Courier New" w:cs="Courier New" w:eastAsia="Courier New" w:hAnsi="Courier New"/>
          <w:sz w:val="18"/>
          <w:szCs w:val="18"/>
          <w:color w:val="auto"/>
        </w:rPr>
        <w:t>statement is being filed to report the fact that as of the date</w:t>
      </w:r>
    </w:p>
    <w:p>
      <w:pPr>
        <w:spacing w:after="0"/>
        <w:tabs>
          <w:tab w:leader="none" w:pos="6720" w:val="left"/>
        </w:tabs>
        <w:rPr>
          <w:sz w:val="20"/>
          <w:szCs w:val="20"/>
          <w:color w:val="auto"/>
        </w:rPr>
      </w:pPr>
      <w:r>
        <w:rPr>
          <w:rFonts w:ascii="Courier New" w:cs="Courier New" w:eastAsia="Courier New" w:hAnsi="Courier New"/>
          <w:sz w:val="18"/>
          <w:szCs w:val="18"/>
          <w:color w:val="auto"/>
        </w:rPr>
        <w:t>CUSIP: 882508104</w:t>
      </w:r>
      <w:r>
        <w:rPr>
          <w:sz w:val="20"/>
          <w:szCs w:val="20"/>
          <w:color w:val="auto"/>
        </w:rPr>
        <w:tab/>
      </w:r>
      <w:r>
        <w:rPr>
          <w:rFonts w:ascii="Courier New" w:cs="Courier New" w:eastAsia="Courier New" w:hAnsi="Courier New"/>
          <w:sz w:val="16"/>
          <w:szCs w:val="16"/>
          <w:color w:val="auto"/>
        </w:rPr>
        <w:t>Page 3 of 4</w:t>
      </w:r>
    </w:p>
    <w:p>
      <w:pPr>
        <w:spacing w:after="0" w:line="200" w:lineRule="exact"/>
        <w:rPr>
          <w:sz w:val="20"/>
          <w:szCs w:val="20"/>
          <w:color w:val="auto"/>
        </w:rPr>
      </w:pPr>
    </w:p>
    <w:p>
      <w:pPr>
        <w:spacing w:after="0" w:line="384" w:lineRule="exact"/>
        <w:rPr>
          <w:sz w:val="20"/>
          <w:szCs w:val="20"/>
          <w:color w:val="auto"/>
        </w:rPr>
      </w:pPr>
    </w:p>
    <w:p>
      <w:pPr>
        <w:jc w:val="both"/>
        <w:ind w:left="740" w:right="3259"/>
        <w:spacing w:after="0" w:line="236" w:lineRule="auto"/>
        <w:rPr>
          <w:sz w:val="20"/>
          <w:szCs w:val="20"/>
          <w:color w:val="auto"/>
        </w:rPr>
      </w:pPr>
      <w:r>
        <w:rPr>
          <w:rFonts w:ascii="Courier New" w:cs="Courier New" w:eastAsia="Courier New" w:hAnsi="Courier New"/>
          <w:sz w:val="18"/>
          <w:szCs w:val="18"/>
          <w:color w:val="auto"/>
        </w:rPr>
        <w:t>hereof the reporting person has ceased to be the beneficial owner of more than five percent of the class of securities, check the following: [X]</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142" w:right="1440" w:bottom="1440" w:gutter="0" w:footer="0" w:header="0"/>
        </w:sectPr>
      </w:pP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7, 2018</w:t>
      </w:r>
    </w:p>
    <w:p>
      <w:pPr>
        <w:spacing w:after="0" w:line="200" w:lineRule="exact"/>
        <w:rPr>
          <w:sz w:val="20"/>
          <w:szCs w:val="20"/>
          <w:color w:val="auto"/>
        </w:rPr>
      </w:pPr>
    </w:p>
    <w:p>
      <w:pPr>
        <w:sectPr>
          <w:pgSz w:w="11900" w:h="16838" w:orient="portrait"/>
          <w:cols w:equalWidth="0" w:num="2">
            <w:col w:w="1720" w:space="720"/>
            <w:col w:w="7779"/>
          </w:cols>
          <w:pgMar w:left="240" w:top="142" w:right="1440" w:bottom="1440" w:gutter="0" w:footer="0" w:header="0"/>
          <w:type w:val="continuous"/>
        </w:sectPr>
      </w:pPr>
    </w:p>
    <w:p>
      <w:pPr>
        <w:spacing w:after="0" w:line="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Name/Title: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Donald H. Rolfe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Donald H. Rolfe - Senior Vice President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Senior Counsel, Fund Business</w:t>
      </w:r>
    </w:p>
    <w:p>
      <w:pPr>
        <w:spacing w:after="0" w:line="238" w:lineRule="auto"/>
        <w:rPr>
          <w:sz w:val="20"/>
          <w:szCs w:val="20"/>
          <w:color w:val="auto"/>
        </w:rPr>
      </w:pPr>
      <w:r>
        <w:rPr>
          <w:rFonts w:ascii="Courier New" w:cs="Courier New" w:eastAsia="Courier New" w:hAnsi="Courier New"/>
          <w:sz w:val="18"/>
          <w:szCs w:val="18"/>
          <w:color w:val="auto"/>
        </w:rPr>
        <w:t>Management Group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Capital Research and Management Company</w:t>
      </w:r>
    </w:p>
    <w:p>
      <w:pPr>
        <w:sectPr>
          <w:pgSz w:w="11900" w:h="16838" w:orient="portrait"/>
          <w:cols w:equalWidth="0" w:num="2">
            <w:col w:w="2000" w:space="440"/>
            <w:col w:w="7779"/>
          </w:cols>
          <w:pgMar w:left="240" w:top="142" w:right="1440" w:bottom="1440" w:gutter="0" w:footer="0" w:header="0"/>
          <w:type w:val="continuous"/>
        </w:sectPr>
      </w:pPr>
    </w:p>
    <w:bookmarkStart w:id="3" w:name="page4"/>
    <w:bookmarkEnd w:id="3"/>
    <w:p>
      <w:pPr>
        <w:spacing w:after="0" w:line="200" w:lineRule="exact"/>
        <w:rPr>
          <w:sz w:val="20"/>
          <w:szCs w:val="20"/>
          <w:color w:val="auto"/>
        </w:rPr>
      </w:pPr>
    </w:p>
    <w:p>
      <w:pPr>
        <w:spacing w:after="0" w:line="320"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882508104</w:t>
      </w:r>
      <w:r>
        <w:rPr>
          <w:sz w:val="20"/>
          <w:szCs w:val="20"/>
          <w:color w:val="auto"/>
        </w:rPr>
        <w:tab/>
      </w:r>
      <w:r>
        <w:rPr>
          <w:rFonts w:ascii="Courier New" w:cs="Courier New" w:eastAsia="Courier New" w:hAnsi="Courier New"/>
          <w:sz w:val="16"/>
          <w:szCs w:val="16"/>
          <w:color w:val="auto"/>
        </w:rPr>
        <w:t>Page 4 of 4</w:t>
      </w:r>
    </w:p>
    <w:p>
      <w:pPr>
        <w:sectPr>
          <w:pgSz w:w="11900" w:h="16838" w:orient="portrait"/>
          <w:cols w:equalWidth="0" w:num="1">
            <w:col w:w="10219"/>
          </w:cols>
          <w:pgMar w:left="240" w:top="1440" w:right="1440"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24"/>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4"/>
      <w:numFmt w:val="bullet"/>
      <w:start w:val="1"/>
    </w:lvl>
  </w:abstractNum>
  <w:abstractNum w:abstractNumId="5">
    <w:nsid w:val="5BD062C2"/>
    <w:multiLevelType w:val="hybridMultilevel"/>
    <w:lvl w:ilvl="0">
      <w:lvlJc w:val="left"/>
      <w:lvlText w:val="5"/>
      <w:numFmt w:val="bullet"/>
      <w:start w:val="1"/>
    </w:lvl>
  </w:abstractNum>
  <w:abstractNum w:abstractNumId="6">
    <w:nsid w:val="12200854"/>
    <w:multiLevelType w:val="hybridMultilevel"/>
    <w:lvl w:ilvl="0">
      <w:lvlJc w:val="left"/>
      <w:lvlText w:val="8"/>
      <w:numFmt w:val="bullet"/>
      <w:start w:val="1"/>
    </w:lvl>
  </w:abstractNum>
  <w:abstractNum w:abstractNumId="7">
    <w:nsid w:val="4DB127F8"/>
    <w:multiLevelType w:val="hybridMultilevel"/>
    <w:lvl w:ilvl="0">
      <w:lvlJc w:val="left"/>
      <w:lvlText w:val="9"/>
      <w:numFmt w:val="bullet"/>
      <w:start w:val="1"/>
    </w:lvl>
  </w:abstractNum>
  <w:abstractNum w:abstractNumId="8">
    <w:nsid w:val="216231B"/>
    <w:multiLevelType w:val="hybridMultilevel"/>
    <w:lvl w:ilvl="0">
      <w:lvlJc w:val="left"/>
      <w:lvlText w:val="**"/>
      <w:numFmt w:val="bullet"/>
      <w:start w:val="1"/>
    </w:lvl>
    <w:lvl w:ilvl="1">
      <w:lvlJc w:val="left"/>
      <w:lvlText w:val="%2"/>
      <w:numFmt w:val="decimal"/>
      <w:start w:val="10"/>
    </w:lvl>
  </w:abstractNum>
  <w:abstractNum w:abstractNumId="9">
    <w:nsid w:val="1F16E9E8"/>
    <w:multiLevelType w:val="hybridMultilevel"/>
    <w:lvl w:ilvl="0">
      <w:lvlJc w:val="left"/>
      <w:lvlText w:val="(%1)"/>
      <w:numFmt w:val="lowerLetter"/>
      <w:start w:val="5"/>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2019-12-21T03:59:52Z</dcterms:created>
  <dcterms:modified xsi:type="dcterms:W3CDTF">2019-12-21T03:59:52Z</dcterms:modified>
</cp:coreProperties>
</file>