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As filed with the Securities and Exchange Commission on October 11, 2011</w:t>
      </w:r>
    </w:p>
    <w:p>
      <w:pPr>
        <w:spacing w:after="0" w:line="27"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75-0289970</w:t>
            </w:r>
          </w:p>
        </w:tc>
      </w:tr>
      <w:tr>
        <w:trPr>
          <w:trHeight w:val="216"/>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0"/>
              </w:rPr>
              <w:t>(State or other jurisdiction of</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incorporation or organization)</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Semiconductor Corporation 2009 Incentive Award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Hubach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972-995-3773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00" w:lineRule="exact"/>
        <w:rPr>
          <w:sz w:val="24"/>
          <w:szCs w:val="24"/>
          <w:color w:val="auto"/>
        </w:rPr>
      </w:pPr>
    </w:p>
    <w:p>
      <w:pPr>
        <w:spacing w:after="0" w:line="28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Large accelerated filer S</w:t>
            </w:r>
          </w:p>
        </w:tc>
        <w:tc>
          <w:tcPr>
            <w:tcW w:w="3680" w:type="dxa"/>
            <w:vAlign w:val="bottom"/>
          </w:tcPr>
          <w:p>
            <w:pPr>
              <w:spacing w:after="0"/>
              <w:rPr>
                <w:sz w:val="18"/>
                <w:szCs w:val="18"/>
                <w:color w:val="auto"/>
              </w:rPr>
            </w:pPr>
          </w:p>
        </w:tc>
        <w:tc>
          <w:tcPr>
            <w:tcW w:w="3540" w:type="dxa"/>
            <w:vAlign w:val="bottom"/>
            <w:gridSpan w:val="2"/>
          </w:tcPr>
          <w:p>
            <w:pPr>
              <w:ind w:left="11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80" w:type="dxa"/>
            <w:vAlign w:val="bottom"/>
          </w:tcPr>
          <w:p>
            <w:pPr>
              <w:ind w:left="180"/>
              <w:spacing w:after="0"/>
              <w:rPr>
                <w:sz w:val="20"/>
                <w:szCs w:val="20"/>
                <w:color w:val="auto"/>
              </w:rPr>
            </w:pPr>
            <w:r>
              <w:rPr>
                <w:rFonts w:ascii="Arial" w:cs="Arial" w:eastAsia="Arial" w:hAnsi="Arial"/>
                <w:sz w:val="18"/>
                <w:szCs w:val="18"/>
                <w:color w:val="auto"/>
                <w:w w:val="95"/>
              </w:rPr>
              <w:t>(Do not check if a smaller reporting company)</w:t>
            </w:r>
          </w:p>
        </w:tc>
        <w:tc>
          <w:tcPr>
            <w:tcW w:w="3540" w:type="dxa"/>
            <w:vAlign w:val="bottom"/>
            <w:gridSpan w:val="2"/>
          </w:tcPr>
          <w:p>
            <w:pPr>
              <w:ind w:left="11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spacing w:after="0"/>
              <w:rPr>
                <w:sz w:val="20"/>
                <w:szCs w:val="20"/>
                <w:color w:val="auto"/>
              </w:rPr>
            </w:pPr>
          </w:p>
        </w:tc>
      </w:tr>
      <w:tr>
        <w:trPr>
          <w:trHeight w:val="432"/>
        </w:trPr>
        <w:tc>
          <w:tcPr>
            <w:tcW w:w="2800" w:type="dxa"/>
            <w:vAlign w:val="bottom"/>
          </w:tcPr>
          <w:p>
            <w:pPr>
              <w:spacing w:after="0"/>
              <w:rPr>
                <w:sz w:val="24"/>
                <w:szCs w:val="24"/>
                <w:color w:val="auto"/>
              </w:rPr>
            </w:pPr>
          </w:p>
        </w:tc>
        <w:tc>
          <w:tcPr>
            <w:tcW w:w="5240" w:type="dxa"/>
            <w:vAlign w:val="bottom"/>
            <w:gridSpan w:val="2"/>
          </w:tcPr>
          <w:p>
            <w:pPr>
              <w:ind w:left="1180"/>
              <w:spacing w:after="0"/>
              <w:rPr>
                <w:sz w:val="20"/>
                <w:szCs w:val="20"/>
                <w:color w:val="auto"/>
              </w:rPr>
            </w:pPr>
            <w:r>
              <w:rPr>
                <w:rFonts w:ascii="Arial" w:cs="Arial" w:eastAsia="Arial" w:hAnsi="Arial"/>
                <w:sz w:val="18"/>
                <w:szCs w:val="18"/>
                <w:b w:val="1"/>
                <w:bCs w:val="1"/>
                <w:color w:val="auto"/>
              </w:rPr>
              <w:t>CALCULATION OF REGISTRATION FEE</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2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Proposed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0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800" w:type="dxa"/>
            <w:vAlign w:val="bottom"/>
          </w:tcPr>
          <w:p>
            <w:pPr>
              <w:spacing w:after="0"/>
              <w:rPr>
                <w:sz w:val="18"/>
                <w:szCs w:val="18"/>
                <w:color w:val="auto"/>
              </w:rPr>
            </w:pPr>
          </w:p>
        </w:tc>
        <w:tc>
          <w:tcPr>
            <w:tcW w:w="3680" w:type="dxa"/>
            <w:vAlign w:val="bottom"/>
          </w:tcPr>
          <w:p>
            <w:pPr>
              <w:jc w:val="center"/>
              <w:ind w:left="1690"/>
              <w:spacing w:after="0"/>
              <w:rPr>
                <w:sz w:val="20"/>
                <w:szCs w:val="20"/>
                <w:color w:val="auto"/>
              </w:rPr>
            </w:pPr>
            <w:r>
              <w:rPr>
                <w:rFonts w:ascii="Arial" w:cs="Arial" w:eastAsia="Arial" w:hAnsi="Arial"/>
                <w:sz w:val="18"/>
                <w:szCs w:val="18"/>
                <w:b w:val="1"/>
                <w:bCs w:val="1"/>
                <w:color w:val="auto"/>
                <w:w w:val="91"/>
              </w:rPr>
              <w:t>Amount to be</w:t>
            </w: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Offering Price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Title of Securities to be Registered</w:t>
            </w:r>
          </w:p>
        </w:tc>
        <w:tc>
          <w:tcPr>
            <w:tcW w:w="3680" w:type="dxa"/>
            <w:vAlign w:val="bottom"/>
            <w:tcBorders>
              <w:bottom w:val="single" w:sz="8" w:color="auto"/>
            </w:tcBorders>
          </w:tcPr>
          <w:p>
            <w:pPr>
              <w:jc w:val="center"/>
              <w:ind w:left="1670"/>
              <w:spacing w:after="0"/>
              <w:rPr>
                <w:sz w:val="20"/>
                <w:szCs w:val="20"/>
                <w:color w:val="auto"/>
              </w:rPr>
            </w:pPr>
            <w:r>
              <w:rPr>
                <w:rFonts w:ascii="Arial" w:cs="Arial" w:eastAsia="Arial" w:hAnsi="Arial"/>
                <w:sz w:val="18"/>
                <w:szCs w:val="18"/>
                <w:b w:val="1"/>
                <w:bCs w:val="1"/>
                <w:color w:val="auto"/>
                <w:w w:val="89"/>
              </w:rPr>
              <w:t>Registered (1) (2)</w:t>
            </w: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 (3)</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 (3)</w:t>
            </w:r>
          </w:p>
        </w:tc>
        <w:tc>
          <w:tcPr>
            <w:tcW w:w="14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2"/>
              </w:rPr>
              <w:t>Fee (3)</w:t>
            </w:r>
          </w:p>
        </w:tc>
      </w:tr>
      <w:tr>
        <w:trPr>
          <w:trHeight w:val="223"/>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($1 par value)</w:t>
            </w:r>
          </w:p>
        </w:tc>
        <w:tc>
          <w:tcPr>
            <w:tcW w:w="3680" w:type="dxa"/>
            <w:vAlign w:val="bottom"/>
            <w:tcBorders>
              <w:bottom w:val="single" w:sz="8" w:color="auto"/>
            </w:tcBorders>
          </w:tcPr>
          <w:p>
            <w:pPr>
              <w:jc w:val="center"/>
              <w:ind w:left="1670"/>
              <w:spacing w:after="0"/>
              <w:rPr>
                <w:sz w:val="20"/>
                <w:szCs w:val="20"/>
                <w:color w:val="auto"/>
              </w:rPr>
            </w:pPr>
            <w:r>
              <w:rPr>
                <w:rFonts w:ascii="Arial" w:cs="Arial" w:eastAsia="Arial" w:hAnsi="Arial"/>
                <w:sz w:val="18"/>
                <w:szCs w:val="18"/>
                <w:color w:val="auto"/>
                <w:w w:val="89"/>
              </w:rPr>
              <w:t>6,201,057</w:t>
            </w: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$25.13</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$155,857,619</w:t>
            </w:r>
          </w:p>
        </w:tc>
        <w:tc>
          <w:tcPr>
            <w:tcW w:w="14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$17,862</w:t>
            </w:r>
          </w:p>
        </w:tc>
      </w:tr>
    </w:tbl>
    <w:p>
      <w:pPr>
        <w:spacing w:after="0" w:line="229" w:lineRule="exact"/>
        <w:rPr>
          <w:sz w:val="24"/>
          <w:szCs w:val="24"/>
          <w:color w:val="auto"/>
        </w:rPr>
      </w:pPr>
    </w:p>
    <w:p>
      <w:pPr>
        <w:ind w:left="660" w:right="20" w:hanging="304"/>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(the “Securities Act”), the Registrant is also registering an indeterminate number of additional shares which may be issued to prevent dilution resulting from stock splits, stock dividends or similar transactions.</w:t>
      </w:r>
    </w:p>
    <w:p>
      <w:pPr>
        <w:spacing w:after="0" w:line="1" w:lineRule="exact"/>
        <w:rPr>
          <w:rFonts w:ascii="Arial" w:cs="Arial" w:eastAsia="Arial" w:hAnsi="Arial"/>
          <w:sz w:val="18"/>
          <w:szCs w:val="18"/>
          <w:color w:val="auto"/>
        </w:rPr>
      </w:pPr>
    </w:p>
    <w:p>
      <w:pPr>
        <w:jc w:val="both"/>
        <w:ind w:left="660" w:hanging="304"/>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subject to issuance relating to awards (including stock options and restricted stock units) outstanding under the National Semiconductor Corporation 2009 Incentive Award Plan, and assumed by the Registrant on September 23, 2011 pursuant to an Agreement and Plan of Merger by and among the Registrant, a wholly owned subsidiary of the Registrant and National Semiconductor Corporation dated as of April 4, 2011.</w:t>
      </w:r>
    </w:p>
    <w:p>
      <w:pPr>
        <w:spacing w:after="0" w:line="1" w:lineRule="exact"/>
        <w:rPr>
          <w:rFonts w:ascii="Arial" w:cs="Arial" w:eastAsia="Arial" w:hAnsi="Arial"/>
          <w:sz w:val="18"/>
          <w:szCs w:val="18"/>
          <w:color w:val="auto"/>
        </w:rPr>
      </w:pPr>
    </w:p>
    <w:p>
      <w:pPr>
        <w:ind w:left="660" w:hanging="30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EXPLANATORY NOTE</w:t>
      </w:r>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Texas Instruments Incorporated (the “Company”) is filing this Registration Statement on Form S-8 in connection with outstanding equity awards (“Awards”) granted under the National Semiconductor Corporation 2009 Incentive Award Plan. Pursuant to the Agreement and Plan of Merger, dated as of April 4, 2011, by and among the Company, a wholly owned subsidiary of the Company and National Semiconductor Corporation, shares of the Company’s common stock became issuable with respect to the Awards assumed by the Company upon the closing of the merger on September 23, 2011.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following documents have been filed by the Company with the Securities and Exchange Commission (the “Commission”) pursuant to the Securities Exchange Act of 1934 (the “Exchange Act”) and are incorporated herein by reference and made a part of this registration statement:</w:t>
      </w:r>
    </w:p>
    <w:p>
      <w:pPr>
        <w:spacing w:after="0" w:line="147"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quarters ended March 31, 2011, and June 30, 2011;</w:t>
      </w:r>
    </w:p>
    <w:p>
      <w:pPr>
        <w:spacing w:after="0" w:line="225" w:lineRule="exact"/>
        <w:rPr>
          <w:rFonts w:ascii="Arial" w:cs="Arial" w:eastAsia="Arial" w:hAnsi="Arial"/>
          <w:sz w:val="18"/>
          <w:szCs w:val="18"/>
          <w:color w:val="auto"/>
        </w:rPr>
      </w:pPr>
    </w:p>
    <w:p>
      <w:pPr>
        <w:ind w:right="200" w:firstLine="8"/>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Current Reports on Form 8-K filed February 18, 2011, March 14, 2011, April 4, 2011, April 5, 2011, April 27, 2011, May 16, 2011, May 23, 2011, July 27, 2011, September 15, 2011, September 21, 2011, and September 23, 2011 (excluding the information furnished under Item 7.01); and</w:t>
      </w:r>
    </w:p>
    <w:p>
      <w:pPr>
        <w:spacing w:after="0" w:line="123" w:lineRule="exact"/>
        <w:rPr>
          <w:rFonts w:ascii="Arial" w:cs="Arial" w:eastAsia="Arial" w:hAnsi="Arial"/>
          <w:sz w:val="16"/>
          <w:szCs w:val="16"/>
          <w:color w:val="auto"/>
        </w:rPr>
      </w:pPr>
    </w:p>
    <w:p>
      <w:pPr>
        <w:ind w:right="80" w:firstLine="8"/>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Company’s common stock contained in its Registration Statements on Form 10 filed with the Commission pursuant to Section 12 of the Exchange Act together with any amendment or report filed with the Commission for the purpose of updating such description.</w:t>
      </w:r>
    </w:p>
    <w:p>
      <w:pPr>
        <w:spacing w:after="0" w:line="14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38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above-described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w:t>
      </w:r>
    </w:p>
    <w:p>
      <w:pPr>
        <w:sectPr>
          <w:pgSz w:w="11900" w:h="16881" w:orient="portrait"/>
          <w:cols w:equalWidth="0" w:num="1">
            <w:col w:w="11420"/>
          </w:cols>
          <w:pgMar w:left="240" w:top="517" w:right="239" w:bottom="0" w:gutter="0" w:footer="0" w:header="0"/>
        </w:sectPr>
      </w:pPr>
    </w:p>
    <w:bookmarkStart w:id="2" w:name="page3"/>
    <w:bookmarkEnd w:id="2"/>
    <w:p>
      <w:pPr>
        <w:ind w:right="180"/>
        <w:spacing w:after="0" w:line="312" w:lineRule="auto"/>
        <w:rPr>
          <w:sz w:val="20"/>
          <w:szCs w:val="20"/>
          <w:color w:val="auto"/>
        </w:rPr>
      </w:pPr>
      <w:r>
        <w:rPr>
          <w:rFonts w:ascii="Arial" w:cs="Arial" w:eastAsia="Arial" w:hAnsi="Arial"/>
          <w:sz w:val="16"/>
          <w:szCs w:val="16"/>
          <w:color w:val="auto"/>
        </w:rPr>
        <w:t>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pacing w:after="0" w:line="14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25" w:lineRule="exact"/>
        <w:rPr>
          <w:sz w:val="20"/>
          <w:szCs w:val="20"/>
          <w:color w:val="auto"/>
        </w:rPr>
      </w:pPr>
    </w:p>
    <w:p>
      <w:pPr>
        <w:ind w:left="780" w:hanging="772"/>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Jones Day.</w:t>
      </w:r>
    </w:p>
    <w:p>
      <w:pPr>
        <w:spacing w:after="0" w:line="200" w:lineRule="exact"/>
        <w:rPr>
          <w:sz w:val="20"/>
          <w:szCs w:val="20"/>
          <w:color w:val="auto"/>
        </w:rPr>
      </w:pPr>
    </w:p>
    <w:p>
      <w:pPr>
        <w:spacing w:after="0" w:line="241" w:lineRule="exact"/>
        <w:rPr>
          <w:sz w:val="20"/>
          <w:szCs w:val="20"/>
          <w:color w:val="auto"/>
        </w:rPr>
      </w:pPr>
    </w:p>
    <w:p>
      <w:pPr>
        <w:ind w:right="7000" w:firstLine="8"/>
        <w:spacing w:after="0" w:line="501" w:lineRule="auto"/>
        <w:tabs>
          <w:tab w:leader="none" w:pos="81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 of Attorney (included on signature pages). Item 9. Undertakings</w:t>
      </w:r>
    </w:p>
    <w:p>
      <w:pPr>
        <w:spacing w:after="0"/>
        <w:rPr>
          <w:rFonts w:ascii="Arial" w:cs="Arial" w:eastAsia="Arial" w:hAnsi="Arial"/>
          <w:sz w:val="18"/>
          <w:szCs w:val="18"/>
          <w:color w:val="auto"/>
        </w:rPr>
      </w:pPr>
      <w:r>
        <w:rPr>
          <w:rFonts w:ascii="Arial" w:cs="Arial" w:eastAsia="Arial" w:hAnsi="Arial"/>
          <w:sz w:val="18"/>
          <w:szCs w:val="18"/>
          <w:color w:val="auto"/>
        </w:rPr>
        <w:t>The Company hereby undertakes:</w:t>
      </w:r>
    </w:p>
    <w:p>
      <w:pPr>
        <w:spacing w:after="0" w:line="225" w:lineRule="exact"/>
        <w:rPr>
          <w:rFonts w:ascii="Arial" w:cs="Arial" w:eastAsia="Arial" w:hAnsi="Arial"/>
          <w:sz w:val="18"/>
          <w:szCs w:val="18"/>
          <w:color w:val="auto"/>
        </w:rPr>
      </w:pPr>
    </w:p>
    <w:p>
      <w:pPr>
        <w:ind w:left="180" w:right="340" w:hanging="10"/>
        <w:spacing w:after="0" w:line="277" w:lineRule="auto"/>
        <w:tabs>
          <w:tab w:leader="none" w:pos="43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170" w:lineRule="exact"/>
        <w:rPr>
          <w:sz w:val="20"/>
          <w:szCs w:val="20"/>
          <w:color w:val="auto"/>
        </w:rPr>
      </w:pPr>
    </w:p>
    <w:p>
      <w:pPr>
        <w:ind w:left="380" w:hanging="21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80" w:hanging="10"/>
        <w:spacing w:after="0" w:line="342" w:lineRule="auto"/>
        <w:tabs>
          <w:tab w:leader="none" w:pos="445"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23" w:lineRule="exact"/>
        <w:rPr>
          <w:rFonts w:ascii="Arial" w:cs="Arial" w:eastAsia="Arial" w:hAnsi="Arial"/>
          <w:sz w:val="16"/>
          <w:szCs w:val="16"/>
          <w:color w:val="auto"/>
        </w:rPr>
      </w:pPr>
    </w:p>
    <w:p>
      <w:pPr>
        <w:ind w:left="180" w:right="480" w:hanging="1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180" w:right="480"/>
        <w:spacing w:after="0" w:line="264" w:lineRule="auto"/>
        <w:rPr>
          <w:sz w:val="20"/>
          <w:szCs w:val="20"/>
          <w:color w:val="auto"/>
        </w:rPr>
      </w:pPr>
      <w:r>
        <w:rPr>
          <w:rFonts w:ascii="Arial" w:cs="Arial" w:eastAsia="Arial" w:hAnsi="Arial"/>
          <w:sz w:val="18"/>
          <w:szCs w:val="18"/>
          <w:color w:val="auto"/>
        </w:rPr>
        <w:t>provided, however, that the undertakings set forth in paragraphs 1(i) and 1(ii) above do not apply if the information required to be included in a post-effective amendment by those paragraphs is contained in reports filed or furnished by the Company pursuant to Section 13 or Section 15(d) of the Securities Exchange Act of 1934 that are incorporated by reference in this registration statement.</w:t>
      </w:r>
    </w:p>
    <w:p>
      <w:pPr>
        <w:spacing w:after="0" w:line="181" w:lineRule="exact"/>
        <w:rPr>
          <w:sz w:val="20"/>
          <w:szCs w:val="20"/>
          <w:color w:val="auto"/>
        </w:rPr>
      </w:pPr>
    </w:p>
    <w:p>
      <w:pPr>
        <w:ind w:left="180" w:right="260" w:hanging="10"/>
        <w:spacing w:after="0" w:line="264" w:lineRule="auto"/>
        <w:tabs>
          <w:tab w:leader="none" w:pos="4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80" w:right="200" w:hanging="10"/>
        <w:spacing w:after="0" w:line="277" w:lineRule="auto"/>
        <w:tabs>
          <w:tab w:leader="none" w:pos="4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380"/>
          </w:cols>
          <w:pgMar w:left="240" w:top="125" w:right="27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10th day of October,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2958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240" w:top="517" w:right="41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the undersigned constitutes and appoints RICHARD K. TEMPLETON, JOSEPH F. HUBACH and KEVIN P. MARCH,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his or her substitutes, may lawfully do or cause to be done by virtue hereof.</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10th day of October,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980" w:type="dxa"/>
            <w:vAlign w:val="bottom"/>
          </w:tcPr>
          <w:p>
            <w:pPr>
              <w:ind w:left="56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439"/>
        </w:trPr>
        <w:tc>
          <w:tcPr>
            <w:tcW w:w="75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/s/ RALPH W. BABB, JR.</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88"/>
              </w:rPr>
              <w:t>Ralph W. Babb, Jr.</w:t>
            </w:r>
          </w:p>
        </w:tc>
        <w:tc>
          <w:tcPr>
            <w:tcW w:w="29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/s/ DANIEL A. CARP</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93"/>
              </w:rPr>
              <w:t>Daniel A. Carp</w:t>
            </w:r>
          </w:p>
        </w:tc>
        <w:tc>
          <w:tcPr>
            <w:tcW w:w="29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/s/ CARRIE S. COX</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90"/>
              </w:rPr>
              <w:t>Carrie S. Cox</w:t>
            </w:r>
          </w:p>
        </w:tc>
        <w:tc>
          <w:tcPr>
            <w:tcW w:w="29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/s/ STEPHEN P. MACMILLAN</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90"/>
              </w:rPr>
              <w:t>Stephen P. MacMillan</w:t>
            </w:r>
          </w:p>
        </w:tc>
        <w:tc>
          <w:tcPr>
            <w:tcW w:w="29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/s/ PAMELA H. PATSLEY</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87"/>
              </w:rPr>
              <w:t>Pamela H. Patsley</w:t>
            </w:r>
          </w:p>
        </w:tc>
        <w:tc>
          <w:tcPr>
            <w:tcW w:w="29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/s/ ROBERT E. SANCHEZ</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88"/>
              </w:rPr>
              <w:t>Robert E. Sanchez</w:t>
            </w:r>
          </w:p>
        </w:tc>
        <w:tc>
          <w:tcPr>
            <w:tcW w:w="29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3"/>
              </w:rPr>
              <w:t>/s/ WAYNE R. SANDERS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Wayne R. Sanders</w:t>
            </w:r>
          </w:p>
        </w:tc>
        <w:tc>
          <w:tcPr>
            <w:tcW w:w="29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/s/ RUTH J. SIMMONS</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88"/>
              </w:rPr>
              <w:t>Ruth J. Simmons</w:t>
            </w:r>
          </w:p>
        </w:tc>
        <w:tc>
          <w:tcPr>
            <w:tcW w:w="29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7"/>
              </w:rPr>
              <w:t>/s/ RICHARD K. TEMPLETON</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3"/>
              </w:rPr>
              <w:t>Richard K. Templeton</w:t>
            </w:r>
          </w:p>
        </w:tc>
        <w:tc>
          <w:tcPr>
            <w:tcW w:w="2980" w:type="dxa"/>
            <w:vAlign w:val="bottom"/>
          </w:tcPr>
          <w:p>
            <w:pPr>
              <w:ind w:left="560"/>
              <w:spacing w:after="0" w:line="201" w:lineRule="exact"/>
              <w:rPr>
                <w:sz w:val="20"/>
                <w:szCs w:val="20"/>
                <w:color w:val="auto"/>
              </w:rPr>
            </w:pPr>
            <w:r>
              <w:rPr>
                <w:rFonts w:ascii="Arial" w:cs="Arial" w:eastAsia="Arial" w:hAnsi="Arial"/>
                <w:sz w:val="18"/>
                <w:szCs w:val="18"/>
                <w:color w:val="auto"/>
              </w:rPr>
              <w:t>Chairman; President;</w:t>
            </w:r>
          </w:p>
        </w:tc>
        <w:tc>
          <w:tcPr>
            <w:tcW w:w="0" w:type="dxa"/>
            <w:vAlign w:val="bottom"/>
          </w:tcPr>
          <w:p>
            <w:pPr>
              <w:spacing w:after="0"/>
              <w:rPr>
                <w:sz w:val="1"/>
                <w:szCs w:val="1"/>
                <w:color w:val="auto"/>
              </w:rPr>
            </w:pPr>
          </w:p>
        </w:tc>
      </w:tr>
      <w:tr>
        <w:trPr>
          <w:trHeight w:val="230"/>
        </w:trPr>
        <w:tc>
          <w:tcPr>
            <w:tcW w:w="754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8"/>
              </w:rPr>
              <w:t>/s/ CHRISTINE TODD WHITMAN</w:t>
            </w:r>
          </w:p>
        </w:tc>
        <w:tc>
          <w:tcPr>
            <w:tcW w:w="2980" w:type="dxa"/>
            <w:vAlign w:val="bottom"/>
          </w:tcPr>
          <w:p>
            <w:pPr>
              <w:ind w:left="560"/>
              <w:spacing w:after="0"/>
              <w:rPr>
                <w:sz w:val="20"/>
                <w:szCs w:val="20"/>
                <w:color w:val="auto"/>
              </w:rPr>
            </w:pPr>
            <w:r>
              <w:rPr>
                <w:rFonts w:ascii="Arial" w:cs="Arial" w:eastAsia="Arial" w:hAnsi="Arial"/>
                <w:sz w:val="18"/>
                <w:szCs w:val="18"/>
                <w:color w:val="auto"/>
                <w:w w:val="93"/>
              </w:rPr>
              <w:t>Chief Executive Officer; Director</w:t>
            </w:r>
          </w:p>
        </w:tc>
        <w:tc>
          <w:tcPr>
            <w:tcW w:w="0" w:type="dxa"/>
            <w:vAlign w:val="bottom"/>
          </w:tcPr>
          <w:p>
            <w:pPr>
              <w:spacing w:after="0"/>
              <w:rPr>
                <w:sz w:val="1"/>
                <w:szCs w:val="1"/>
                <w:color w:val="auto"/>
              </w:rPr>
            </w:pPr>
          </w:p>
        </w:tc>
      </w:tr>
      <w:tr>
        <w:trPr>
          <w:trHeight w:val="223"/>
        </w:trPr>
        <w:tc>
          <w:tcPr>
            <w:tcW w:w="7540" w:type="dxa"/>
            <w:vAlign w:val="bottom"/>
            <w:gridSpan w:val="2"/>
            <w:vMerge w:val="continue"/>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Christine Todd Whitman</w:t>
            </w:r>
          </w:p>
        </w:tc>
        <w:tc>
          <w:tcPr>
            <w:tcW w:w="20" w:type="dxa"/>
            <w:vAlign w:val="bottom"/>
          </w:tcPr>
          <w:p>
            <w:pPr>
              <w:spacing w:after="0"/>
              <w:rPr>
                <w:sz w:val="20"/>
                <w:szCs w:val="20"/>
                <w:color w:val="auto"/>
              </w:rPr>
            </w:pPr>
          </w:p>
        </w:tc>
        <w:tc>
          <w:tcPr>
            <w:tcW w:w="29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754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/s/ KEVIN P. MARCH</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Kevin P. March</w:t>
            </w:r>
          </w:p>
        </w:tc>
        <w:tc>
          <w:tcPr>
            <w:tcW w:w="20" w:type="dxa"/>
            <w:vAlign w:val="bottom"/>
          </w:tcPr>
          <w:p>
            <w:pPr>
              <w:spacing w:after="0"/>
              <w:rPr>
                <w:sz w:val="17"/>
                <w:szCs w:val="17"/>
                <w:color w:val="auto"/>
              </w:rPr>
            </w:pPr>
          </w:p>
        </w:tc>
        <w:tc>
          <w:tcPr>
            <w:tcW w:w="2980" w:type="dxa"/>
            <w:vAlign w:val="bottom"/>
          </w:tcPr>
          <w:p>
            <w:pPr>
              <w:ind w:left="580"/>
              <w:spacing w:after="0" w:line="201" w:lineRule="exact"/>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Pr>
          <w:p>
            <w:pPr>
              <w:ind w:left="5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Pr>
          <w:p>
            <w:pPr>
              <w:ind w:left="58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17" w:right="299" w:bottom="1440" w:gutter="0" w:footer="0" w:header="0"/>
        </w:sectPr>
      </w:pPr>
    </w:p>
    <w:bookmarkStart w:id="5" w:name="page6"/>
    <w:bookmarkEnd w:id="5"/>
    <w:p>
      <w:pPr>
        <w:jc w:val="right"/>
        <w:ind w:right="3659"/>
        <w:spacing w:after="0"/>
        <w:rPr>
          <w:sz w:val="20"/>
          <w:szCs w:val="20"/>
          <w:color w:val="auto"/>
        </w:rPr>
      </w:pPr>
      <w:r>
        <w:rPr>
          <w:rFonts w:ascii="Arial" w:cs="Arial" w:eastAsia="Arial" w:hAnsi="Arial"/>
          <w:sz w:val="18"/>
          <w:szCs w:val="18"/>
          <w:color w:val="auto"/>
        </w:rPr>
        <w:t>INDEX TO EXHIBITS</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Exhibit</w:t>
        <w:tab/>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5715</wp:posOffset>
            </wp:positionV>
            <wp:extent cx="6706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6235" cy="17145"/>
                    </a:xfrm>
                    <a:prstGeom prst="rect">
                      <a:avLst/>
                    </a:prstGeom>
                    <a:noFill/>
                  </pic:spPr>
                </pic:pic>
              </a:graphicData>
            </a:graphic>
          </wp:anchor>
        </w:drawing>
      </w:r>
    </w:p>
    <w:p>
      <w:pPr>
        <w:spacing w:after="0" w:line="245" w:lineRule="exact"/>
        <w:rPr>
          <w:sz w:val="20"/>
          <w:szCs w:val="20"/>
          <w:color w:val="auto"/>
        </w:rPr>
      </w:pPr>
    </w:p>
    <w:p>
      <w:pPr>
        <w:ind w:left="1140" w:hanging="113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Jones Day.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23(a)</w:t>
            </w:r>
          </w:p>
        </w:tc>
        <w:tc>
          <w:tcPr>
            <w:tcW w:w="3920" w:type="dxa"/>
            <w:vAlign w:val="bottom"/>
          </w:tcPr>
          <w:p>
            <w:pPr>
              <w:ind w:left="34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23(b)</w:t>
            </w:r>
          </w:p>
        </w:tc>
        <w:tc>
          <w:tcPr>
            <w:tcW w:w="3920" w:type="dxa"/>
            <w:vAlign w:val="bottom"/>
          </w:tcPr>
          <w:p>
            <w:pPr>
              <w:ind w:left="360"/>
              <w:spacing w:after="0"/>
              <w:rPr>
                <w:sz w:val="20"/>
                <w:szCs w:val="20"/>
                <w:color w:val="auto"/>
              </w:rPr>
            </w:pPr>
            <w:r>
              <w:rPr>
                <w:rFonts w:ascii="Arial" w:cs="Arial" w:eastAsia="Arial" w:hAnsi="Arial"/>
                <w:sz w:val="18"/>
                <w:szCs w:val="18"/>
                <w:color w:val="auto"/>
                <w:w w:val="98"/>
              </w:rPr>
              <w:t>Consent of Jones Day (included in Exhibit 5).</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24</w:t>
            </w:r>
          </w:p>
        </w:tc>
        <w:tc>
          <w:tcPr>
            <w:tcW w:w="3920" w:type="dxa"/>
            <w:vAlign w:val="bottom"/>
          </w:tcPr>
          <w:p>
            <w:pPr>
              <w:ind w:left="380"/>
              <w:spacing w:after="0"/>
              <w:rPr>
                <w:sz w:val="20"/>
                <w:szCs w:val="20"/>
                <w:color w:val="auto"/>
              </w:rPr>
            </w:pPr>
            <w:r>
              <w:rPr>
                <w:rFonts w:ascii="Arial" w:cs="Arial" w:eastAsia="Arial" w:hAnsi="Arial"/>
                <w:sz w:val="18"/>
                <w:szCs w:val="18"/>
                <w:color w:val="auto"/>
                <w:w w:val="90"/>
              </w:rPr>
              <w:t>Power of Attorney (included on signature pages).</w:t>
            </w:r>
          </w:p>
        </w:tc>
      </w:tr>
    </w:tbl>
    <w:p>
      <w:pPr>
        <w:sectPr>
          <w:pgSz w:w="11900" w:h="16838" w:orient="portrait"/>
          <w:cols w:equalWidth="0" w:num="1">
            <w:col w:w="10219"/>
          </w:cols>
          <w:pgMar w:left="240" w:top="76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t>Exhibit 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10,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00" w:lineRule="exact"/>
        <w:rPr>
          <w:sz w:val="20"/>
          <w:szCs w:val="20"/>
          <w:color w:val="auto"/>
        </w:rPr>
      </w:pPr>
    </w:p>
    <w:p>
      <w:pPr>
        <w:spacing w:after="0" w:line="2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 Filed by Texas Instruments Incorporated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have acted as counsel for Texas Instruments Incorporated,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registration</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of 6,201,057 shares of the Company’s Common Stock, par value $1.00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are subject to issuance by the Company upon exercise of options and settlement of restricted stock units that were granted under the National Semiconductor Corporation 2009 Incentive Award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assumed by the Company pursuant to the Agreement and Plan of Merger, dated as of April 4, 2011, by and among the Company, a wholly owned subsidiary of the Company and National Semiconductor Corporation (collectively, the “</w:t>
      </w:r>
      <w:r>
        <w:rPr>
          <w:rFonts w:ascii="Arial" w:cs="Arial" w:eastAsia="Arial" w:hAnsi="Arial"/>
          <w:sz w:val="18"/>
          <w:szCs w:val="18"/>
          <w:b w:val="1"/>
          <w:bCs w:val="1"/>
          <w:i w:val="1"/>
          <w:iCs w:val="1"/>
          <w:color w:val="auto"/>
        </w:rPr>
        <w:t>Assumed Awards</w:t>
      </w:r>
      <w:r>
        <w:rPr>
          <w:rFonts w:ascii="Arial" w:cs="Arial" w:eastAsia="Arial" w:hAnsi="Arial"/>
          <w:sz w:val="18"/>
          <w:szCs w:val="18"/>
          <w:color w:val="auto"/>
        </w:rPr>
        <w:t>”). In connection with the opinion expressed herein, we have examined such documents, records and matters of law as we have deemed relevant or necessary for purposes of this opinion. Based on the foregoing, and subject to the further limitations, qualifications and assumptions set forth herein, we are of the opinion that the Shares that may be issued or delivered by the Company upon exercise or settlement of the Assumed Awards, as applicable, have been authorized by all necessary corporate action of the Company and will be, when issued or delivered in accordance with the terms of the Plan and associated award agreements, validly issued, fully paid and nonassessable.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opinion expressed herein is limited to the General Corporation Law of the State of Delaware, including the applicable provisions of the Delaware Constitution and the reported judicial decisions interpreting such law, in each case as currently in effect, and we express no opinion as to the effect of the laws of any other jurisdiction. In addition, we have assumed that the resolutions authorizing the Company to issue or deliver the Shares upon exercise or settlement of the Assumed Awards will be in full force and effect at all times at which such Shares are issued or delivered by the Company, and the Company will take no action inconsistent with such resolutions.</w:t>
      </w:r>
    </w:p>
    <w:p>
      <w:pPr>
        <w:spacing w:after="0" w:line="21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hereby consent to the filing of this opinion as Exhibit 5 to the Registration Statement on Form S-8 filed by the Company to effect registration of the Shares to be issued or delivered upon exercise or settlement of the Assumed Awards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In giving such consent, we do not thereby admit that we are included in the category of persons whose consent is required under Section 7 of the Act or the rules and regulations of the Securities Exchange Commission promulgated thereunder.</w:t>
      </w: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/s/ JONES DAY</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Jones Day</w:t>
      </w:r>
    </w:p>
    <w:p>
      <w:pPr>
        <w:sectPr>
          <w:pgSz w:w="11900" w:h="16838" w:orient="portrait"/>
          <w:cols w:equalWidth="0" w:num="1">
            <w:col w:w="11420"/>
          </w:cols>
          <w:pgMar w:left="240" w:top="12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23(a)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National Semiconductor Corporation 2009 Incentive Award Plan of our reports dated February 25, 2011, with respect to the consolidated financial statements of Texas Instruments Incorporated and the effectiveness of internal control over financial reporting of Texas Instruments Incorporated included in its Annual Report (Form 10-K) for the year ended December 31, 2010,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24"/>
    </w:lvl>
    <w:lvl w:ilvl="1">
      <w:lvlJc w:val="left"/>
      <w:lvlText w:val="(%2)"/>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2019-12-10T03:21:47Z</dcterms:created>
  <dcterms:modified xsi:type="dcterms:W3CDTF">2019-12-10T03:21:47Z</dcterms:modified>
</cp:coreProperties>
</file>