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19"/>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155575</wp:posOffset>
            </wp:positionH>
            <wp:positionV relativeFrom="page">
              <wp:posOffset>112395</wp:posOffset>
            </wp:positionV>
            <wp:extent cx="7250430"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38735"/>
                    </a:xfrm>
                    <a:prstGeom prst="rect">
                      <a:avLst/>
                    </a:prstGeom>
                    <a:noFill/>
                  </pic:spPr>
                </pic:pic>
              </a:graphicData>
            </a:graphic>
          </wp:anchor>
        </w:drawing>
        <w:t>UNITED STATES</w:t>
      </w:r>
    </w:p>
    <w:p>
      <w:pPr>
        <w:spacing w:after="0" w:line="9" w:lineRule="exact"/>
        <w:rPr>
          <w:sz w:val="24"/>
          <w:szCs w:val="24"/>
          <w:color w:val="auto"/>
        </w:rPr>
      </w:pPr>
    </w:p>
    <w:p>
      <w:pPr>
        <w:jc w:val="center"/>
        <w:ind w:right="-519"/>
        <w:spacing w:after="0"/>
        <w:rPr>
          <w:sz w:val="20"/>
          <w:szCs w:val="20"/>
          <w:color w:val="auto"/>
        </w:rPr>
      </w:pPr>
      <w:r>
        <w:rPr>
          <w:rFonts w:ascii="Arial" w:cs="Arial" w:eastAsia="Arial" w:hAnsi="Arial"/>
          <w:sz w:val="22"/>
          <w:szCs w:val="22"/>
          <w:b w:val="1"/>
          <w:bCs w:val="1"/>
          <w:color w:val="auto"/>
        </w:rPr>
        <w:t>SECURITIES AND EXCHANGE COMMISSION</w:t>
      </w:r>
    </w:p>
    <w:p>
      <w:pPr>
        <w:ind w:left="4780"/>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2894965</wp:posOffset>
            </wp:positionH>
            <wp:positionV relativeFrom="paragraph">
              <wp:posOffset>536575</wp:posOffset>
            </wp:positionV>
            <wp:extent cx="146621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8" w:lineRule="exact"/>
        <w:rPr>
          <w:sz w:val="24"/>
          <w:szCs w:val="24"/>
          <w:color w:val="auto"/>
        </w:rPr>
      </w:pPr>
    </w:p>
    <w:p>
      <w:pPr>
        <w:jc w:val="center"/>
        <w:ind w:right="-519"/>
        <w:spacing w:after="0"/>
        <w:rPr>
          <w:sz w:val="20"/>
          <w:szCs w:val="20"/>
          <w:color w:val="auto"/>
        </w:rPr>
      </w:pPr>
      <w:r>
        <w:rPr>
          <w:rFonts w:ascii="Arial" w:cs="Arial" w:eastAsia="Arial" w:hAnsi="Arial"/>
          <w:sz w:val="22"/>
          <w:szCs w:val="22"/>
          <w:b w:val="1"/>
          <w:bCs w:val="1"/>
          <w:color w:val="auto"/>
        </w:rPr>
        <w:t>FORM 8-K</w:t>
      </w:r>
    </w:p>
    <w:p>
      <w:pPr>
        <w:spacing w:after="0" w:line="242" w:lineRule="exact"/>
        <w:rPr>
          <w:sz w:val="24"/>
          <w:szCs w:val="24"/>
          <w:color w:val="auto"/>
        </w:rPr>
      </w:pPr>
    </w:p>
    <w:p>
      <w:pPr>
        <w:jc w:val="center"/>
        <w:ind w:right="-519"/>
        <w:spacing w:after="0"/>
        <w:rPr>
          <w:sz w:val="20"/>
          <w:szCs w:val="20"/>
          <w:color w:val="auto"/>
        </w:rPr>
      </w:pPr>
      <w:r>
        <w:rPr>
          <w:rFonts w:ascii="Arial" w:cs="Arial" w:eastAsia="Arial" w:hAnsi="Arial"/>
          <w:sz w:val="18"/>
          <w:szCs w:val="18"/>
          <w:b w:val="1"/>
          <w:bCs w:val="1"/>
          <w:color w:val="auto"/>
        </w:rPr>
        <w:t>CURRENT REPORT PURSUANT TO SECTION 13 OR 15(d)</w:t>
      </w:r>
    </w:p>
    <w:p>
      <w:pPr>
        <w:spacing w:after="0" w:line="27" w:lineRule="exact"/>
        <w:rPr>
          <w:sz w:val="24"/>
          <w:szCs w:val="24"/>
          <w:color w:val="auto"/>
        </w:rPr>
      </w:pPr>
    </w:p>
    <w:p>
      <w:pPr>
        <w:jc w:val="center"/>
        <w:ind w:right="-519"/>
        <w:spacing w:after="0"/>
        <w:rPr>
          <w:sz w:val="20"/>
          <w:szCs w:val="20"/>
          <w:color w:val="auto"/>
        </w:rPr>
      </w:pPr>
      <w:r>
        <w:rPr>
          <w:rFonts w:ascii="Arial" w:cs="Arial" w:eastAsia="Arial" w:hAnsi="Arial"/>
          <w:sz w:val="18"/>
          <w:szCs w:val="18"/>
          <w:b w:val="1"/>
          <w:bCs w:val="1"/>
          <w:color w:val="auto"/>
        </w:rPr>
        <w:t>OF THE SECURITIES EXCHANGE ACT OF 1934</w:t>
      </w:r>
    </w:p>
    <w:p>
      <w:pPr>
        <w:spacing w:after="0" w:line="234" w:lineRule="exact"/>
        <w:rPr>
          <w:sz w:val="24"/>
          <w:szCs w:val="24"/>
          <w:color w:val="auto"/>
        </w:rPr>
      </w:pPr>
    </w:p>
    <w:p>
      <w:pPr>
        <w:ind w:left="2420"/>
        <w:spacing w:after="0"/>
        <w:rPr>
          <w:sz w:val="20"/>
          <w:szCs w:val="20"/>
          <w:color w:val="auto"/>
        </w:rPr>
      </w:pPr>
      <w:r>
        <w:rPr>
          <w:rFonts w:ascii="Arial" w:cs="Arial" w:eastAsia="Arial" w:hAnsi="Arial"/>
          <w:sz w:val="17"/>
          <w:szCs w:val="17"/>
          <w:b w:val="1"/>
          <w:bCs w:val="1"/>
          <w:color w:val="auto"/>
        </w:rPr>
        <w:t>DATE OF REPORT (DATE OF EARLIEST EVENT REPORTED): January 22, 2008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2894965</wp:posOffset>
            </wp:positionH>
            <wp:positionV relativeFrom="paragraph">
              <wp:posOffset>556260</wp:posOffset>
            </wp:positionV>
            <wp:extent cx="146621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23" w:lineRule="exact"/>
        <w:rPr>
          <w:sz w:val="24"/>
          <w:szCs w:val="24"/>
          <w:color w:val="auto"/>
        </w:rPr>
      </w:pPr>
    </w:p>
    <w:p>
      <w:pPr>
        <w:jc w:val="center"/>
        <w:ind w:right="-519"/>
        <w:spacing w:after="0"/>
        <w:rPr>
          <w:sz w:val="20"/>
          <w:szCs w:val="20"/>
          <w:color w:val="auto"/>
        </w:rPr>
      </w:pPr>
      <w:r>
        <w:rPr>
          <w:rFonts w:ascii="Arial" w:cs="Arial" w:eastAsia="Arial" w:hAnsi="Arial"/>
          <w:sz w:val="32"/>
          <w:szCs w:val="32"/>
          <w:b w:val="1"/>
          <w:bCs w:val="1"/>
          <w:color w:val="auto"/>
        </w:rPr>
        <w:t>TEXAS INSTRUMENTS INCORPORATED</w:t>
      </w:r>
    </w:p>
    <w:p>
      <w:pPr>
        <w:spacing w:after="0" w:line="40" w:lineRule="exact"/>
        <w:rPr>
          <w:sz w:val="24"/>
          <w:szCs w:val="24"/>
          <w:color w:val="auto"/>
        </w:rPr>
      </w:pPr>
    </w:p>
    <w:p>
      <w:pPr>
        <w:ind w:left="3840"/>
        <w:spacing w:after="0"/>
        <w:rPr>
          <w:sz w:val="20"/>
          <w:szCs w:val="20"/>
          <w:color w:val="auto"/>
        </w:rPr>
      </w:pPr>
      <w:r>
        <w:rPr>
          <w:rFonts w:ascii="Arial" w:cs="Arial" w:eastAsia="Arial" w:hAnsi="Arial"/>
          <w:sz w:val="18"/>
          <w:szCs w:val="18"/>
          <w:b w:val="1"/>
          <w:bCs w:val="1"/>
          <w:color w:val="auto"/>
        </w:rPr>
        <w:t>(Exact name of registrant as specified in charter)</w:t>
      </w:r>
    </w:p>
    <w:p>
      <w:pPr>
        <w:sectPr>
          <w:pgSz w:w="11900" w:h="16838" w:orient="portrait"/>
          <w:cols w:equalWidth="0" w:num="1">
            <w:col w:w="10920"/>
          </w:cols>
          <w:pgMar w:left="240" w:top="301" w:right="739" w:bottom="1440" w:gutter="0" w:footer="0" w:header="0"/>
        </w:sectPr>
      </w:pPr>
    </w:p>
    <w:p>
      <w:pPr>
        <w:spacing w:after="0" w:line="200" w:lineRule="exact"/>
        <w:rPr>
          <w:sz w:val="24"/>
          <w:szCs w:val="24"/>
          <w:color w:val="auto"/>
        </w:rPr>
      </w:pPr>
    </w:p>
    <w:p>
      <w:pPr>
        <w:spacing w:after="0" w:line="248" w:lineRule="exact"/>
        <w:rPr>
          <w:sz w:val="24"/>
          <w:szCs w:val="24"/>
          <w:color w:val="auto"/>
        </w:rPr>
      </w:pPr>
    </w:p>
    <w:p>
      <w:pPr>
        <w:jc w:val="center"/>
        <w:ind w:right="220"/>
        <w:spacing w:after="0"/>
        <w:rPr>
          <w:sz w:val="20"/>
          <w:szCs w:val="20"/>
          <w:color w:val="auto"/>
        </w:rPr>
      </w:pPr>
      <w:r>
        <w:rPr>
          <w:rFonts w:ascii="Arial" w:cs="Arial" w:eastAsia="Arial" w:hAnsi="Arial"/>
          <w:sz w:val="18"/>
          <w:szCs w:val="18"/>
          <w:b w:val="1"/>
          <w:bCs w:val="1"/>
          <w:color w:val="auto"/>
        </w:rPr>
        <w:t>DELAWARE</w:t>
      </w:r>
    </w:p>
    <w:p>
      <w:pPr>
        <w:spacing w:after="0" w:line="36" w:lineRule="exact"/>
        <w:rPr>
          <w:sz w:val="24"/>
          <w:szCs w:val="24"/>
          <w:color w:val="auto"/>
        </w:rPr>
      </w:pPr>
    </w:p>
    <w:p>
      <w:pPr>
        <w:jc w:val="center"/>
        <w:ind w:right="220"/>
        <w:spacing w:after="0"/>
        <w:rPr>
          <w:sz w:val="20"/>
          <w:szCs w:val="20"/>
          <w:color w:val="auto"/>
        </w:rPr>
      </w:pPr>
      <w:r>
        <w:rPr>
          <w:rFonts w:ascii="Arial" w:cs="Arial" w:eastAsia="Arial" w:hAnsi="Arial"/>
          <w:sz w:val="16"/>
          <w:szCs w:val="16"/>
          <w:b w:val="1"/>
          <w:bCs w:val="1"/>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28" w:lineRule="exact"/>
        <w:rPr>
          <w:sz w:val="24"/>
          <w:szCs w:val="24"/>
          <w:color w:val="auto"/>
        </w:rPr>
      </w:pPr>
    </w:p>
    <w:p>
      <w:pPr>
        <w:jc w:val="center"/>
        <w:ind w:right="760"/>
        <w:spacing w:after="0"/>
        <w:rPr>
          <w:sz w:val="20"/>
          <w:szCs w:val="20"/>
          <w:color w:val="auto"/>
        </w:rPr>
      </w:pPr>
      <w:r>
        <w:rPr>
          <w:rFonts w:ascii="Arial" w:cs="Arial" w:eastAsia="Arial" w:hAnsi="Arial"/>
          <w:sz w:val="18"/>
          <w:szCs w:val="18"/>
          <w:b w:val="1"/>
          <w:bCs w:val="1"/>
          <w:color w:val="auto"/>
        </w:rPr>
        <w:t>001-03761</w:t>
      </w:r>
    </w:p>
    <w:p>
      <w:pPr>
        <w:spacing w:after="0" w:line="36" w:lineRule="exact"/>
        <w:rPr>
          <w:sz w:val="24"/>
          <w:szCs w:val="24"/>
          <w:color w:val="auto"/>
        </w:rPr>
      </w:pPr>
    </w:p>
    <w:p>
      <w:pPr>
        <w:jc w:val="center"/>
        <w:ind w:right="760"/>
        <w:spacing w:after="0"/>
        <w:rPr>
          <w:sz w:val="20"/>
          <w:szCs w:val="20"/>
          <w:color w:val="auto"/>
        </w:rPr>
      </w:pPr>
      <w:r>
        <w:rPr>
          <w:rFonts w:ascii="Arial" w:cs="Arial" w:eastAsia="Arial" w:hAnsi="Arial"/>
          <w:sz w:val="16"/>
          <w:szCs w:val="16"/>
          <w:b w:val="1"/>
          <w:bCs w:val="1"/>
          <w:color w:val="auto"/>
        </w:rPr>
        <w:t>(Commission file number)</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2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75-0289970</w:t>
      </w:r>
    </w:p>
    <w:p>
      <w:pPr>
        <w:spacing w:after="0" w:line="36"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(I.R.S. employer identification no.)</w:t>
      </w:r>
    </w:p>
    <w:p>
      <w:pPr>
        <w:spacing w:after="0" w:line="200" w:lineRule="exact"/>
        <w:rPr>
          <w:sz w:val="24"/>
          <w:szCs w:val="24"/>
          <w:color w:val="auto"/>
        </w:rPr>
      </w:pPr>
    </w:p>
    <w:p>
      <w:pPr>
        <w:sectPr>
          <w:pgSz w:w="11900" w:h="16838" w:orient="portrait"/>
          <w:cols w:equalWidth="0" w:num="3">
            <w:col w:w="4040" w:space="720"/>
            <w:col w:w="2780" w:space="720"/>
            <w:col w:w="2660"/>
          </w:cols>
          <w:pgMar w:left="240" w:top="301" w:right="739" w:bottom="1440" w:gutter="0" w:footer="0" w:header="0"/>
          <w:type w:val="continuous"/>
        </w:sectPr>
      </w:pPr>
    </w:p>
    <w:p>
      <w:pPr>
        <w:spacing w:after="0" w:line="102" w:lineRule="exact"/>
        <w:rPr>
          <w:sz w:val="24"/>
          <w:szCs w:val="24"/>
          <w:color w:val="auto"/>
        </w:rPr>
      </w:pPr>
    </w:p>
    <w:p>
      <w:pPr>
        <w:jc w:val="center"/>
        <w:ind w:right="-499"/>
        <w:spacing w:after="0"/>
        <w:rPr>
          <w:sz w:val="20"/>
          <w:szCs w:val="20"/>
          <w:color w:val="auto"/>
        </w:rPr>
      </w:pPr>
      <w:r>
        <w:rPr>
          <w:rFonts w:ascii="Arial" w:cs="Arial" w:eastAsia="Arial" w:hAnsi="Arial"/>
          <w:sz w:val="18"/>
          <w:szCs w:val="18"/>
          <w:b w:val="1"/>
          <w:bCs w:val="1"/>
          <w:color w:val="auto"/>
        </w:rPr>
        <w:t>12500 TI BOULEVARD</w:t>
      </w:r>
    </w:p>
    <w:p>
      <w:pPr>
        <w:spacing w:after="0" w:line="27" w:lineRule="exact"/>
        <w:rPr>
          <w:sz w:val="24"/>
          <w:szCs w:val="24"/>
          <w:color w:val="auto"/>
        </w:rPr>
      </w:pPr>
    </w:p>
    <w:p>
      <w:pPr>
        <w:jc w:val="center"/>
        <w:ind w:right="-499"/>
        <w:spacing w:after="0"/>
        <w:rPr>
          <w:sz w:val="20"/>
          <w:szCs w:val="20"/>
          <w:color w:val="auto"/>
        </w:rPr>
      </w:pPr>
      <w:r>
        <w:rPr>
          <w:rFonts w:ascii="Arial" w:cs="Arial" w:eastAsia="Arial" w:hAnsi="Arial"/>
          <w:sz w:val="18"/>
          <w:szCs w:val="18"/>
          <w:b w:val="1"/>
          <w:bCs w:val="1"/>
          <w:color w:val="auto"/>
        </w:rPr>
        <w:t>P.O. BOX 660199</w:t>
      </w:r>
    </w:p>
    <w:p>
      <w:pPr>
        <w:spacing w:after="0" w:line="9" w:lineRule="exact"/>
        <w:rPr>
          <w:sz w:val="24"/>
          <w:szCs w:val="24"/>
          <w:color w:val="auto"/>
        </w:rPr>
      </w:pPr>
    </w:p>
    <w:p>
      <w:pPr>
        <w:jc w:val="center"/>
        <w:ind w:right="-499"/>
        <w:spacing w:after="0"/>
        <w:rPr>
          <w:sz w:val="20"/>
          <w:szCs w:val="20"/>
          <w:color w:val="auto"/>
        </w:rPr>
      </w:pPr>
      <w:r>
        <w:rPr>
          <w:rFonts w:ascii="Arial" w:cs="Arial" w:eastAsia="Arial" w:hAnsi="Arial"/>
          <w:sz w:val="18"/>
          <w:szCs w:val="18"/>
          <w:b w:val="1"/>
          <w:bCs w:val="1"/>
          <w:color w:val="auto"/>
        </w:rPr>
        <w:t>DALLAS, TEXAS 75266-0199</w:t>
      </w:r>
    </w:p>
    <w:p>
      <w:pPr>
        <w:spacing w:after="0" w:line="9" w:lineRule="exact"/>
        <w:rPr>
          <w:sz w:val="24"/>
          <w:szCs w:val="24"/>
          <w:color w:val="auto"/>
        </w:rPr>
      </w:pPr>
    </w:p>
    <w:p>
      <w:pPr>
        <w:jc w:val="center"/>
        <w:ind w:right="-499"/>
        <w:spacing w:after="0"/>
        <w:rPr>
          <w:sz w:val="20"/>
          <w:szCs w:val="20"/>
          <w:color w:val="auto"/>
        </w:rPr>
      </w:pPr>
      <w:r>
        <w:rPr>
          <w:rFonts w:ascii="Arial" w:cs="Arial" w:eastAsia="Arial" w:hAnsi="Arial"/>
          <w:sz w:val="15"/>
          <w:szCs w:val="15"/>
          <w:b w:val="1"/>
          <w:bCs w:val="1"/>
          <w:color w:val="auto"/>
        </w:rPr>
        <w:t>(Address of principal executive offices)</w:t>
      </w:r>
    </w:p>
    <w:p>
      <w:pPr>
        <w:sectPr>
          <w:pgSz w:w="11900" w:h="16838" w:orient="portrait"/>
          <w:cols w:equalWidth="0" w:num="1">
            <w:col w:w="10920"/>
          </w:cols>
          <w:pgMar w:left="240" w:top="301" w:right="739" w:bottom="1440" w:gutter="0" w:footer="0" w:header="0"/>
          <w:type w:val="continuous"/>
        </w:sectPr>
      </w:pPr>
    </w:p>
    <w:p>
      <w:pPr>
        <w:spacing w:after="0" w:line="268" w:lineRule="exact"/>
        <w:rPr>
          <w:sz w:val="24"/>
          <w:szCs w:val="24"/>
          <w:color w:val="auto"/>
        </w:rPr>
      </w:pPr>
    </w:p>
    <w:p>
      <w:pPr>
        <w:ind w:left="3120"/>
        <w:spacing w:after="0"/>
        <w:rPr>
          <w:sz w:val="20"/>
          <w:szCs w:val="20"/>
          <w:color w:val="auto"/>
        </w:rPr>
      </w:pPr>
      <w:r>
        <w:rPr>
          <w:rFonts w:ascii="Arial" w:cs="Arial" w:eastAsia="Arial" w:hAnsi="Arial"/>
          <w:sz w:val="18"/>
          <w:szCs w:val="18"/>
          <w:b w:val="1"/>
          <w:bCs w:val="1"/>
          <w:color w:val="auto"/>
        </w:rPr>
        <w:t>Registrant’s telephone number, including area code: (972) 995-3773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2894965</wp:posOffset>
            </wp:positionH>
            <wp:positionV relativeFrom="paragraph">
              <wp:posOffset>549275</wp:posOffset>
            </wp:positionV>
            <wp:extent cx="146621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81" w:lineRule="exact"/>
        <w:rPr>
          <w:sz w:val="24"/>
          <w:szCs w:val="24"/>
          <w:color w:val="auto"/>
        </w:rPr>
      </w:pPr>
    </w:p>
    <w:p>
      <w:pPr>
        <w:ind w:right="60"/>
        <w:spacing w:after="0" w:line="277" w:lineRule="auto"/>
        <w:rPr>
          <w:sz w:val="20"/>
          <w:szCs w:val="20"/>
          <w:color w:val="auto"/>
        </w:rPr>
      </w:pPr>
      <w:r>
        <w:rPr>
          <w:rFonts w:ascii="Arial" w:cs="Arial" w:eastAsia="Arial" w:hAnsi="Arial"/>
          <w:sz w:val="18"/>
          <w:szCs w:val="18"/>
          <w:color w:val="auto"/>
        </w:rPr>
        <w:t>Check the appropriate box below if the Form 8-K is intended to simultaneously satisfy the filing obligation of the registrant under any of the following provisions:</w:t>
      </w:r>
    </w:p>
    <w:p>
      <w:pPr>
        <w:spacing w:after="0" w:line="197"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52"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52"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52"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90170</wp:posOffset>
            </wp:positionV>
            <wp:extent cx="7250430" cy="4508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4508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415925</wp:posOffset>
            </wp:positionV>
            <wp:extent cx="7250430"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920"/>
          </w:cols>
          <w:pgMar w:left="240" w:top="301" w:right="73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color w:val="auto"/>
        </w:rPr>
        <w:t>ITEM 2.02. Results of Operations and Financial Condition</w:t>
      </w:r>
    </w:p>
    <w:p>
      <w:pPr>
        <w:spacing w:after="0" w:line="252"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The Registrant's news release dated January 22, 2008, regarding its fourth quarter and 2007 results of operations and financial condition is attached hereto as Exhibit 99 and is incorporated by reference herein.</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ITEM 9.01. Exhibits</w:t>
      </w:r>
    </w:p>
    <w:p>
      <w:pPr>
        <w:spacing w:after="0" w:line="200" w:lineRule="exact"/>
        <w:rPr>
          <w:sz w:val="20"/>
          <w:szCs w:val="20"/>
          <w:color w:val="auto"/>
        </w:rPr>
      </w:pP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280" w:type="dxa"/>
            <w:vAlign w:val="bottom"/>
          </w:tcPr>
          <w:p>
            <w:pPr>
              <w:jc w:val="center"/>
              <w:spacing w:after="0"/>
              <w:rPr>
                <w:sz w:val="20"/>
                <w:szCs w:val="20"/>
                <w:color w:val="auto"/>
              </w:rPr>
            </w:pPr>
            <w:r>
              <w:rPr>
                <w:rFonts w:ascii="Arial" w:cs="Arial" w:eastAsia="Arial" w:hAnsi="Arial"/>
                <w:sz w:val="18"/>
                <w:szCs w:val="18"/>
                <w:color w:val="auto"/>
                <w:w w:val="92"/>
              </w:rPr>
              <w:t>Designation</w:t>
            </w:r>
          </w:p>
        </w:tc>
        <w:tc>
          <w:tcPr>
            <w:tcW w:w="940" w:type="dxa"/>
            <w:vAlign w:val="bottom"/>
          </w:tcPr>
          <w:p>
            <w:pPr>
              <w:spacing w:after="0"/>
              <w:rPr>
                <w:sz w:val="18"/>
                <w:szCs w:val="18"/>
                <w:color w:val="auto"/>
              </w:rPr>
            </w:pPr>
          </w:p>
        </w:tc>
        <w:tc>
          <w:tcPr>
            <w:tcW w:w="9200" w:type="dxa"/>
            <w:vAlign w:val="bottom"/>
          </w:tcPr>
          <w:p>
            <w:pPr>
              <w:spacing w:after="0"/>
              <w:rPr>
                <w:sz w:val="18"/>
                <w:szCs w:val="18"/>
                <w:color w:val="auto"/>
              </w:rPr>
            </w:pPr>
          </w:p>
        </w:tc>
      </w:tr>
      <w:tr>
        <w:trPr>
          <w:trHeight w:val="216"/>
        </w:trPr>
        <w:tc>
          <w:tcPr>
            <w:tcW w:w="1280" w:type="dxa"/>
            <w:vAlign w:val="bottom"/>
          </w:tcPr>
          <w:p>
            <w:pPr>
              <w:jc w:val="center"/>
              <w:spacing w:after="0"/>
              <w:rPr>
                <w:sz w:val="20"/>
                <w:szCs w:val="20"/>
                <w:color w:val="auto"/>
              </w:rPr>
            </w:pPr>
            <w:r>
              <w:rPr>
                <w:rFonts w:ascii="Arial" w:cs="Arial" w:eastAsia="Arial" w:hAnsi="Arial"/>
                <w:sz w:val="18"/>
                <w:szCs w:val="18"/>
                <w:color w:val="auto"/>
                <w:w w:val="97"/>
              </w:rPr>
              <w:t>of Exhibit</w:t>
            </w:r>
          </w:p>
        </w:tc>
        <w:tc>
          <w:tcPr>
            <w:tcW w:w="940" w:type="dxa"/>
            <w:vAlign w:val="bottom"/>
          </w:tcPr>
          <w:p>
            <w:pPr>
              <w:spacing w:after="0"/>
              <w:rPr>
                <w:sz w:val="18"/>
                <w:szCs w:val="18"/>
                <w:color w:val="auto"/>
              </w:rPr>
            </w:pPr>
          </w:p>
        </w:tc>
        <w:tc>
          <w:tcPr>
            <w:tcW w:w="9200" w:type="dxa"/>
            <w:vAlign w:val="bottom"/>
          </w:tcPr>
          <w:p>
            <w:pPr>
              <w:spacing w:after="0"/>
              <w:rPr>
                <w:sz w:val="18"/>
                <w:szCs w:val="18"/>
                <w:color w:val="auto"/>
              </w:rPr>
            </w:pPr>
          </w:p>
        </w:tc>
      </w:tr>
      <w:tr>
        <w:trPr>
          <w:trHeight w:val="216"/>
        </w:trPr>
        <w:tc>
          <w:tcPr>
            <w:tcW w:w="1280" w:type="dxa"/>
            <w:vAlign w:val="bottom"/>
          </w:tcPr>
          <w:p>
            <w:pPr>
              <w:jc w:val="center"/>
              <w:spacing w:after="0"/>
              <w:rPr>
                <w:sz w:val="20"/>
                <w:szCs w:val="20"/>
                <w:color w:val="auto"/>
              </w:rPr>
            </w:pPr>
            <w:r>
              <w:rPr>
                <w:rFonts w:ascii="Arial" w:cs="Arial" w:eastAsia="Arial" w:hAnsi="Arial"/>
                <w:sz w:val="18"/>
                <w:szCs w:val="18"/>
                <w:color w:val="auto"/>
                <w:w w:val="93"/>
              </w:rPr>
              <w:t>in this</w:t>
            </w:r>
          </w:p>
        </w:tc>
        <w:tc>
          <w:tcPr>
            <w:tcW w:w="940" w:type="dxa"/>
            <w:vAlign w:val="bottom"/>
          </w:tcPr>
          <w:p>
            <w:pPr>
              <w:spacing w:after="0"/>
              <w:rPr>
                <w:sz w:val="18"/>
                <w:szCs w:val="18"/>
                <w:color w:val="auto"/>
              </w:rPr>
            </w:pPr>
          </w:p>
        </w:tc>
        <w:tc>
          <w:tcPr>
            <w:tcW w:w="9200" w:type="dxa"/>
            <w:vAlign w:val="bottom"/>
          </w:tcPr>
          <w:p>
            <w:pPr>
              <w:spacing w:after="0"/>
              <w:rPr>
                <w:sz w:val="18"/>
                <w:szCs w:val="18"/>
                <w:color w:val="auto"/>
              </w:rPr>
            </w:pPr>
          </w:p>
        </w:tc>
      </w:tr>
      <w:tr>
        <w:trPr>
          <w:trHeight w:val="237"/>
        </w:trPr>
        <w:tc>
          <w:tcPr>
            <w:tcW w:w="12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8"/>
              </w:rPr>
              <w:t>Report</w:t>
            </w:r>
          </w:p>
        </w:tc>
        <w:tc>
          <w:tcPr>
            <w:tcW w:w="940" w:type="dxa"/>
            <w:vAlign w:val="bottom"/>
          </w:tcPr>
          <w:p>
            <w:pPr>
              <w:spacing w:after="0"/>
              <w:rPr>
                <w:sz w:val="20"/>
                <w:szCs w:val="20"/>
                <w:color w:val="auto"/>
              </w:rPr>
            </w:pPr>
          </w:p>
        </w:tc>
        <w:tc>
          <w:tcPr>
            <w:tcW w:w="92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Description of Exhibit</w:t>
            </w:r>
          </w:p>
        </w:tc>
      </w:tr>
      <w:tr>
        <w:trPr>
          <w:trHeight w:val="432"/>
        </w:trPr>
        <w:tc>
          <w:tcPr>
            <w:tcW w:w="1280" w:type="dxa"/>
            <w:vAlign w:val="bottom"/>
          </w:tcPr>
          <w:p>
            <w:pPr>
              <w:jc w:val="center"/>
              <w:spacing w:after="0"/>
              <w:rPr>
                <w:sz w:val="20"/>
                <w:szCs w:val="20"/>
                <w:color w:val="auto"/>
              </w:rPr>
            </w:pPr>
            <w:r>
              <w:rPr>
                <w:rFonts w:ascii="Arial" w:cs="Arial" w:eastAsia="Arial" w:hAnsi="Arial"/>
                <w:sz w:val="18"/>
                <w:szCs w:val="18"/>
                <w:color w:val="auto"/>
                <w:w w:val="89"/>
              </w:rPr>
              <w:t>99</w:t>
            </w:r>
          </w:p>
        </w:tc>
        <w:tc>
          <w:tcPr>
            <w:tcW w:w="10140" w:type="dxa"/>
            <w:vAlign w:val="bottom"/>
            <w:gridSpan w:val="2"/>
          </w:tcPr>
          <w:p>
            <w:pPr>
              <w:ind w:left="940"/>
              <w:spacing w:after="0"/>
              <w:rPr>
                <w:sz w:val="20"/>
                <w:szCs w:val="20"/>
                <w:color w:val="auto"/>
              </w:rPr>
            </w:pPr>
            <w:r>
              <w:rPr>
                <w:rFonts w:ascii="Arial" w:cs="Arial" w:eastAsia="Arial" w:hAnsi="Arial"/>
                <w:sz w:val="18"/>
                <w:szCs w:val="18"/>
                <w:color w:val="auto"/>
              </w:rPr>
              <w:t>Registrant’s News Release</w:t>
            </w:r>
          </w:p>
        </w:tc>
      </w:tr>
      <w:tr>
        <w:trPr>
          <w:trHeight w:val="243"/>
        </w:trPr>
        <w:tc>
          <w:tcPr>
            <w:tcW w:w="1280" w:type="dxa"/>
            <w:vAlign w:val="bottom"/>
          </w:tcPr>
          <w:p>
            <w:pPr>
              <w:spacing w:after="0"/>
              <w:rPr>
                <w:sz w:val="21"/>
                <w:szCs w:val="21"/>
                <w:color w:val="auto"/>
              </w:rPr>
            </w:pPr>
          </w:p>
        </w:tc>
        <w:tc>
          <w:tcPr>
            <w:tcW w:w="10140" w:type="dxa"/>
            <w:vAlign w:val="bottom"/>
            <w:gridSpan w:val="2"/>
          </w:tcPr>
          <w:p>
            <w:pPr>
              <w:ind w:left="940"/>
              <w:spacing w:after="0"/>
              <w:rPr>
                <w:sz w:val="20"/>
                <w:szCs w:val="20"/>
                <w:color w:val="auto"/>
              </w:rPr>
            </w:pPr>
            <w:r>
              <w:rPr>
                <w:rFonts w:ascii="Arial" w:cs="Arial" w:eastAsia="Arial" w:hAnsi="Arial"/>
                <w:sz w:val="18"/>
                <w:szCs w:val="18"/>
                <w:color w:val="auto"/>
              </w:rPr>
              <w:t>Dated January 22, 2008 (furnished pursuant to Item 2.02)</w:t>
            </w:r>
          </w:p>
        </w:tc>
      </w:tr>
    </w:tbl>
    <w:p>
      <w:pPr>
        <w:spacing w:after="0" w:line="229"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“Safe Harbor” Statement under the Private Securities Litigation Reform Act of 1995: This report includes forward-looking statements intended to qualify for the safe harbor from liability established by the Private Securities Litigation Reform Act of 1995. These forward-looking statements generally can be identified by phrases such as TI or its management “believes,” “expects,” “anticipates,” “foresees,” “forecasts,” “estimates” or other words or phrases of similar import. Similarly, statements in this report that describe the Company’s business strategy, outlook, objectives, plans, intentions or goals also are forward-looking statements. All such forward-looking statements are subject to certain risks and uncertainties that could cause actual results to differ materially from those in forward-looking statements.</w:t>
      </w:r>
    </w:p>
    <w:p>
      <w:pPr>
        <w:spacing w:after="0" w:line="220"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We urge you to carefully consider the following important factors that could cause actual results to differ materially from the expectations of the Company or its management:</w:t>
      </w:r>
    </w:p>
    <w:p>
      <w:pPr>
        <w:spacing w:after="0" w:line="197" w:lineRule="exact"/>
        <w:rPr>
          <w:sz w:val="20"/>
          <w:szCs w:val="20"/>
          <w:color w:val="auto"/>
        </w:rPr>
      </w:pPr>
    </w:p>
    <w:p>
      <w:pPr>
        <w:ind w:left="660" w:hanging="139"/>
        <w:spacing w:after="0" w:line="258"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Market demand for semiconductors, particularly for analog chips and digital signal processors in key markets such as communications, entertainment electronics and computing;</w:t>
      </w:r>
    </w:p>
    <w:p>
      <w:pPr>
        <w:spacing w:after="0" w:line="1" w:lineRule="exact"/>
        <w:rPr>
          <w:rFonts w:ascii="Arial" w:cs="Arial" w:eastAsia="Arial" w:hAnsi="Arial"/>
          <w:sz w:val="18"/>
          <w:szCs w:val="18"/>
          <w:color w:val="auto"/>
        </w:rPr>
      </w:pPr>
    </w:p>
    <w:p>
      <w:pPr>
        <w:ind w:left="660" w:hanging="139"/>
        <w:spacing w:after="0" w:line="250"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TI’s ability to maintain or improve profit margins, including its ability to utilize its manufacturing facilities at sufficient levels to cover its fixed operating costs, in an intensely competitive and cyclical industry;</w:t>
      </w:r>
    </w:p>
    <w:p>
      <w:pPr>
        <w:ind w:left="660" w:hanging="139"/>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TI’s ability to develop, manufacture and market innovative products in a rapidly changing technological environment;</w:t>
      </w:r>
    </w:p>
    <w:p>
      <w:pPr>
        <w:spacing w:after="0" w:line="9" w:lineRule="exact"/>
        <w:rPr>
          <w:rFonts w:ascii="Arial" w:cs="Arial" w:eastAsia="Arial" w:hAnsi="Arial"/>
          <w:sz w:val="18"/>
          <w:szCs w:val="18"/>
          <w:color w:val="auto"/>
        </w:rPr>
      </w:pPr>
    </w:p>
    <w:p>
      <w:pPr>
        <w:ind w:left="660" w:hanging="139"/>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TI’s ability to compete in products and prices in an intensely competitive industry;</w:t>
      </w:r>
    </w:p>
    <w:p>
      <w:pPr>
        <w:spacing w:after="0" w:line="9" w:lineRule="exact"/>
        <w:rPr>
          <w:rFonts w:ascii="Arial" w:cs="Arial" w:eastAsia="Arial" w:hAnsi="Arial"/>
          <w:sz w:val="18"/>
          <w:szCs w:val="18"/>
          <w:color w:val="auto"/>
        </w:rPr>
      </w:pPr>
    </w:p>
    <w:p>
      <w:pPr>
        <w:ind w:left="660" w:hanging="139"/>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TI’s ability to maintain and enforce a strong intellectual property portfolio and obtain needed licenses from third parties;</w:t>
      </w:r>
    </w:p>
    <w:p>
      <w:pPr>
        <w:spacing w:after="0" w:line="9" w:lineRule="exact"/>
        <w:rPr>
          <w:rFonts w:ascii="Arial" w:cs="Arial" w:eastAsia="Arial" w:hAnsi="Arial"/>
          <w:sz w:val="18"/>
          <w:szCs w:val="18"/>
          <w:color w:val="auto"/>
        </w:rPr>
      </w:pPr>
    </w:p>
    <w:p>
      <w:pPr>
        <w:ind w:left="660" w:hanging="139"/>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Expiration of license agreements between TI and its patent licensees, and market conditions reducing royalty payments to TI;</w:t>
      </w:r>
    </w:p>
    <w:p>
      <w:pPr>
        <w:spacing w:after="0" w:line="9" w:lineRule="exact"/>
        <w:rPr>
          <w:rFonts w:ascii="Arial" w:cs="Arial" w:eastAsia="Arial" w:hAnsi="Arial"/>
          <w:sz w:val="18"/>
          <w:szCs w:val="18"/>
          <w:color w:val="auto"/>
        </w:rPr>
      </w:pPr>
    </w:p>
    <w:p>
      <w:pPr>
        <w:ind w:left="660" w:hanging="139"/>
        <w:spacing w:after="0" w:line="250"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Economic, social and political conditions in the countries in which TI, its customers or its suppliers operate, including security risks, health conditions, possible disruptions in transportation networks and fluctuations in foreign currency exchange rates;</w:t>
      </w:r>
    </w:p>
    <w:p>
      <w:pPr>
        <w:ind w:left="660" w:hanging="139"/>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Natural events such as severe weather and earthquakes in the locations in which TI, its customers or its suppliers operate;</w:t>
      </w:r>
    </w:p>
    <w:p>
      <w:pPr>
        <w:spacing w:after="0" w:line="9" w:lineRule="exact"/>
        <w:rPr>
          <w:rFonts w:ascii="Arial" w:cs="Arial" w:eastAsia="Arial" w:hAnsi="Arial"/>
          <w:sz w:val="18"/>
          <w:szCs w:val="18"/>
          <w:color w:val="auto"/>
        </w:rPr>
      </w:pPr>
    </w:p>
    <w:p>
      <w:pPr>
        <w:ind w:left="660" w:hanging="139"/>
        <w:spacing w:after="0"/>
        <w:tabs>
          <w:tab w:leader="none" w:pos="660" w:val="left"/>
        </w:tabs>
        <w:numPr>
          <w:ilvl w:val="0"/>
          <w:numId w:val="2"/>
        </w:numPr>
        <w:rPr>
          <w:rFonts w:ascii="Arial" w:cs="Arial" w:eastAsia="Arial" w:hAnsi="Arial"/>
          <w:sz w:val="17"/>
          <w:szCs w:val="17"/>
          <w:color w:val="auto"/>
        </w:rPr>
      </w:pPr>
      <w:r>
        <w:rPr>
          <w:rFonts w:ascii="Arial" w:cs="Arial" w:eastAsia="Arial" w:hAnsi="Arial"/>
          <w:sz w:val="17"/>
          <w:szCs w:val="17"/>
          <w:color w:val="auto"/>
        </w:rPr>
        <w:t>Availability and cost of raw materials, utilities, manufacturing equipment, third-party manufacturing services and manufacturing technology;</w:t>
      </w:r>
    </w:p>
    <w:p>
      <w:pPr>
        <w:spacing w:after="0" w:line="20" w:lineRule="exact"/>
        <w:rPr>
          <w:rFonts w:ascii="Arial" w:cs="Arial" w:eastAsia="Arial" w:hAnsi="Arial"/>
          <w:sz w:val="17"/>
          <w:szCs w:val="17"/>
          <w:color w:val="auto"/>
        </w:rPr>
      </w:pPr>
    </w:p>
    <w:p>
      <w:pPr>
        <w:ind w:left="660" w:hanging="139"/>
        <w:spacing w:after="0" w:line="250"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Changes in the tax rate applicable to TI as the result of changes in tax law, the jurisdictions in which profits are determined to be earned and taxed, the outcome of tax audits and the ability to realize deferred tax assets;</w:t>
      </w:r>
    </w:p>
    <w:p>
      <w:pPr>
        <w:ind w:left="660" w:hanging="139"/>
        <w:spacing w:after="0"/>
        <w:tabs>
          <w:tab w:leader="none" w:pos="660" w:val="left"/>
        </w:tabs>
        <w:numPr>
          <w:ilvl w:val="0"/>
          <w:numId w:val="2"/>
        </w:numPr>
        <w:rPr>
          <w:rFonts w:ascii="Arial" w:cs="Arial" w:eastAsia="Arial" w:hAnsi="Arial"/>
          <w:sz w:val="17"/>
          <w:szCs w:val="17"/>
          <w:color w:val="auto"/>
        </w:rPr>
      </w:pPr>
      <w:r>
        <w:rPr>
          <w:rFonts w:ascii="Arial" w:cs="Arial" w:eastAsia="Arial" w:hAnsi="Arial"/>
          <w:sz w:val="17"/>
          <w:szCs w:val="17"/>
          <w:color w:val="auto"/>
        </w:rPr>
        <w:t>Losses or curtailments of purchases from key customers and the timing and amount of distributor and other customer inventory adjustments;</w:t>
      </w:r>
    </w:p>
    <w:p>
      <w:pPr>
        <w:spacing w:after="0" w:line="20" w:lineRule="exact"/>
        <w:rPr>
          <w:rFonts w:ascii="Arial" w:cs="Arial" w:eastAsia="Arial" w:hAnsi="Arial"/>
          <w:sz w:val="17"/>
          <w:szCs w:val="17"/>
          <w:color w:val="auto"/>
        </w:rPr>
      </w:pPr>
    </w:p>
    <w:p>
      <w:pPr>
        <w:ind w:left="660" w:hanging="139"/>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Customer demand that differs from company forecasts;</w:t>
      </w:r>
    </w:p>
    <w:p>
      <w:pPr>
        <w:spacing w:after="0" w:line="9" w:lineRule="exact"/>
        <w:rPr>
          <w:rFonts w:ascii="Arial" w:cs="Arial" w:eastAsia="Arial" w:hAnsi="Arial"/>
          <w:sz w:val="18"/>
          <w:szCs w:val="18"/>
          <w:color w:val="auto"/>
        </w:rPr>
      </w:pPr>
    </w:p>
    <w:p>
      <w:pPr>
        <w:ind w:left="660" w:hanging="139"/>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financial impact of inadequate or excess TI inventories to meet demand that differs from projections;</w:t>
      </w:r>
    </w:p>
    <w:p>
      <w:pPr>
        <w:spacing w:after="0" w:line="9" w:lineRule="exact"/>
        <w:rPr>
          <w:rFonts w:ascii="Arial" w:cs="Arial" w:eastAsia="Arial" w:hAnsi="Arial"/>
          <w:sz w:val="18"/>
          <w:szCs w:val="18"/>
          <w:color w:val="auto"/>
        </w:rPr>
      </w:pPr>
    </w:p>
    <w:p>
      <w:pPr>
        <w:ind w:left="660" w:hanging="139"/>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Product liability or warranty claims, or recalls by TI customers for a product containing a TI part;</w:t>
      </w:r>
    </w:p>
    <w:p>
      <w:pPr>
        <w:spacing w:after="0" w:line="9" w:lineRule="exact"/>
        <w:rPr>
          <w:rFonts w:ascii="Arial" w:cs="Arial" w:eastAsia="Arial" w:hAnsi="Arial"/>
          <w:sz w:val="18"/>
          <w:szCs w:val="18"/>
          <w:color w:val="auto"/>
        </w:rPr>
      </w:pPr>
    </w:p>
    <w:p>
      <w:pPr>
        <w:ind w:left="660" w:hanging="139"/>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TI’s ability to recruit and retain skilled personnel; and</w:t>
      </w:r>
    </w:p>
    <w:p>
      <w:pPr>
        <w:spacing w:after="0" w:line="9" w:lineRule="exact"/>
        <w:rPr>
          <w:rFonts w:ascii="Arial" w:cs="Arial" w:eastAsia="Arial" w:hAnsi="Arial"/>
          <w:sz w:val="18"/>
          <w:szCs w:val="18"/>
          <w:color w:val="auto"/>
        </w:rPr>
      </w:pPr>
    </w:p>
    <w:p>
      <w:pPr>
        <w:ind w:left="660" w:hanging="139"/>
        <w:spacing w:after="0" w:line="261"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Timely implementation of new manufacturing technologies, installation of manufacturing equipment and the ability to obtain needed third-party foundry and assembly/test subcontract services.</w:t>
      </w:r>
    </w:p>
    <w:p>
      <w:pPr>
        <w:spacing w:after="0" w:line="211" w:lineRule="exact"/>
        <w:rPr>
          <w:sz w:val="20"/>
          <w:szCs w:val="20"/>
          <w:color w:val="auto"/>
        </w:rPr>
      </w:pPr>
    </w:p>
    <w:p>
      <w:pPr>
        <w:jc w:val="both"/>
        <w:ind w:right="360"/>
        <w:spacing w:after="0" w:line="264" w:lineRule="auto"/>
        <w:rPr>
          <w:sz w:val="20"/>
          <w:szCs w:val="20"/>
          <w:color w:val="auto"/>
        </w:rPr>
      </w:pPr>
      <w:r>
        <w:rPr>
          <w:rFonts w:ascii="Arial" w:cs="Arial" w:eastAsia="Arial" w:hAnsi="Arial"/>
          <w:sz w:val="18"/>
          <w:szCs w:val="18"/>
          <w:color w:val="auto"/>
        </w:rPr>
        <w:t>For a more detailed discussion of these factors, see the text under the heading “Risk Factors” in Item 1A of the Company’s most recent Form 10-K. The forward-looking statements included in this report on Form 8-K are made only as of the date of this report, and the Company undertakes no obligation to update the forward-looking statements to reflect subsequent events or circumstances.</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SIGNATURES</w:t>
      </w:r>
    </w:p>
    <w:p>
      <w:pPr>
        <w:spacing w:after="0" w:line="252"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14"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TEXAS INSTRUMENTS INCORPORATED</w:t>
      </w:r>
    </w:p>
    <w:p>
      <w:pPr>
        <w:spacing w:after="0" w:line="252" w:lineRule="exact"/>
        <w:rPr>
          <w:sz w:val="20"/>
          <w:szCs w:val="20"/>
          <w:color w:val="auto"/>
        </w:rPr>
      </w:pPr>
    </w:p>
    <w:p>
      <w:pPr>
        <w:spacing w:after="0"/>
        <w:tabs>
          <w:tab w:leader="none" w:pos="5580" w:val="left"/>
          <w:tab w:leader="none" w:pos="6080" w:val="left"/>
        </w:tabs>
        <w:rPr>
          <w:sz w:val="20"/>
          <w:szCs w:val="20"/>
          <w:color w:val="auto"/>
        </w:rPr>
      </w:pPr>
      <w:r>
        <w:rPr>
          <w:rFonts w:ascii="Arial" w:cs="Arial" w:eastAsia="Arial" w:hAnsi="Arial"/>
          <w:sz w:val="18"/>
          <w:szCs w:val="18"/>
          <w:color w:val="auto"/>
        </w:rPr>
        <w:t>Date: January 22, 2008</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Kevin P. March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3872865</wp:posOffset>
            </wp:positionH>
            <wp:positionV relativeFrom="paragraph">
              <wp:posOffset>14605</wp:posOffset>
            </wp:positionV>
            <wp:extent cx="3378835"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378835" cy="17145"/>
                    </a:xfrm>
                    <a:prstGeom prst="rect">
                      <a:avLst/>
                    </a:prstGeom>
                    <a:noFill/>
                  </pic:spPr>
                </pic:pic>
              </a:graphicData>
            </a:graphic>
          </wp:anchor>
        </w:drawing>
      </w:r>
    </w:p>
    <w:p>
      <w:pPr>
        <w:spacing w:after="0" w:line="16" w:lineRule="exact"/>
        <w:rPr>
          <w:sz w:val="20"/>
          <w:szCs w:val="20"/>
          <w:color w:val="auto"/>
        </w:rPr>
      </w:pPr>
    </w:p>
    <w:p>
      <w:pPr>
        <w:ind w:left="6100"/>
        <w:spacing w:after="0"/>
        <w:rPr>
          <w:sz w:val="20"/>
          <w:szCs w:val="20"/>
          <w:color w:val="auto"/>
        </w:rPr>
      </w:pPr>
      <w:r>
        <w:rPr>
          <w:rFonts w:ascii="Arial" w:cs="Arial" w:eastAsia="Arial" w:hAnsi="Arial"/>
          <w:sz w:val="18"/>
          <w:szCs w:val="18"/>
          <w:color w:val="auto"/>
        </w:rPr>
        <w:t>Kevin P. March</w:t>
      </w:r>
    </w:p>
    <w:p>
      <w:pPr>
        <w:spacing w:after="0" w:line="36" w:lineRule="exact"/>
        <w:rPr>
          <w:sz w:val="20"/>
          <w:szCs w:val="20"/>
          <w:color w:val="auto"/>
        </w:rPr>
      </w:pPr>
    </w:p>
    <w:p>
      <w:pPr>
        <w:ind w:left="6100"/>
        <w:spacing w:after="0"/>
        <w:rPr>
          <w:sz w:val="20"/>
          <w:szCs w:val="20"/>
          <w:color w:val="auto"/>
        </w:rPr>
      </w:pPr>
      <w:r>
        <w:rPr>
          <w:rFonts w:ascii="Arial" w:cs="Arial" w:eastAsia="Arial" w:hAnsi="Arial"/>
          <w:sz w:val="18"/>
          <w:szCs w:val="18"/>
          <w:color w:val="auto"/>
        </w:rPr>
        <w:t>Senior Vice President</w:t>
      </w:r>
    </w:p>
    <w:p>
      <w:pPr>
        <w:spacing w:after="0" w:line="36" w:lineRule="exact"/>
        <w:rPr>
          <w:sz w:val="20"/>
          <w:szCs w:val="20"/>
          <w:color w:val="auto"/>
        </w:rPr>
      </w:pPr>
    </w:p>
    <w:p>
      <w:pPr>
        <w:ind w:left="6100"/>
        <w:spacing w:after="0"/>
        <w:rPr>
          <w:sz w:val="20"/>
          <w:szCs w:val="20"/>
          <w:color w:val="auto"/>
        </w:rPr>
      </w:pPr>
      <w:r>
        <w:rPr>
          <w:rFonts w:ascii="Arial" w:cs="Arial" w:eastAsia="Arial" w:hAnsi="Arial"/>
          <w:sz w:val="18"/>
          <w:szCs w:val="18"/>
          <w:color w:val="auto"/>
        </w:rPr>
        <w:t>and Chief Financial Officer</w:t>
      </w:r>
    </w:p>
    <w:p>
      <w:pPr>
        <w:sectPr>
          <w:pgSz w:w="11900" w:h="16838" w:orient="portrait"/>
          <w:cols w:equalWidth="0" w:num="1">
            <w:col w:w="11420"/>
          </w:cols>
          <w:pgMar w:left="240" w:top="368" w:right="239" w:bottom="1440" w:gutter="0" w:footer="0" w:header="0"/>
        </w:sectPr>
      </w:pPr>
    </w:p>
    <w:bookmarkStart w:id="2" w:name="page3"/>
    <w:bookmarkEnd w:id="2"/>
    <w:p>
      <w:pPr>
        <w:jc w:val="right"/>
        <w:spacing w:after="0"/>
        <w:rPr>
          <w:sz w:val="20"/>
          <w:szCs w:val="20"/>
          <w:color w:val="auto"/>
        </w:rPr>
      </w:pPr>
      <w:r>
        <w:rPr>
          <w:rFonts w:ascii="Arial" w:cs="Arial" w:eastAsia="Arial" w:hAnsi="Arial"/>
          <w:sz w:val="18"/>
          <w:szCs w:val="18"/>
          <w:u w:val="single" w:color="auto"/>
          <w:color w:val="auto"/>
        </w:rPr>
        <w:t>Exhibit 99</w:t>
      </w: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TI Reports Financial Results for 4Q07 and 2007</w:t>
      </w:r>
    </w:p>
    <w:p>
      <w:pPr>
        <w:spacing w:after="0" w:line="200" w:lineRule="exact"/>
        <w:rPr>
          <w:sz w:val="20"/>
          <w:szCs w:val="20"/>
          <w:color w:val="auto"/>
        </w:rPr>
      </w:pPr>
    </w:p>
    <w:p>
      <w:pPr>
        <w:spacing w:after="0" w:line="289" w:lineRule="exact"/>
        <w:rPr>
          <w:sz w:val="20"/>
          <w:szCs w:val="20"/>
          <w:color w:val="auto"/>
        </w:rPr>
      </w:pPr>
    </w:p>
    <w:p>
      <w:pPr>
        <w:ind w:left="340" w:hanging="143"/>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Revenue is $3.56 Billion and EPS is $0.54 in 4Q07</w:t>
      </w:r>
    </w:p>
    <w:p>
      <w:pPr>
        <w:spacing w:after="0" w:line="23" w:lineRule="exact"/>
        <w:rPr>
          <w:rFonts w:ascii="Arial" w:cs="Arial" w:eastAsia="Arial" w:hAnsi="Arial"/>
          <w:sz w:val="18"/>
          <w:szCs w:val="18"/>
          <w:color w:val="auto"/>
        </w:rPr>
      </w:pPr>
    </w:p>
    <w:p>
      <w:pPr>
        <w:ind w:left="340" w:hanging="143"/>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For Year, Cash Flow from Operations is $4.41 Billion and Return on Invested Capital Exceeds 25 Percent</w:t>
      </w: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Conference Call on TI Web Site at 4:30 p.m. Central Time Today</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www.ti.com</w:t>
      </w:r>
    </w:p>
    <w:p>
      <w:pPr>
        <w:spacing w:after="0" w:line="238"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i w:val="1"/>
          <w:iCs w:val="1"/>
          <w:color w:val="auto"/>
        </w:rPr>
        <w:t>Except as noted, financial results are for continuing operations. The sale of TI’s former Sensors &amp; Controls business was completed on April 27, 2006, and that business is reported as a discontinued operation.</w:t>
      </w:r>
    </w:p>
    <w:p>
      <w:pPr>
        <w:spacing w:after="0" w:line="197"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DALLAS (Jan. 22, 2008) – Financial results reported today by Texas Instruments Incorporated (TI) (NYSE:TXN) reflect the company’s strong positions in analog and digital signal processing semiconductors.</w:t>
      </w:r>
    </w:p>
    <w:p>
      <w:pPr>
        <w:spacing w:after="0" w:line="197" w:lineRule="exact"/>
        <w:rPr>
          <w:sz w:val="20"/>
          <w:szCs w:val="20"/>
          <w:color w:val="auto"/>
        </w:rPr>
      </w:pPr>
    </w:p>
    <w:p>
      <w:pPr>
        <w:ind w:right="180" w:firstLine="648"/>
        <w:spacing w:after="0" w:line="302" w:lineRule="auto"/>
        <w:rPr>
          <w:sz w:val="20"/>
          <w:szCs w:val="20"/>
          <w:color w:val="auto"/>
        </w:rPr>
      </w:pPr>
      <w:r>
        <w:rPr>
          <w:rFonts w:ascii="Arial" w:cs="Arial" w:eastAsia="Arial" w:hAnsi="Arial"/>
          <w:sz w:val="16"/>
          <w:szCs w:val="16"/>
          <w:color w:val="auto"/>
        </w:rPr>
        <w:t>Growth resumed in the fourth quarter with a revenue increase of 3 percent from the same quarter a year ago. This growth was led by demand for TI’s digital signal processors and high-performance analog products, which were up 12 percent each. Gross profit increased 10 percent and operating profit increased 30 percent, reflecting the quality of the company's product portfolio, the efficiency of its manufacturing strategies and effective expense management. For the year, cash flow from operations was a record $4.41 billion and return on invested capital was more than 25 percent.</w:t>
      </w:r>
    </w:p>
    <w:p>
      <w:pPr>
        <w:spacing w:after="0" w:line="181" w:lineRule="exact"/>
        <w:rPr>
          <w:sz w:val="20"/>
          <w:szCs w:val="20"/>
          <w:color w:val="auto"/>
        </w:rPr>
      </w:pPr>
    </w:p>
    <w:p>
      <w:pPr>
        <w:ind w:right="640" w:firstLine="648"/>
        <w:spacing w:after="0" w:line="286" w:lineRule="auto"/>
        <w:rPr>
          <w:sz w:val="20"/>
          <w:szCs w:val="20"/>
          <w:color w:val="auto"/>
        </w:rPr>
      </w:pPr>
      <w:r>
        <w:rPr>
          <w:rFonts w:ascii="Arial" w:cs="Arial" w:eastAsia="Arial" w:hAnsi="Arial"/>
          <w:sz w:val="16"/>
          <w:szCs w:val="16"/>
          <w:color w:val="auto"/>
        </w:rPr>
        <w:t>“It was a good quarter and a good year for TI. We delivered more value to shareholders and built momentum with customers. Perhaps most important to our future performance, we sharpened our focus on analog with increases in dedicated research and development, sales support and manufacturing capacity. Evidence of our potential in this area was notable in high-performance analog where we again made substantial market share gains,” said Rich Templeton, TI president and chief executive officer. “We move into the first quarter of 2008 expecting year-over-</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year growth to accelerate in our semiconductor operations.”</w:t>
      </w:r>
    </w:p>
    <w:p>
      <w:pPr>
        <w:spacing w:after="0" w:line="23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Details of financial performance for both the fourth quarter and the year are in the following paragraphs.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Fourth Quarter 2007</w:t>
      </w:r>
    </w:p>
    <w:p>
      <w:pPr>
        <w:spacing w:after="0" w:line="256" w:lineRule="exact"/>
        <w:rPr>
          <w:sz w:val="20"/>
          <w:szCs w:val="20"/>
          <w:color w:val="auto"/>
        </w:rPr>
      </w:pPr>
    </w:p>
    <w:p>
      <w:pPr>
        <w:jc w:val="both"/>
        <w:ind w:left="340" w:hanging="143"/>
        <w:spacing w:after="0" w:line="264" w:lineRule="auto"/>
        <w:tabs>
          <w:tab w:leader="none" w:pos="340" w:val="left"/>
        </w:tabs>
        <w:numPr>
          <w:ilvl w:val="1"/>
          <w:numId w:val="4"/>
        </w:numPr>
        <w:rPr>
          <w:rFonts w:ascii="Arial" w:cs="Arial" w:eastAsia="Arial" w:hAnsi="Arial"/>
          <w:sz w:val="18"/>
          <w:szCs w:val="18"/>
          <w:color w:val="auto"/>
        </w:rPr>
      </w:pPr>
      <w:r>
        <w:rPr>
          <w:rFonts w:ascii="Arial" w:cs="Arial" w:eastAsia="Arial" w:hAnsi="Arial"/>
          <w:sz w:val="18"/>
          <w:szCs w:val="18"/>
          <w:color w:val="auto"/>
        </w:rPr>
        <w:t>Revenue was $3.56 billion, up 3 percent from the same quarter a year ago. This was the first year-over-year gain in four quarters, reflecting renewed growth in the company’s Semiconductor segment. Compared with the third quarter of the year, revenue decreased 3 percent due to the expected seasonal decline in graphing calculators, the core products in the company’s Education Technology segment.</w:t>
      </w:r>
    </w:p>
    <w:p>
      <w:pPr>
        <w:spacing w:after="0" w:line="208" w:lineRule="exact"/>
        <w:rPr>
          <w:rFonts w:ascii="Arial" w:cs="Arial" w:eastAsia="Arial" w:hAnsi="Arial"/>
          <w:sz w:val="18"/>
          <w:szCs w:val="18"/>
          <w:color w:val="auto"/>
        </w:rPr>
      </w:pPr>
    </w:p>
    <w:p>
      <w:pPr>
        <w:jc w:val="both"/>
        <w:ind w:left="300" w:hanging="143"/>
        <w:spacing w:after="0" w:line="257" w:lineRule="auto"/>
        <w:tabs>
          <w:tab w:leader="none" w:pos="300" w:val="left"/>
        </w:tabs>
        <w:numPr>
          <w:ilvl w:val="0"/>
          <w:numId w:val="4"/>
        </w:numPr>
        <w:rPr>
          <w:rFonts w:ascii="Arial" w:cs="Arial" w:eastAsia="Arial" w:hAnsi="Arial"/>
          <w:sz w:val="18"/>
          <w:szCs w:val="18"/>
          <w:color w:val="auto"/>
        </w:rPr>
      </w:pPr>
      <w:r>
        <w:rPr>
          <w:rFonts w:ascii="Arial" w:cs="Arial" w:eastAsia="Arial" w:hAnsi="Arial"/>
          <w:sz w:val="18"/>
          <w:szCs w:val="18"/>
          <w:color w:val="auto"/>
        </w:rPr>
        <w:t>Gross profit was $1.93 billion, or 54.2 percent of revenue. This was down $58 million from the prior quarter primarily due to seasonally lower revenue from graphing calculators. In addition, the prior quarter included a $39 million gain from the sale of TI’s product line for digital subscriber line (DSL) customer premises equipment. These more than offset higher gross profit in the company’s Semiconductor segment. Compared with the year-ago quarter, gross profit was up $178 million as a greater percentage of revenue came from more-profitable analog and digital signal processing products, and as the company continued to reduce manufacturing costs.</w:t>
      </w:r>
    </w:p>
    <w:p>
      <w:pPr>
        <w:spacing w:after="0" w:line="215" w:lineRule="exact"/>
        <w:rPr>
          <w:rFonts w:ascii="Arial" w:cs="Arial" w:eastAsia="Arial" w:hAnsi="Arial"/>
          <w:sz w:val="18"/>
          <w:szCs w:val="18"/>
          <w:color w:val="auto"/>
        </w:rPr>
      </w:pPr>
    </w:p>
    <w:p>
      <w:pPr>
        <w:jc w:val="both"/>
        <w:ind w:left="340" w:hanging="143"/>
        <w:spacing w:after="0" w:line="297" w:lineRule="auto"/>
        <w:tabs>
          <w:tab w:leader="none" w:pos="340" w:val="left"/>
        </w:tabs>
        <w:numPr>
          <w:ilvl w:val="1"/>
          <w:numId w:val="4"/>
        </w:numPr>
        <w:rPr>
          <w:rFonts w:ascii="Arial" w:cs="Arial" w:eastAsia="Arial" w:hAnsi="Arial"/>
          <w:sz w:val="16"/>
          <w:szCs w:val="16"/>
          <w:color w:val="auto"/>
        </w:rPr>
      </w:pPr>
      <w:r>
        <w:rPr>
          <w:rFonts w:ascii="Arial" w:cs="Arial" w:eastAsia="Arial" w:hAnsi="Arial"/>
          <w:sz w:val="16"/>
          <w:szCs w:val="16"/>
          <w:color w:val="auto"/>
        </w:rPr>
        <w:t>Operating expenses were $508 million for research and development (R&amp;D) and $422 million for selling, general and administrative (SG&amp;A). R&amp;D expense decreased $34 million from the prior quarter due to lower costs for severance and semiconductor product development. From the year-ago quarter, R&amp;D expense decreased $48 million due to lower costs for semiconductor product development. The company continues to benefit from more efficient development of advanced digital manufacturing process technologies through its collaborative work with foundries. SG&amp;A decreased $7 million from the prior quarter due to seasonally lower compensation expense. SG&amp;A was about even with the same quarter a year ago.</w:t>
      </w:r>
    </w:p>
    <w:p>
      <w:pPr>
        <w:spacing w:after="0" w:line="185" w:lineRule="exact"/>
        <w:rPr>
          <w:rFonts w:ascii="Arial" w:cs="Arial" w:eastAsia="Arial" w:hAnsi="Arial"/>
          <w:sz w:val="16"/>
          <w:szCs w:val="16"/>
          <w:color w:val="auto"/>
        </w:rPr>
      </w:pPr>
    </w:p>
    <w:p>
      <w:pPr>
        <w:jc w:val="both"/>
        <w:ind w:left="340" w:hanging="143"/>
        <w:spacing w:after="0" w:line="264" w:lineRule="auto"/>
        <w:tabs>
          <w:tab w:leader="none" w:pos="340" w:val="left"/>
        </w:tabs>
        <w:numPr>
          <w:ilvl w:val="1"/>
          <w:numId w:val="4"/>
        </w:numPr>
        <w:rPr>
          <w:rFonts w:ascii="Arial" w:cs="Arial" w:eastAsia="Arial" w:hAnsi="Arial"/>
          <w:sz w:val="18"/>
          <w:szCs w:val="18"/>
          <w:color w:val="auto"/>
        </w:rPr>
      </w:pPr>
      <w:r>
        <w:rPr>
          <w:rFonts w:ascii="Arial" w:cs="Arial" w:eastAsia="Arial" w:hAnsi="Arial"/>
          <w:sz w:val="18"/>
          <w:szCs w:val="18"/>
          <w:color w:val="auto"/>
        </w:rPr>
        <w:t>Operating profit was $996 million, or 28.0 percent of revenue. This was a decrease of $17 million from the prior quarter as less gross profit more than offset the benefit of lower operating expenses. Operating profit increased $229 million from the year-ago quarter, primarily due to higher gross profit, as well as lower operating expenses.</w:t>
      </w:r>
    </w:p>
    <w:p>
      <w:pPr>
        <w:spacing w:after="0" w:line="208" w:lineRule="exact"/>
        <w:rPr>
          <w:rFonts w:ascii="Arial" w:cs="Arial" w:eastAsia="Arial" w:hAnsi="Arial"/>
          <w:sz w:val="18"/>
          <w:szCs w:val="18"/>
          <w:color w:val="auto"/>
        </w:rPr>
      </w:pPr>
    </w:p>
    <w:p>
      <w:pPr>
        <w:jc w:val="both"/>
        <w:ind w:left="340" w:hanging="143"/>
        <w:spacing w:after="0" w:line="264" w:lineRule="auto"/>
        <w:tabs>
          <w:tab w:leader="none" w:pos="340" w:val="left"/>
        </w:tabs>
        <w:numPr>
          <w:ilvl w:val="1"/>
          <w:numId w:val="4"/>
        </w:numPr>
        <w:rPr>
          <w:rFonts w:ascii="Arial" w:cs="Arial" w:eastAsia="Arial" w:hAnsi="Arial"/>
          <w:sz w:val="18"/>
          <w:szCs w:val="18"/>
          <w:color w:val="auto"/>
        </w:rPr>
      </w:pPr>
      <w:r>
        <w:rPr>
          <w:rFonts w:ascii="Arial" w:cs="Arial" w:eastAsia="Arial" w:hAnsi="Arial"/>
          <w:sz w:val="18"/>
          <w:szCs w:val="18"/>
          <w:color w:val="auto"/>
        </w:rPr>
        <w:t>Other income was $46 million. This was down in both comparisons, $7 million from the prior quarter and $23 million from the year-ago quarter. The declines were primarily due to the non-recurrence of favorable items, including a tax interest benefit in the prior quarter and a settlement with the Italian government in the year-ago quarter.</w:t>
      </w:r>
    </w:p>
    <w:p>
      <w:pPr>
        <w:spacing w:after="0" w:line="208" w:lineRule="exact"/>
        <w:rPr>
          <w:rFonts w:ascii="Arial" w:cs="Arial" w:eastAsia="Arial" w:hAnsi="Arial"/>
          <w:sz w:val="18"/>
          <w:szCs w:val="18"/>
          <w:color w:val="auto"/>
        </w:rPr>
      </w:pPr>
    </w:p>
    <w:p>
      <w:pPr>
        <w:jc w:val="both"/>
        <w:ind w:left="340" w:hanging="143"/>
        <w:spacing w:after="0" w:line="264" w:lineRule="auto"/>
        <w:tabs>
          <w:tab w:leader="none" w:pos="340" w:val="left"/>
        </w:tabs>
        <w:numPr>
          <w:ilvl w:val="1"/>
          <w:numId w:val="4"/>
        </w:numPr>
        <w:rPr>
          <w:rFonts w:ascii="Arial" w:cs="Arial" w:eastAsia="Arial" w:hAnsi="Arial"/>
          <w:sz w:val="18"/>
          <w:szCs w:val="18"/>
          <w:color w:val="auto"/>
        </w:rPr>
      </w:pPr>
      <w:r>
        <w:rPr>
          <w:rFonts w:ascii="Arial" w:cs="Arial" w:eastAsia="Arial" w:hAnsi="Arial"/>
          <w:sz w:val="18"/>
          <w:szCs w:val="18"/>
          <w:color w:val="auto"/>
        </w:rPr>
        <w:t>Income from continuing operations was $753 million, including a discrete tax benefit of $11 million. Income was about even with the prior quarter and up $82 million, or 12 percent, from the year-ago quarter. Income in the year-ago quarter included a $72 million benefit from the reinstatement of the federal R&amp;D tax credit.</w:t>
      </w:r>
    </w:p>
    <w:p>
      <w:pPr>
        <w:spacing w:after="0" w:line="208" w:lineRule="exact"/>
        <w:rPr>
          <w:rFonts w:ascii="Arial" w:cs="Arial" w:eastAsia="Arial" w:hAnsi="Arial"/>
          <w:sz w:val="18"/>
          <w:szCs w:val="18"/>
          <w:color w:val="auto"/>
        </w:rPr>
      </w:pPr>
    </w:p>
    <w:p>
      <w:pPr>
        <w:ind w:left="340" w:hanging="143"/>
        <w:spacing w:after="0" w:line="308" w:lineRule="auto"/>
        <w:tabs>
          <w:tab w:leader="none" w:pos="340" w:val="left"/>
        </w:tabs>
        <w:numPr>
          <w:ilvl w:val="1"/>
          <w:numId w:val="4"/>
        </w:numPr>
        <w:rPr>
          <w:rFonts w:ascii="Arial" w:cs="Arial" w:eastAsia="Arial" w:hAnsi="Arial"/>
          <w:sz w:val="17"/>
          <w:szCs w:val="17"/>
          <w:color w:val="auto"/>
        </w:rPr>
      </w:pPr>
      <w:r>
        <w:rPr>
          <w:rFonts w:ascii="Arial" w:cs="Arial" w:eastAsia="Arial" w:hAnsi="Arial"/>
          <w:sz w:val="17"/>
          <w:szCs w:val="17"/>
          <w:color w:val="auto"/>
        </w:rPr>
        <w:t>Earnings per share (EPS) were $0.54 and included a discrete tax benefit of $0.01. EPS increased in both comparisons, $0.02 from the prior quarter and $0.09 from the year-ago quarter. EPS in the year-ago quarter included a $0.05 tax benefit from the reinstatement of the federal R&amp;D tax credit.</w:t>
      </w:r>
    </w:p>
    <w:p>
      <w:pPr>
        <w:spacing w:after="0" w:line="173" w:lineRule="exact"/>
        <w:rPr>
          <w:rFonts w:ascii="Arial" w:cs="Arial" w:eastAsia="Arial" w:hAnsi="Arial"/>
          <w:sz w:val="17"/>
          <w:szCs w:val="17"/>
          <w:color w:val="auto"/>
        </w:rPr>
      </w:pPr>
    </w:p>
    <w:p>
      <w:pPr>
        <w:ind w:left="340" w:right="20" w:hanging="143"/>
        <w:spacing w:after="0" w:line="277" w:lineRule="auto"/>
        <w:tabs>
          <w:tab w:leader="none" w:pos="340" w:val="left"/>
        </w:tabs>
        <w:numPr>
          <w:ilvl w:val="1"/>
          <w:numId w:val="4"/>
        </w:numPr>
        <w:rPr>
          <w:rFonts w:ascii="Arial" w:cs="Arial" w:eastAsia="Arial" w:hAnsi="Arial"/>
          <w:sz w:val="18"/>
          <w:szCs w:val="18"/>
          <w:color w:val="auto"/>
        </w:rPr>
      </w:pPr>
      <w:r>
        <w:rPr>
          <w:rFonts w:ascii="Arial" w:cs="Arial" w:eastAsia="Arial" w:hAnsi="Arial"/>
          <w:sz w:val="18"/>
          <w:szCs w:val="18"/>
          <w:color w:val="auto"/>
        </w:rPr>
        <w:t>Orders were $3.48 billion. This was a decrease of $75 million from the prior quarter primarily due to the seasonal decline in graphing calculators, and an increase of $402 million from the same quarter a year ago due to stronger demand for the company’s semiconductors.</w:t>
      </w:r>
    </w:p>
    <w:p>
      <w:pPr>
        <w:spacing w:after="0" w:line="197" w:lineRule="exact"/>
        <w:rPr>
          <w:rFonts w:ascii="Arial" w:cs="Arial" w:eastAsia="Arial" w:hAnsi="Arial"/>
          <w:sz w:val="18"/>
          <w:szCs w:val="18"/>
          <w:color w:val="auto"/>
        </w:rPr>
      </w:pPr>
    </w:p>
    <w:p>
      <w:pPr>
        <w:jc w:val="both"/>
        <w:ind w:left="340" w:hanging="143"/>
        <w:spacing w:after="0" w:line="259" w:lineRule="auto"/>
        <w:tabs>
          <w:tab w:leader="none" w:pos="340" w:val="left"/>
        </w:tabs>
        <w:numPr>
          <w:ilvl w:val="1"/>
          <w:numId w:val="4"/>
        </w:numPr>
        <w:rPr>
          <w:rFonts w:ascii="Arial" w:cs="Arial" w:eastAsia="Arial" w:hAnsi="Arial"/>
          <w:sz w:val="18"/>
          <w:szCs w:val="18"/>
          <w:color w:val="auto"/>
        </w:rPr>
      </w:pPr>
      <w:r>
        <w:rPr>
          <w:rFonts w:ascii="Arial" w:cs="Arial" w:eastAsia="Arial" w:hAnsi="Arial"/>
          <w:sz w:val="18"/>
          <w:szCs w:val="18"/>
          <w:color w:val="auto"/>
        </w:rPr>
        <w:t>Cash flow from operations was $1.42 billion, a decrease of $109 million from the prior quarter. The prior quarter included a tax refund. At the end of the quarter, total cash (cash and cash equivalents plus short-term investments) was $2.92 billion. This was $745 million lower than the end of the prior quarter and $793 million lower than the same quarter a year ago as the company used $1.88 billion to repurchase 57 million shares of its common stock and paid dividends of $138 million.</w:t>
      </w:r>
    </w:p>
    <w:p>
      <w:pPr>
        <w:spacing w:after="0" w:line="213" w:lineRule="exact"/>
        <w:rPr>
          <w:rFonts w:ascii="Arial" w:cs="Arial" w:eastAsia="Arial" w:hAnsi="Arial"/>
          <w:sz w:val="18"/>
          <w:szCs w:val="18"/>
          <w:color w:val="auto"/>
        </w:rPr>
      </w:pPr>
    </w:p>
    <w:p>
      <w:pPr>
        <w:ind w:left="340" w:hanging="143"/>
        <w:spacing w:after="0"/>
        <w:tabs>
          <w:tab w:leader="none" w:pos="340" w:val="left"/>
        </w:tabs>
        <w:numPr>
          <w:ilvl w:val="1"/>
          <w:numId w:val="4"/>
        </w:numPr>
        <w:rPr>
          <w:rFonts w:ascii="Arial" w:cs="Arial" w:eastAsia="Arial" w:hAnsi="Arial"/>
          <w:sz w:val="16"/>
          <w:szCs w:val="16"/>
          <w:color w:val="auto"/>
        </w:rPr>
      </w:pPr>
      <w:r>
        <w:rPr>
          <w:rFonts w:ascii="Arial" w:cs="Arial" w:eastAsia="Arial" w:hAnsi="Arial"/>
          <w:sz w:val="16"/>
          <w:szCs w:val="16"/>
          <w:color w:val="auto"/>
        </w:rPr>
        <w:t>Capital spending totaled $181 million, primarily for equipment and facilities used to assemble and test semiconductors. Depreciation was $253 million.</w:t>
      </w:r>
    </w:p>
    <w:p>
      <w:pPr>
        <w:sectPr>
          <w:pgSz w:w="11900" w:h="16838" w:orient="portrait"/>
          <w:cols w:equalWidth="0" w:num="1">
            <w:col w:w="11420"/>
          </w:cols>
          <w:pgMar w:left="240" w:top="125" w:right="239" w:bottom="0" w:gutter="0" w:footer="0" w:header="0"/>
        </w:sectPr>
      </w:pPr>
    </w:p>
    <w:bookmarkStart w:id="3" w:name="page4"/>
    <w:bookmarkEnd w:id="3"/>
    <w:p>
      <w:pPr>
        <w:jc w:val="both"/>
        <w:ind w:left="340" w:hanging="143"/>
        <w:spacing w:after="0" w:line="259" w:lineRule="auto"/>
        <w:tabs>
          <w:tab w:leader="none" w:pos="340" w:val="left"/>
        </w:tabs>
        <w:numPr>
          <w:ilvl w:val="0"/>
          <w:numId w:val="5"/>
        </w:numPr>
        <w:rPr>
          <w:rFonts w:ascii="Arial" w:cs="Arial" w:eastAsia="Arial" w:hAnsi="Arial"/>
          <w:sz w:val="18"/>
          <w:szCs w:val="18"/>
          <w:color w:val="auto"/>
        </w:rPr>
      </w:pPr>
      <w:r>
        <w:rPr>
          <w:rFonts w:ascii="Arial" w:cs="Arial" w:eastAsia="Arial" w:hAnsi="Arial"/>
          <w:sz w:val="18"/>
          <w:szCs w:val="18"/>
          <w:color w:val="auto"/>
        </w:rPr>
        <w:t>Accounts receivable were $1.74 billion at the end of the quarter. This was a decrease of $281 million from the prior quarter, and reflected normal seasonal patterns, for both lower revenue in the final month of the quarter in the Semiconductor segment and lower revenue in the company's Education Technology segment. Accounts receivable were down $32 million compared with the same quarter a year ago. Days sales outstanding were 44 at the end of the quarter, compared with 50 at the end of the prior quarter and 46 for the same period in 2006.</w:t>
      </w:r>
    </w:p>
    <w:p>
      <w:pPr>
        <w:spacing w:after="0" w:line="213" w:lineRule="exact"/>
        <w:rPr>
          <w:rFonts w:ascii="Arial" w:cs="Arial" w:eastAsia="Arial" w:hAnsi="Arial"/>
          <w:sz w:val="18"/>
          <w:szCs w:val="18"/>
          <w:color w:val="auto"/>
        </w:rPr>
      </w:pPr>
    </w:p>
    <w:p>
      <w:pPr>
        <w:ind w:left="340" w:hanging="143"/>
        <w:spacing w:after="0" w:line="342" w:lineRule="auto"/>
        <w:tabs>
          <w:tab w:leader="none" w:pos="340" w:val="left"/>
        </w:tabs>
        <w:numPr>
          <w:ilvl w:val="0"/>
          <w:numId w:val="5"/>
        </w:numPr>
        <w:rPr>
          <w:rFonts w:ascii="Arial" w:cs="Arial" w:eastAsia="Arial" w:hAnsi="Arial"/>
          <w:sz w:val="16"/>
          <w:szCs w:val="16"/>
          <w:color w:val="auto"/>
        </w:rPr>
      </w:pPr>
      <w:r>
        <w:rPr>
          <w:rFonts w:ascii="Arial" w:cs="Arial" w:eastAsia="Arial" w:hAnsi="Arial"/>
          <w:sz w:val="16"/>
          <w:szCs w:val="16"/>
          <w:color w:val="auto"/>
        </w:rPr>
        <w:t>Inventory was $1.42 billion at the end of the fourth quarter. This was $32 million lower than the prior quarter and $19 million lower than the same quarter a year ago. Days of inventory at the end of the fourth quarter were 78, unchanged from the end of the prior quarter and up from 75 a year ago.</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Year 2007</w:t>
      </w:r>
    </w:p>
    <w:p>
      <w:pPr>
        <w:spacing w:after="0" w:line="256" w:lineRule="exact"/>
        <w:rPr>
          <w:sz w:val="20"/>
          <w:szCs w:val="20"/>
          <w:color w:val="auto"/>
        </w:rPr>
      </w:pPr>
    </w:p>
    <w:p>
      <w:pPr>
        <w:ind w:left="340" w:right="20" w:hanging="143"/>
        <w:spacing w:after="0" w:line="308" w:lineRule="auto"/>
        <w:tabs>
          <w:tab w:leader="none" w:pos="340" w:val="left"/>
        </w:tabs>
        <w:numPr>
          <w:ilvl w:val="0"/>
          <w:numId w:val="6"/>
        </w:numPr>
        <w:rPr>
          <w:rFonts w:ascii="Arial" w:cs="Arial" w:eastAsia="Arial" w:hAnsi="Arial"/>
          <w:sz w:val="17"/>
          <w:szCs w:val="17"/>
          <w:color w:val="auto"/>
        </w:rPr>
      </w:pPr>
      <w:r>
        <w:rPr>
          <w:rFonts w:ascii="Arial" w:cs="Arial" w:eastAsia="Arial" w:hAnsi="Arial"/>
          <w:sz w:val="17"/>
          <w:szCs w:val="17"/>
          <w:color w:val="auto"/>
        </w:rPr>
        <w:t>Revenue was $13.83 billion, down 3 percent from 2006, due to lower revenue for RISC microprocessors, semiconductors used in cell phone applications and DLP</w:t>
      </w:r>
      <w:r>
        <w:rPr>
          <w:rFonts w:ascii="Arial" w:cs="Arial" w:eastAsia="Arial" w:hAnsi="Arial"/>
          <w:sz w:val="28"/>
          <w:szCs w:val="28"/>
          <w:color w:val="auto"/>
          <w:vertAlign w:val="superscript"/>
        </w:rPr>
        <w:t>®</w:t>
      </w:r>
      <w:r>
        <w:rPr>
          <w:rFonts w:ascii="Arial" w:cs="Arial" w:eastAsia="Arial" w:hAnsi="Arial"/>
          <w:sz w:val="17"/>
          <w:szCs w:val="17"/>
          <w:color w:val="auto"/>
        </w:rPr>
        <w:t xml:space="preserve"> products. The collective declines in these areas more than offset strong growth from high-performance analog products.</w:t>
      </w:r>
    </w:p>
    <w:p>
      <w:pPr>
        <w:spacing w:after="0" w:line="51" w:lineRule="exact"/>
        <w:rPr>
          <w:rFonts w:ascii="Arial" w:cs="Arial" w:eastAsia="Arial" w:hAnsi="Arial"/>
          <w:sz w:val="17"/>
          <w:szCs w:val="17"/>
          <w:color w:val="auto"/>
        </w:rPr>
      </w:pPr>
    </w:p>
    <w:p>
      <w:pPr>
        <w:ind w:left="340" w:hanging="143"/>
        <w:spacing w:after="0" w:line="277" w:lineRule="auto"/>
        <w:tabs>
          <w:tab w:leader="none" w:pos="340" w:val="left"/>
        </w:tabs>
        <w:numPr>
          <w:ilvl w:val="0"/>
          <w:numId w:val="6"/>
        </w:numPr>
        <w:rPr>
          <w:rFonts w:ascii="Arial" w:cs="Arial" w:eastAsia="Arial" w:hAnsi="Arial"/>
          <w:sz w:val="18"/>
          <w:szCs w:val="18"/>
          <w:color w:val="auto"/>
        </w:rPr>
      </w:pPr>
      <w:r>
        <w:rPr>
          <w:rFonts w:ascii="Arial" w:cs="Arial" w:eastAsia="Arial" w:hAnsi="Arial"/>
          <w:sz w:val="18"/>
          <w:szCs w:val="18"/>
          <w:color w:val="auto"/>
        </w:rPr>
        <w:t>Gross profit was $7.33 billion, or 53.0 percent of revenue. This was an increase of $74 million as a greater percentage of revenue came from more-profitable analog and digital signal processing products, and as the company reduced manufacturing costs.</w:t>
      </w:r>
    </w:p>
    <w:p>
      <w:pPr>
        <w:spacing w:after="0" w:line="197" w:lineRule="exact"/>
        <w:rPr>
          <w:rFonts w:ascii="Arial" w:cs="Arial" w:eastAsia="Arial" w:hAnsi="Arial"/>
          <w:sz w:val="18"/>
          <w:szCs w:val="18"/>
          <w:color w:val="auto"/>
        </w:rPr>
      </w:pPr>
    </w:p>
    <w:p>
      <w:pPr>
        <w:jc w:val="both"/>
        <w:ind w:left="340" w:right="20" w:hanging="143"/>
        <w:spacing w:after="0" w:line="264" w:lineRule="auto"/>
        <w:tabs>
          <w:tab w:leader="none" w:pos="340" w:val="left"/>
        </w:tabs>
        <w:numPr>
          <w:ilvl w:val="0"/>
          <w:numId w:val="6"/>
        </w:numPr>
        <w:rPr>
          <w:rFonts w:ascii="Arial" w:cs="Arial" w:eastAsia="Arial" w:hAnsi="Arial"/>
          <w:sz w:val="18"/>
          <w:szCs w:val="18"/>
          <w:color w:val="auto"/>
        </w:rPr>
      </w:pPr>
      <w:r>
        <w:rPr>
          <w:rFonts w:ascii="Arial" w:cs="Arial" w:eastAsia="Arial" w:hAnsi="Arial"/>
          <w:sz w:val="18"/>
          <w:szCs w:val="18"/>
          <w:color w:val="auto"/>
        </w:rPr>
        <w:t>Operating expenses were $2.15 billion for R&amp;D and $1.68 billion for SG&amp;A. R&amp;D expense decreased $40 million compared with 2006 as the company benefited from more efficient development of advanced digital manufacturing process technologies through its collaborative work with foundries. SG&amp;A expense decreased $16 million compared with 2006.</w:t>
      </w:r>
    </w:p>
    <w:p>
      <w:pPr>
        <w:spacing w:after="0" w:line="208" w:lineRule="exact"/>
        <w:rPr>
          <w:rFonts w:ascii="Arial" w:cs="Arial" w:eastAsia="Arial" w:hAnsi="Arial"/>
          <w:sz w:val="18"/>
          <w:szCs w:val="18"/>
          <w:color w:val="auto"/>
        </w:rPr>
      </w:pPr>
    </w:p>
    <w:p>
      <w:pPr>
        <w:ind w:left="340" w:hanging="143"/>
        <w:spacing w:after="0" w:line="277" w:lineRule="auto"/>
        <w:tabs>
          <w:tab w:leader="none" w:pos="340" w:val="left"/>
        </w:tabs>
        <w:numPr>
          <w:ilvl w:val="0"/>
          <w:numId w:val="6"/>
        </w:numPr>
        <w:rPr>
          <w:rFonts w:ascii="Arial" w:cs="Arial" w:eastAsia="Arial" w:hAnsi="Arial"/>
          <w:sz w:val="18"/>
          <w:szCs w:val="18"/>
          <w:color w:val="auto"/>
        </w:rPr>
      </w:pPr>
      <w:r>
        <w:rPr>
          <w:rFonts w:ascii="Arial" w:cs="Arial" w:eastAsia="Arial" w:hAnsi="Arial"/>
          <w:sz w:val="18"/>
          <w:szCs w:val="18"/>
          <w:color w:val="auto"/>
        </w:rPr>
        <w:t>Operating profit was $3.50 billion, or 25.3 percent of revenue. This was an increase of $130 million, or 4 percent, primarily due to strong gross profit, as well as lower operating expenses.</w:t>
      </w:r>
    </w:p>
    <w:p>
      <w:pPr>
        <w:spacing w:after="0" w:line="197" w:lineRule="exact"/>
        <w:rPr>
          <w:rFonts w:ascii="Arial" w:cs="Arial" w:eastAsia="Arial" w:hAnsi="Arial"/>
          <w:sz w:val="18"/>
          <w:szCs w:val="18"/>
          <w:color w:val="auto"/>
        </w:rPr>
      </w:pPr>
    </w:p>
    <w:p>
      <w:pPr>
        <w:ind w:left="340" w:hanging="143"/>
        <w:spacing w:after="0" w:line="277" w:lineRule="auto"/>
        <w:tabs>
          <w:tab w:leader="none" w:pos="340" w:val="left"/>
        </w:tabs>
        <w:numPr>
          <w:ilvl w:val="0"/>
          <w:numId w:val="6"/>
        </w:numPr>
        <w:rPr>
          <w:rFonts w:ascii="Arial" w:cs="Arial" w:eastAsia="Arial" w:hAnsi="Arial"/>
          <w:sz w:val="18"/>
          <w:szCs w:val="18"/>
          <w:color w:val="auto"/>
        </w:rPr>
      </w:pPr>
      <w:r>
        <w:rPr>
          <w:rFonts w:ascii="Arial" w:cs="Arial" w:eastAsia="Arial" w:hAnsi="Arial"/>
          <w:sz w:val="18"/>
          <w:szCs w:val="18"/>
          <w:color w:val="auto"/>
        </w:rPr>
        <w:t>Other income was $195 million, a decrease of $63 million primarily due to lower interest income. The year 2006 included a favorable settlement with the Italian government that was not repeated in 2007.</w:t>
      </w:r>
    </w:p>
    <w:p>
      <w:pPr>
        <w:spacing w:after="0" w:line="197" w:lineRule="exact"/>
        <w:rPr>
          <w:rFonts w:ascii="Arial" w:cs="Arial" w:eastAsia="Arial" w:hAnsi="Arial"/>
          <w:sz w:val="18"/>
          <w:szCs w:val="18"/>
          <w:color w:val="auto"/>
        </w:rPr>
      </w:pPr>
    </w:p>
    <w:p>
      <w:pPr>
        <w:jc w:val="both"/>
        <w:ind w:left="340" w:hanging="143"/>
        <w:spacing w:after="0" w:line="264" w:lineRule="auto"/>
        <w:tabs>
          <w:tab w:leader="none" w:pos="34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Income from continuing operations was $2.64 billion, about the same as 2006. Net income was $2.66 billion, down from $4.34 billion in 2006 when the company had $1.70 billion in income from discontinued operations, almost all of which came from the gain on the sale of the Sensors &amp; Controls business.</w:t>
      </w:r>
    </w:p>
    <w:p>
      <w:pPr>
        <w:spacing w:after="0" w:line="208" w:lineRule="exact"/>
        <w:rPr>
          <w:rFonts w:ascii="Arial" w:cs="Arial" w:eastAsia="Arial" w:hAnsi="Arial"/>
          <w:sz w:val="18"/>
          <w:szCs w:val="18"/>
          <w:color w:val="auto"/>
        </w:rPr>
      </w:pPr>
    </w:p>
    <w:p>
      <w:pPr>
        <w:jc w:val="both"/>
        <w:ind w:left="340" w:hanging="143"/>
        <w:spacing w:after="0" w:line="279" w:lineRule="auto"/>
        <w:tabs>
          <w:tab w:leader="none" w:pos="340" w:val="left"/>
        </w:tabs>
        <w:numPr>
          <w:ilvl w:val="0"/>
          <w:numId w:val="6"/>
        </w:numPr>
        <w:rPr>
          <w:rFonts w:ascii="Arial" w:cs="Arial" w:eastAsia="Arial" w:hAnsi="Arial"/>
          <w:sz w:val="17"/>
          <w:szCs w:val="17"/>
          <w:color w:val="auto"/>
        </w:rPr>
      </w:pPr>
      <w:r>
        <w:rPr>
          <w:rFonts w:ascii="Arial" w:cs="Arial" w:eastAsia="Arial" w:hAnsi="Arial"/>
          <w:sz w:val="17"/>
          <w:szCs w:val="17"/>
          <w:color w:val="auto"/>
        </w:rPr>
        <w:t>EPS from continuing operations was $1.83, up 8 percent from 2006, even though income from continuing operations was about even. The increase in EPS reflects fewer shares outstanding. TI's portfolio now requires less capital spending and is comprised of higher-margin products. As a result, the company has generated greater levels of cash that it has returned to shareholders through stock repurchases. EPS from discontinued operations were $0.01, compared with $1.09 last year when a gain on the sale of the Sensors &amp; Controls business was included.</w:t>
      </w:r>
    </w:p>
    <w:p>
      <w:pPr>
        <w:spacing w:after="0" w:line="198" w:lineRule="exact"/>
        <w:rPr>
          <w:rFonts w:ascii="Arial" w:cs="Arial" w:eastAsia="Arial" w:hAnsi="Arial"/>
          <w:sz w:val="17"/>
          <w:szCs w:val="17"/>
          <w:color w:val="auto"/>
        </w:rPr>
      </w:pPr>
    </w:p>
    <w:p>
      <w:pPr>
        <w:ind w:left="340" w:hanging="143"/>
        <w:spacing w:after="0"/>
        <w:tabs>
          <w:tab w:leader="none" w:pos="340" w:val="left"/>
        </w:tabs>
        <w:numPr>
          <w:ilvl w:val="0"/>
          <w:numId w:val="6"/>
        </w:numPr>
        <w:rPr>
          <w:rFonts w:ascii="Arial" w:cs="Arial" w:eastAsia="Arial" w:hAnsi="Arial"/>
          <w:sz w:val="18"/>
          <w:szCs w:val="18"/>
          <w:color w:val="auto"/>
        </w:rPr>
      </w:pPr>
      <w:r>
        <w:rPr>
          <w:rFonts w:ascii="Arial" w:cs="Arial" w:eastAsia="Arial" w:hAnsi="Arial"/>
          <w:sz w:val="18"/>
          <w:szCs w:val="18"/>
          <w:color w:val="auto"/>
        </w:rPr>
        <w:t>Orders were $13.69 billion, down $327 million from 2006, due to lower demand for semiconductor products.</w:t>
      </w:r>
    </w:p>
    <w:p>
      <w:pPr>
        <w:spacing w:after="0" w:line="252" w:lineRule="exact"/>
        <w:rPr>
          <w:rFonts w:ascii="Arial" w:cs="Arial" w:eastAsia="Arial" w:hAnsi="Arial"/>
          <w:sz w:val="18"/>
          <w:szCs w:val="18"/>
          <w:color w:val="auto"/>
        </w:rPr>
      </w:pPr>
    </w:p>
    <w:p>
      <w:pPr>
        <w:jc w:val="both"/>
        <w:ind w:left="340" w:hanging="143"/>
        <w:spacing w:after="0" w:line="257" w:lineRule="auto"/>
        <w:tabs>
          <w:tab w:leader="none" w:pos="340" w:val="left"/>
        </w:tabs>
        <w:numPr>
          <w:ilvl w:val="0"/>
          <w:numId w:val="6"/>
        </w:numPr>
        <w:rPr>
          <w:rFonts w:ascii="Arial" w:cs="Arial" w:eastAsia="Arial" w:hAnsi="Arial"/>
          <w:sz w:val="18"/>
          <w:szCs w:val="18"/>
          <w:color w:val="auto"/>
        </w:rPr>
      </w:pPr>
      <w:r>
        <w:rPr>
          <w:rFonts w:ascii="Arial" w:cs="Arial" w:eastAsia="Arial" w:hAnsi="Arial"/>
          <w:sz w:val="18"/>
          <w:szCs w:val="18"/>
          <w:color w:val="auto"/>
        </w:rPr>
        <w:t>Cash flow from operations was $4.41 billion, an increase of $1.95 billion from the prior year. Cash flow in 2006 included income tax payments associated with the gain on the sale of the Sensors &amp; Controls business and investments made by the company to carry a higher level of inventory in order to improve its responsiveness to customers. Cash flow in 2007 included a tax refund. For the year, the company used $4.89 billion to repurchase 147 million shares of common stock, reducing shares outstanding by 7 percent. The company paid $425 million in dividends, more than double the $199 million paid in 2006.</w:t>
      </w:r>
    </w:p>
    <w:p>
      <w:pPr>
        <w:spacing w:after="0" w:line="215" w:lineRule="exact"/>
        <w:rPr>
          <w:rFonts w:ascii="Arial" w:cs="Arial" w:eastAsia="Arial" w:hAnsi="Arial"/>
          <w:sz w:val="18"/>
          <w:szCs w:val="18"/>
          <w:color w:val="auto"/>
        </w:rPr>
      </w:pPr>
    </w:p>
    <w:p>
      <w:pPr>
        <w:ind w:left="340" w:hanging="143"/>
        <w:spacing w:after="0" w:line="277" w:lineRule="auto"/>
        <w:tabs>
          <w:tab w:leader="none" w:pos="340" w:val="left"/>
        </w:tabs>
        <w:numPr>
          <w:ilvl w:val="0"/>
          <w:numId w:val="6"/>
        </w:numPr>
        <w:rPr>
          <w:rFonts w:ascii="Arial" w:cs="Arial" w:eastAsia="Arial" w:hAnsi="Arial"/>
          <w:sz w:val="18"/>
          <w:szCs w:val="18"/>
          <w:color w:val="auto"/>
        </w:rPr>
      </w:pPr>
      <w:r>
        <w:rPr>
          <w:rFonts w:ascii="Arial" w:cs="Arial" w:eastAsia="Arial" w:hAnsi="Arial"/>
          <w:sz w:val="18"/>
          <w:szCs w:val="18"/>
          <w:color w:val="auto"/>
        </w:rPr>
        <w:t>Capital spending totaled $686 million, primarily for equipment and facilities used to assemble and test semiconductors. This was a decrease of $586 million from the prior year. Depreciation was $1.02 billion.</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Outlook</w:t>
      </w:r>
    </w:p>
    <w:p>
      <w:pPr>
        <w:spacing w:after="0" w:line="256" w:lineRule="exact"/>
        <w:rPr>
          <w:sz w:val="20"/>
          <w:szCs w:val="20"/>
          <w:color w:val="auto"/>
        </w:rPr>
      </w:pPr>
    </w:p>
    <w:p>
      <w:pPr>
        <w:ind w:right="60" w:firstLine="648"/>
        <w:spacing w:after="0" w:line="277" w:lineRule="auto"/>
        <w:rPr>
          <w:sz w:val="20"/>
          <w:szCs w:val="20"/>
          <w:color w:val="auto"/>
        </w:rPr>
      </w:pPr>
      <w:r>
        <w:rPr>
          <w:rFonts w:ascii="Arial" w:cs="Arial" w:eastAsia="Arial" w:hAnsi="Arial"/>
          <w:sz w:val="18"/>
          <w:szCs w:val="18"/>
          <w:color w:val="auto"/>
        </w:rPr>
        <w:t>TI intends to provide a mid-quarter update to its financial outlook on March 10, 2008, by issuing a press release and holding a conference call. Both will be available on the company’s web site.</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For the first quarter of 2008, TI expects revenue to be in the following ranges:</w:t>
      </w:r>
    </w:p>
    <w:p>
      <w:pPr>
        <w:spacing w:after="0" w:line="252" w:lineRule="exact"/>
        <w:rPr>
          <w:sz w:val="20"/>
          <w:szCs w:val="20"/>
          <w:color w:val="auto"/>
        </w:rPr>
      </w:pPr>
    </w:p>
    <w:p>
      <w:pPr>
        <w:ind w:left="980" w:hanging="134"/>
        <w:spacing w:after="0"/>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Total TI, $3.27 billion to $3.55 billion;</w:t>
      </w:r>
    </w:p>
    <w:p>
      <w:pPr>
        <w:spacing w:after="0" w:line="23" w:lineRule="exact"/>
        <w:rPr>
          <w:rFonts w:ascii="Arial" w:cs="Arial" w:eastAsia="Arial" w:hAnsi="Arial"/>
          <w:sz w:val="18"/>
          <w:szCs w:val="18"/>
          <w:color w:val="auto"/>
        </w:rPr>
      </w:pPr>
    </w:p>
    <w:p>
      <w:pPr>
        <w:ind w:left="980" w:hanging="134"/>
        <w:spacing w:after="0"/>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Semiconductor, $3.20 billion to $3.46 billion; and</w:t>
      </w:r>
    </w:p>
    <w:p>
      <w:pPr>
        <w:spacing w:after="0" w:line="9" w:lineRule="exact"/>
        <w:rPr>
          <w:rFonts w:ascii="Arial" w:cs="Arial" w:eastAsia="Arial" w:hAnsi="Arial"/>
          <w:sz w:val="18"/>
          <w:szCs w:val="18"/>
          <w:color w:val="auto"/>
        </w:rPr>
      </w:pPr>
    </w:p>
    <w:p>
      <w:pPr>
        <w:ind w:left="980" w:hanging="134"/>
        <w:spacing w:after="0"/>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Education Technology, $70 million to $90 million.</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TI expects EPS to be in the range of $0.43 to $0.49.</w:t>
      </w:r>
    </w:p>
    <w:p>
      <w:pPr>
        <w:spacing w:after="0" w:line="252" w:lineRule="exact"/>
        <w:rPr>
          <w:sz w:val="20"/>
          <w:szCs w:val="20"/>
          <w:color w:val="auto"/>
        </w:rPr>
      </w:pPr>
    </w:p>
    <w:p>
      <w:pPr>
        <w:jc w:val="both"/>
        <w:ind w:right="40" w:firstLine="648"/>
        <w:spacing w:after="0" w:line="264" w:lineRule="auto"/>
        <w:rPr>
          <w:sz w:val="20"/>
          <w:szCs w:val="20"/>
          <w:color w:val="auto"/>
        </w:rPr>
      </w:pPr>
      <w:r>
        <w:rPr>
          <w:rFonts w:ascii="Arial" w:cs="Arial" w:eastAsia="Arial" w:hAnsi="Arial"/>
          <w:sz w:val="18"/>
          <w:szCs w:val="18"/>
          <w:color w:val="auto"/>
        </w:rPr>
        <w:t>In 2008, TI expects R&amp;D expense of about $2.0 billion, capital expenditures of about $0.9 billion and depreciation of about $1.0 billion. The annual effective tax rate is estimated to be about 31 percent, up from 29 percent in 2007. The tax rate is based on current tax law and does not assume reinstatement of the federal R&amp;D tax credit, which expired at the end of 2007.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979805</wp:posOffset>
            </wp:positionV>
            <wp:extent cx="7250430"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TEXAS INSTRUMENTS INCORPORATED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(Millions of dollars, except share and per-share amounts)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4500" w:type="dxa"/>
            <w:vAlign w:val="bottom"/>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2840" w:type="dxa"/>
            <w:vAlign w:val="bottom"/>
            <w:tcBorders>
              <w:bottom w:val="single" w:sz="8" w:color="auto"/>
            </w:tcBorders>
            <w:gridSpan w:val="6"/>
          </w:tcPr>
          <w:p>
            <w:pPr>
              <w:jc w:val="right"/>
              <w:ind w:right="210"/>
              <w:spacing w:after="0"/>
              <w:rPr>
                <w:sz w:val="20"/>
                <w:szCs w:val="20"/>
                <w:color w:val="auto"/>
              </w:rPr>
            </w:pPr>
            <w:r>
              <w:rPr>
                <w:rFonts w:ascii="Arial" w:cs="Arial" w:eastAsia="Arial" w:hAnsi="Arial"/>
                <w:sz w:val="18"/>
                <w:szCs w:val="18"/>
                <w:b w:val="1"/>
                <w:bCs w:val="1"/>
                <w:color w:val="auto"/>
              </w:rPr>
              <w:t>For Three Months Ended</w:t>
            </w:r>
          </w:p>
        </w:tc>
        <w:tc>
          <w:tcPr>
            <w:tcW w:w="680" w:type="dxa"/>
            <w:vAlign w:val="bottom"/>
            <w:tcBorders>
              <w:bottom w:val="single" w:sz="8" w:color="auto"/>
            </w:tcBorders>
          </w:tcPr>
          <w:p>
            <w:pPr>
              <w:spacing w:after="0"/>
              <w:rPr>
                <w:sz w:val="20"/>
                <w:szCs w:val="20"/>
                <w:color w:val="auto"/>
              </w:rPr>
            </w:pPr>
          </w:p>
        </w:tc>
        <w:tc>
          <w:tcPr>
            <w:tcW w:w="28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62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For Years Ended</w:t>
            </w:r>
          </w:p>
        </w:tc>
        <w:tc>
          <w:tcPr>
            <w:tcW w:w="56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500" w:type="dxa"/>
            <w:vAlign w:val="bottom"/>
          </w:tcPr>
          <w:p>
            <w:pPr>
              <w:spacing w:after="0"/>
              <w:rPr>
                <w:sz w:val="19"/>
                <w:szCs w:val="19"/>
                <w:color w:val="auto"/>
              </w:rPr>
            </w:pPr>
          </w:p>
        </w:tc>
        <w:tc>
          <w:tcPr>
            <w:tcW w:w="1420" w:type="dxa"/>
            <w:vAlign w:val="bottom"/>
            <w:gridSpan w:val="3"/>
          </w:tcPr>
          <w:p>
            <w:pPr>
              <w:jc w:val="right"/>
              <w:ind w:right="360"/>
              <w:spacing w:after="0"/>
              <w:rPr>
                <w:sz w:val="20"/>
                <w:szCs w:val="20"/>
                <w:color w:val="auto"/>
              </w:rPr>
            </w:pPr>
            <w:r>
              <w:rPr>
                <w:rFonts w:ascii="Arial" w:cs="Arial" w:eastAsia="Arial" w:hAnsi="Arial"/>
                <w:sz w:val="18"/>
                <w:szCs w:val="18"/>
                <w:b w:val="1"/>
                <w:bCs w:val="1"/>
                <w:color w:val="auto"/>
                <w:w w:val="91"/>
              </w:rPr>
              <w:t>Dec. 31, 2007</w:t>
            </w:r>
          </w:p>
        </w:tc>
        <w:tc>
          <w:tcPr>
            <w:tcW w:w="1380" w:type="dxa"/>
            <w:vAlign w:val="bottom"/>
            <w:gridSpan w:val="3"/>
          </w:tcPr>
          <w:p>
            <w:pPr>
              <w:jc w:val="right"/>
              <w:ind w:right="300"/>
              <w:spacing w:after="0"/>
              <w:rPr>
                <w:sz w:val="20"/>
                <w:szCs w:val="20"/>
                <w:color w:val="auto"/>
              </w:rPr>
            </w:pPr>
            <w:r>
              <w:rPr>
                <w:rFonts w:ascii="Arial" w:cs="Arial" w:eastAsia="Arial" w:hAnsi="Arial"/>
                <w:sz w:val="18"/>
                <w:szCs w:val="18"/>
                <w:b w:val="1"/>
                <w:bCs w:val="1"/>
                <w:color w:val="auto"/>
                <w:w w:val="88"/>
              </w:rPr>
              <w:t>Sept. 30, 2007</w:t>
            </w:r>
          </w:p>
        </w:tc>
        <w:tc>
          <w:tcPr>
            <w:tcW w:w="1120" w:type="dxa"/>
            <w:vAlign w:val="bottom"/>
            <w:gridSpan w:val="2"/>
          </w:tcPr>
          <w:p>
            <w:pPr>
              <w:jc w:val="right"/>
              <w:spacing w:after="0"/>
              <w:rPr>
                <w:sz w:val="20"/>
                <w:szCs w:val="20"/>
                <w:color w:val="auto"/>
              </w:rPr>
            </w:pPr>
            <w:r>
              <w:rPr>
                <w:rFonts w:ascii="Arial" w:cs="Arial" w:eastAsia="Arial" w:hAnsi="Arial"/>
                <w:sz w:val="18"/>
                <w:szCs w:val="18"/>
                <w:b w:val="1"/>
                <w:bCs w:val="1"/>
                <w:color w:val="auto"/>
                <w:w w:val="93"/>
              </w:rPr>
              <w:t>Dec. 31, 2006</w:t>
            </w:r>
          </w:p>
        </w:tc>
        <w:tc>
          <w:tcPr>
            <w:tcW w:w="280" w:type="dxa"/>
            <w:vAlign w:val="bottom"/>
          </w:tcPr>
          <w:p>
            <w:pPr>
              <w:spacing w:after="0"/>
              <w:rPr>
                <w:sz w:val="19"/>
                <w:szCs w:val="19"/>
                <w:color w:val="auto"/>
              </w:rPr>
            </w:pPr>
          </w:p>
        </w:tc>
        <w:tc>
          <w:tcPr>
            <w:tcW w:w="1420" w:type="dxa"/>
            <w:vAlign w:val="bottom"/>
            <w:gridSpan w:val="3"/>
          </w:tcPr>
          <w:p>
            <w:pPr>
              <w:jc w:val="right"/>
              <w:ind w:right="360"/>
              <w:spacing w:after="0"/>
              <w:rPr>
                <w:sz w:val="20"/>
                <w:szCs w:val="20"/>
                <w:color w:val="auto"/>
              </w:rPr>
            </w:pPr>
            <w:r>
              <w:rPr>
                <w:rFonts w:ascii="Arial" w:cs="Arial" w:eastAsia="Arial" w:hAnsi="Arial"/>
                <w:sz w:val="18"/>
                <w:szCs w:val="18"/>
                <w:b w:val="1"/>
                <w:bCs w:val="1"/>
                <w:color w:val="auto"/>
                <w:w w:val="91"/>
              </w:rPr>
              <w:t>Dec. 31, 2007</w:t>
            </w:r>
          </w:p>
        </w:tc>
        <w:tc>
          <w:tcPr>
            <w:tcW w:w="1120" w:type="dxa"/>
            <w:vAlign w:val="bottom"/>
            <w:gridSpan w:val="2"/>
          </w:tcPr>
          <w:p>
            <w:pPr>
              <w:jc w:val="right"/>
              <w:spacing w:after="0"/>
              <w:rPr>
                <w:sz w:val="20"/>
                <w:szCs w:val="20"/>
                <w:color w:val="auto"/>
              </w:rPr>
            </w:pPr>
            <w:r>
              <w:rPr>
                <w:rFonts w:ascii="Arial" w:cs="Arial" w:eastAsia="Arial" w:hAnsi="Arial"/>
                <w:sz w:val="18"/>
                <w:szCs w:val="18"/>
                <w:b w:val="1"/>
                <w:bCs w:val="1"/>
                <w:color w:val="auto"/>
                <w:w w:val="91"/>
              </w:rPr>
              <w:t>Dec. 31, 2006</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500" w:type="dxa"/>
            <w:vAlign w:val="bottom"/>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300" w:type="dxa"/>
            <w:vAlign w:val="bottom"/>
            <w:tcBorders>
              <w:right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260" w:type="dxa"/>
            <w:vAlign w:val="bottom"/>
            <w:tcBorders>
              <w:right w:val="single" w:sz="8" w:color="CCEEFF"/>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00" w:type="dxa"/>
            <w:vAlign w:val="bottom"/>
          </w:tcPr>
          <w:p>
            <w:pPr>
              <w:spacing w:after="0"/>
              <w:rPr>
                <w:sz w:val="20"/>
                <w:szCs w:val="20"/>
                <w:color w:val="auto"/>
              </w:rPr>
            </w:pPr>
            <w:r>
              <w:rPr>
                <w:rFonts w:ascii="Arial" w:cs="Arial" w:eastAsia="Arial" w:hAnsi="Arial"/>
                <w:sz w:val="18"/>
                <w:szCs w:val="18"/>
                <w:color w:val="auto"/>
              </w:rPr>
              <w:t>Net revenue</w:t>
            </w:r>
          </w:p>
        </w:tc>
        <w:tc>
          <w:tcPr>
            <w:tcW w:w="400" w:type="dxa"/>
            <w:vAlign w:val="bottom"/>
          </w:tcPr>
          <w:p>
            <w:pPr>
              <w:jc w:val="right"/>
              <w:ind w:right="243"/>
              <w:spacing w:after="0"/>
              <w:rPr>
                <w:sz w:val="20"/>
                <w:szCs w:val="20"/>
                <w:color w:val="auto"/>
              </w:rPr>
            </w:pPr>
            <w:r>
              <w:rPr>
                <w:rFonts w:ascii="Arial" w:cs="Arial" w:eastAsia="Arial" w:hAnsi="Arial"/>
                <w:sz w:val="15"/>
                <w:szCs w:val="15"/>
                <w:b w:val="1"/>
                <w:bCs w:val="1"/>
                <w:color w:val="auto"/>
                <w:w w:val="71"/>
              </w:rPr>
              <w:t>$</w:t>
            </w:r>
          </w:p>
        </w:tc>
        <w:tc>
          <w:tcPr>
            <w:tcW w:w="102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rPr>
              <w:t>3,556</w:t>
            </w:r>
          </w:p>
        </w:tc>
        <w:tc>
          <w:tcPr>
            <w:tcW w:w="400" w:type="dxa"/>
            <w:vAlign w:val="bottom"/>
          </w:tcPr>
          <w:p>
            <w:pPr>
              <w:jc w:val="right"/>
              <w:ind w:right="243"/>
              <w:spacing w:after="0"/>
              <w:rPr>
                <w:sz w:val="20"/>
                <w:szCs w:val="20"/>
                <w:color w:val="auto"/>
              </w:rPr>
            </w:pPr>
            <w:r>
              <w:rPr>
                <w:rFonts w:ascii="Arial" w:cs="Arial" w:eastAsia="Arial" w:hAnsi="Arial"/>
                <w:sz w:val="15"/>
                <w:szCs w:val="15"/>
                <w:color w:val="auto"/>
                <w:w w:val="71"/>
              </w:rPr>
              <w:t>$</w:t>
            </w:r>
          </w:p>
        </w:tc>
        <w:tc>
          <w:tcPr>
            <w:tcW w:w="980" w:type="dxa"/>
            <w:vAlign w:val="bottom"/>
            <w:gridSpan w:val="2"/>
          </w:tcPr>
          <w:p>
            <w:pPr>
              <w:jc w:val="right"/>
              <w:ind w:right="260"/>
              <w:spacing w:after="0"/>
              <w:rPr>
                <w:sz w:val="20"/>
                <w:szCs w:val="20"/>
                <w:color w:val="auto"/>
              </w:rPr>
            </w:pPr>
            <w:r>
              <w:rPr>
                <w:rFonts w:ascii="Arial" w:cs="Arial" w:eastAsia="Arial" w:hAnsi="Arial"/>
                <w:sz w:val="18"/>
                <w:szCs w:val="18"/>
                <w:color w:val="auto"/>
              </w:rPr>
              <w:t>3,663</w:t>
            </w:r>
          </w:p>
        </w:tc>
        <w:tc>
          <w:tcPr>
            <w:tcW w:w="440" w:type="dxa"/>
            <w:vAlign w:val="bottom"/>
          </w:tcPr>
          <w:p>
            <w:pPr>
              <w:jc w:val="right"/>
              <w:ind w:right="250"/>
              <w:spacing w:after="0"/>
              <w:rPr>
                <w:sz w:val="20"/>
                <w:szCs w:val="20"/>
                <w:color w:val="auto"/>
              </w:rPr>
            </w:pPr>
            <w:r>
              <w:rPr>
                <w:rFonts w:ascii="Arial" w:cs="Arial" w:eastAsia="Arial" w:hAnsi="Arial"/>
                <w:sz w:val="18"/>
                <w:szCs w:val="18"/>
                <w:color w:val="auto"/>
                <w:w w:val="7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3,463</w:t>
            </w:r>
          </w:p>
        </w:tc>
        <w:tc>
          <w:tcPr>
            <w:tcW w:w="280" w:type="dxa"/>
            <w:vAlign w:val="bottom"/>
          </w:tcPr>
          <w:p>
            <w:pPr>
              <w:spacing w:after="0"/>
              <w:rPr>
                <w:sz w:val="18"/>
                <w:szCs w:val="18"/>
                <w:color w:val="auto"/>
              </w:rPr>
            </w:pPr>
          </w:p>
        </w:tc>
        <w:tc>
          <w:tcPr>
            <w:tcW w:w="360" w:type="dxa"/>
            <w:vAlign w:val="bottom"/>
          </w:tcPr>
          <w:p>
            <w:pPr>
              <w:jc w:val="right"/>
              <w:ind w:right="203"/>
              <w:spacing w:after="0"/>
              <w:rPr>
                <w:sz w:val="20"/>
                <w:szCs w:val="20"/>
                <w:color w:val="auto"/>
              </w:rPr>
            </w:pPr>
            <w:r>
              <w:rPr>
                <w:rFonts w:ascii="Arial" w:cs="Arial" w:eastAsia="Arial" w:hAnsi="Arial"/>
                <w:sz w:val="15"/>
                <w:szCs w:val="15"/>
                <w:b w:val="1"/>
                <w:bCs w:val="1"/>
                <w:color w:val="auto"/>
                <w:w w:val="71"/>
              </w:rPr>
              <w:t>$</w:t>
            </w:r>
          </w:p>
        </w:tc>
        <w:tc>
          <w:tcPr>
            <w:tcW w:w="106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rPr>
              <w:t>13,835</w:t>
            </w:r>
          </w:p>
        </w:tc>
        <w:tc>
          <w:tcPr>
            <w:tcW w:w="560" w:type="dxa"/>
            <w:vAlign w:val="bottom"/>
          </w:tcPr>
          <w:p>
            <w:pPr>
              <w:jc w:val="right"/>
              <w:ind w:right="403"/>
              <w:spacing w:after="0"/>
              <w:rPr>
                <w:sz w:val="20"/>
                <w:szCs w:val="20"/>
                <w:color w:val="auto"/>
              </w:rPr>
            </w:pPr>
            <w:r>
              <w:rPr>
                <w:rFonts w:ascii="Arial" w:cs="Arial" w:eastAsia="Arial" w:hAnsi="Arial"/>
                <w:sz w:val="15"/>
                <w:szCs w:val="15"/>
                <w:color w:val="auto"/>
                <w:w w:val="71"/>
              </w:rPr>
              <w:t>$</w:t>
            </w: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w w:val="98"/>
              </w:rPr>
              <w:t>14,255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5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Cost of revenue (COR)</w:t>
            </w:r>
          </w:p>
        </w:tc>
        <w:tc>
          <w:tcPr>
            <w:tcW w:w="40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1,630</w:t>
            </w:r>
          </w:p>
        </w:tc>
        <w:tc>
          <w:tcPr>
            <w:tcW w:w="300" w:type="dxa"/>
            <w:vAlign w:val="bottom"/>
            <w:tcBorders>
              <w:bottom w:val="single" w:sz="8" w:color="CCEEFF"/>
              <w:right w:val="single" w:sz="8" w:color="CCEEFF"/>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1,679</w:t>
            </w:r>
          </w:p>
        </w:tc>
        <w:tc>
          <w:tcPr>
            <w:tcW w:w="260" w:type="dxa"/>
            <w:vAlign w:val="bottom"/>
            <w:tcBorders>
              <w:bottom w:val="single" w:sz="8" w:color="CCEEFF"/>
              <w:right w:val="single" w:sz="8" w:color="CCEEFF"/>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1,715</w:t>
            </w:r>
          </w:p>
        </w:tc>
        <w:tc>
          <w:tcPr>
            <w:tcW w:w="28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6,502</w:t>
            </w:r>
          </w:p>
        </w:tc>
        <w:tc>
          <w:tcPr>
            <w:tcW w:w="300" w:type="dxa"/>
            <w:vAlign w:val="bottom"/>
            <w:tcBorders>
              <w:bottom w:val="single" w:sz="8" w:color="CCEEFF"/>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6,996</w:t>
            </w:r>
          </w:p>
        </w:tc>
        <w:tc>
          <w:tcPr>
            <w:tcW w:w="16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tcPr>
          <w:p>
            <w:pPr>
              <w:spacing w:after="0"/>
              <w:rPr>
                <w:sz w:val="20"/>
                <w:szCs w:val="20"/>
                <w:color w:val="auto"/>
              </w:rPr>
            </w:pPr>
            <w:r>
              <w:rPr>
                <w:rFonts w:ascii="Arial" w:cs="Arial" w:eastAsia="Arial" w:hAnsi="Arial"/>
                <w:sz w:val="18"/>
                <w:szCs w:val="18"/>
                <w:color w:val="auto"/>
              </w:rPr>
              <w:t>Gross profit</w:t>
            </w:r>
          </w:p>
        </w:tc>
        <w:tc>
          <w:tcPr>
            <w:tcW w:w="400" w:type="dxa"/>
            <w:vAlign w:val="bottom"/>
          </w:tcPr>
          <w:p>
            <w:pPr>
              <w:spacing w:after="0"/>
              <w:rPr>
                <w:sz w:val="18"/>
                <w:szCs w:val="18"/>
                <w:color w:val="auto"/>
              </w:rPr>
            </w:pPr>
          </w:p>
        </w:tc>
        <w:tc>
          <w:tcPr>
            <w:tcW w:w="102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rPr>
              <w:t>1,926</w:t>
            </w:r>
          </w:p>
        </w:tc>
        <w:tc>
          <w:tcPr>
            <w:tcW w:w="400" w:type="dxa"/>
            <w:vAlign w:val="bottom"/>
          </w:tcPr>
          <w:p>
            <w:pPr>
              <w:spacing w:after="0"/>
              <w:rPr>
                <w:sz w:val="18"/>
                <w:szCs w:val="18"/>
                <w:color w:val="auto"/>
              </w:rPr>
            </w:pPr>
          </w:p>
        </w:tc>
        <w:tc>
          <w:tcPr>
            <w:tcW w:w="980" w:type="dxa"/>
            <w:vAlign w:val="bottom"/>
            <w:gridSpan w:val="2"/>
          </w:tcPr>
          <w:p>
            <w:pPr>
              <w:jc w:val="right"/>
              <w:ind w:right="260"/>
              <w:spacing w:after="0"/>
              <w:rPr>
                <w:sz w:val="20"/>
                <w:szCs w:val="20"/>
                <w:color w:val="auto"/>
              </w:rPr>
            </w:pPr>
            <w:r>
              <w:rPr>
                <w:rFonts w:ascii="Arial" w:cs="Arial" w:eastAsia="Arial" w:hAnsi="Arial"/>
                <w:sz w:val="18"/>
                <w:szCs w:val="18"/>
                <w:color w:val="auto"/>
              </w:rPr>
              <w:t>1,984</w:t>
            </w:r>
          </w:p>
        </w:tc>
        <w:tc>
          <w:tcPr>
            <w:tcW w:w="4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1,748</w:t>
            </w: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6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rPr>
              <w:t>7,333</w:t>
            </w:r>
          </w:p>
        </w:tc>
        <w:tc>
          <w:tcPr>
            <w:tcW w:w="560" w:type="dxa"/>
            <w:vAlign w:val="bottom"/>
          </w:tcPr>
          <w:p>
            <w:pPr>
              <w:spacing w:after="0"/>
              <w:rPr>
                <w:sz w:val="18"/>
                <w:szCs w:val="18"/>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rPr>
              <w:t>7,259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 (R&amp;D)</w:t>
            </w:r>
          </w:p>
        </w:tc>
        <w:tc>
          <w:tcPr>
            <w:tcW w:w="400" w:type="dxa"/>
            <w:vAlign w:val="bottom"/>
            <w:shd w:val="clear" w:color="auto" w:fill="CCEEFF"/>
          </w:tcPr>
          <w:p>
            <w:pPr>
              <w:spacing w:after="0"/>
              <w:rPr>
                <w:sz w:val="18"/>
                <w:szCs w:val="18"/>
                <w:color w:val="auto"/>
              </w:rPr>
            </w:pPr>
          </w:p>
        </w:tc>
        <w:tc>
          <w:tcPr>
            <w:tcW w:w="1020" w:type="dxa"/>
            <w:vAlign w:val="bottom"/>
            <w:tcBorders>
              <w:right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8"/>
                <w:szCs w:val="18"/>
                <w:b w:val="1"/>
                <w:bCs w:val="1"/>
                <w:color w:val="auto"/>
              </w:rPr>
              <w:t>508</w:t>
            </w:r>
          </w:p>
        </w:tc>
        <w:tc>
          <w:tcPr>
            <w:tcW w:w="400" w:type="dxa"/>
            <w:vAlign w:val="bottom"/>
            <w:shd w:val="clear" w:color="auto" w:fill="CCEEFF"/>
          </w:tcPr>
          <w:p>
            <w:pPr>
              <w:spacing w:after="0"/>
              <w:rPr>
                <w:sz w:val="18"/>
                <w:szCs w:val="18"/>
                <w:color w:val="auto"/>
              </w:rPr>
            </w:pPr>
          </w:p>
        </w:tc>
        <w:tc>
          <w:tcPr>
            <w:tcW w:w="980" w:type="dxa"/>
            <w:vAlign w:val="bottom"/>
            <w:tcBorders>
              <w:right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542</w:t>
            </w:r>
          </w:p>
        </w:tc>
        <w:tc>
          <w:tcPr>
            <w:tcW w:w="4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556</w:t>
            </w:r>
          </w:p>
        </w:tc>
        <w:tc>
          <w:tcPr>
            <w:tcW w:w="3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b w:val="1"/>
                <w:bCs w:val="1"/>
                <w:color w:val="auto"/>
              </w:rPr>
              <w:t>2,155</w:t>
            </w:r>
          </w:p>
        </w:tc>
        <w:tc>
          <w:tcPr>
            <w:tcW w:w="5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2,195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500" w:type="dxa"/>
            <w:vAlign w:val="bottom"/>
          </w:tcPr>
          <w:p>
            <w:pPr>
              <w:spacing w:after="0"/>
              <w:rPr>
                <w:sz w:val="20"/>
                <w:szCs w:val="20"/>
                <w:color w:val="auto"/>
              </w:rPr>
            </w:pPr>
            <w:r>
              <w:rPr>
                <w:rFonts w:ascii="Arial" w:cs="Arial" w:eastAsia="Arial" w:hAnsi="Arial"/>
                <w:sz w:val="18"/>
                <w:szCs w:val="18"/>
                <w:color w:val="auto"/>
              </w:rPr>
              <w:t>Selling, general and administrative (SG&amp;A)</w:t>
            </w:r>
          </w:p>
        </w:tc>
        <w:tc>
          <w:tcPr>
            <w:tcW w:w="4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b w:val="1"/>
                <w:bCs w:val="1"/>
                <w:color w:val="auto"/>
              </w:rPr>
              <w:t>422</w:t>
            </w:r>
          </w:p>
        </w:tc>
        <w:tc>
          <w:tcPr>
            <w:tcW w:w="3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429</w:t>
            </w:r>
          </w:p>
        </w:tc>
        <w:tc>
          <w:tcPr>
            <w:tcW w:w="2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60" w:type="dxa"/>
            <w:vAlign w:val="bottom"/>
            <w:gridSpan w:val="2"/>
          </w:tcPr>
          <w:p>
            <w:pPr>
              <w:jc w:val="right"/>
              <w:ind w:right="280"/>
              <w:spacing w:after="0"/>
              <w:rPr>
                <w:sz w:val="20"/>
                <w:szCs w:val="20"/>
                <w:color w:val="auto"/>
              </w:rPr>
            </w:pPr>
            <w:r>
              <w:rPr>
                <w:rFonts w:ascii="Arial" w:cs="Arial" w:eastAsia="Arial" w:hAnsi="Arial"/>
                <w:sz w:val="18"/>
                <w:szCs w:val="18"/>
                <w:color w:val="auto"/>
              </w:rPr>
              <w:t>425</w:t>
            </w:r>
          </w:p>
        </w:tc>
        <w:tc>
          <w:tcPr>
            <w:tcW w:w="360" w:type="dxa"/>
            <w:vAlign w:val="bottom"/>
          </w:tcPr>
          <w:p>
            <w:pPr>
              <w:spacing w:after="0"/>
              <w:rPr>
                <w:sz w:val="19"/>
                <w:szCs w:val="19"/>
                <w:color w:val="auto"/>
              </w:rPr>
            </w:pPr>
          </w:p>
        </w:tc>
        <w:tc>
          <w:tcPr>
            <w:tcW w:w="106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rPr>
              <w:t>1,681</w:t>
            </w:r>
          </w:p>
        </w:tc>
        <w:tc>
          <w:tcPr>
            <w:tcW w:w="560" w:type="dxa"/>
            <w:vAlign w:val="bottom"/>
          </w:tcPr>
          <w:p>
            <w:pPr>
              <w:spacing w:after="0"/>
              <w:rPr>
                <w:sz w:val="19"/>
                <w:szCs w:val="19"/>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rPr>
              <w:t>1,697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5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Total operating costs and expenses</w:t>
            </w:r>
          </w:p>
        </w:tc>
        <w:tc>
          <w:tcPr>
            <w:tcW w:w="400" w:type="dxa"/>
            <w:vAlign w:val="bottom"/>
            <w:tcBorders>
              <w:top w:val="single" w:sz="8" w:color="auto"/>
              <w:bottom w:val="single" w:sz="8" w:color="auto"/>
            </w:tcBorders>
            <w:shd w:val="clear" w:color="auto" w:fill="CCEEFF"/>
          </w:tcPr>
          <w:p>
            <w:pPr>
              <w:spacing w:after="0"/>
              <w:rPr>
                <w:sz w:val="19"/>
                <w:szCs w:val="19"/>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2,560</w:t>
            </w:r>
          </w:p>
        </w:tc>
        <w:tc>
          <w:tcPr>
            <w:tcW w:w="300" w:type="dxa"/>
            <w:vAlign w:val="bottom"/>
            <w:tcBorders>
              <w:bottom w:val="single" w:sz="8" w:color="CCEEFF"/>
              <w:right w:val="single" w:sz="8" w:color="CCEEFF"/>
            </w:tcBorders>
            <w:shd w:val="clear" w:color="auto" w:fill="CCEEFF"/>
          </w:tcPr>
          <w:p>
            <w:pPr>
              <w:spacing w:after="0"/>
              <w:rPr>
                <w:sz w:val="19"/>
                <w:szCs w:val="19"/>
                <w:color w:val="auto"/>
              </w:rPr>
            </w:pPr>
          </w:p>
        </w:tc>
        <w:tc>
          <w:tcPr>
            <w:tcW w:w="400" w:type="dxa"/>
            <w:vAlign w:val="bottom"/>
            <w:tcBorders>
              <w:top w:val="single" w:sz="8" w:color="auto"/>
              <w:bottom w:val="single" w:sz="8" w:color="auto"/>
            </w:tcBorders>
            <w:shd w:val="clear" w:color="auto" w:fill="CCEEFF"/>
          </w:tcPr>
          <w:p>
            <w:pPr>
              <w:spacing w:after="0"/>
              <w:rPr>
                <w:sz w:val="19"/>
                <w:szCs w:val="19"/>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2,650</w:t>
            </w:r>
          </w:p>
        </w:tc>
        <w:tc>
          <w:tcPr>
            <w:tcW w:w="260" w:type="dxa"/>
            <w:vAlign w:val="bottom"/>
            <w:tcBorders>
              <w:bottom w:val="single" w:sz="8" w:color="CCEEFF"/>
              <w:right w:val="single" w:sz="8" w:color="CCEEFF"/>
            </w:tcBorders>
            <w:shd w:val="clear" w:color="auto" w:fill="CCEEFF"/>
          </w:tcPr>
          <w:p>
            <w:pPr>
              <w:spacing w:after="0"/>
              <w:rPr>
                <w:sz w:val="19"/>
                <w:szCs w:val="19"/>
                <w:color w:val="auto"/>
              </w:rPr>
            </w:pPr>
          </w:p>
        </w:tc>
        <w:tc>
          <w:tcPr>
            <w:tcW w:w="440" w:type="dxa"/>
            <w:vAlign w:val="bottom"/>
            <w:tcBorders>
              <w:top w:val="single" w:sz="8" w:color="auto"/>
              <w:bottom w:val="single" w:sz="8" w:color="auto"/>
            </w:tcBorders>
            <w:shd w:val="clear" w:color="auto" w:fill="CCEEFF"/>
          </w:tcPr>
          <w:p>
            <w:pPr>
              <w:spacing w:after="0"/>
              <w:rPr>
                <w:sz w:val="19"/>
                <w:szCs w:val="19"/>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2,696</w:t>
            </w:r>
          </w:p>
        </w:tc>
        <w:tc>
          <w:tcPr>
            <w:tcW w:w="28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top w:val="single" w:sz="8" w:color="auto"/>
              <w:bottom w:val="single" w:sz="8" w:color="auto"/>
            </w:tcBorders>
            <w:shd w:val="clear" w:color="auto" w:fill="CCEEFF"/>
          </w:tcPr>
          <w:p>
            <w:pPr>
              <w:spacing w:after="0"/>
              <w:rPr>
                <w:sz w:val="19"/>
                <w:szCs w:val="19"/>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10,338</w:t>
            </w:r>
          </w:p>
        </w:tc>
        <w:tc>
          <w:tcPr>
            <w:tcW w:w="300" w:type="dxa"/>
            <w:vAlign w:val="bottom"/>
            <w:tcBorders>
              <w:bottom w:val="single" w:sz="8" w:color="CCEEFF"/>
            </w:tcBorders>
            <w:shd w:val="clear" w:color="auto" w:fill="CCEEFF"/>
          </w:tcPr>
          <w:p>
            <w:pPr>
              <w:spacing w:after="0"/>
              <w:rPr>
                <w:sz w:val="19"/>
                <w:szCs w:val="19"/>
                <w:color w:val="auto"/>
              </w:rPr>
            </w:pPr>
          </w:p>
        </w:tc>
        <w:tc>
          <w:tcPr>
            <w:tcW w:w="560" w:type="dxa"/>
            <w:vAlign w:val="bottom"/>
            <w:tcBorders>
              <w:top w:val="single" w:sz="8" w:color="auto"/>
              <w:bottom w:val="single" w:sz="8" w:color="auto"/>
            </w:tcBorders>
            <w:shd w:val="clear" w:color="auto" w:fill="CCEEFF"/>
          </w:tcPr>
          <w:p>
            <w:pPr>
              <w:spacing w:after="0"/>
              <w:rPr>
                <w:sz w:val="19"/>
                <w:szCs w:val="19"/>
                <w:color w:val="auto"/>
              </w:rPr>
            </w:pP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10,888</w:t>
            </w:r>
          </w:p>
        </w:tc>
        <w:tc>
          <w:tcPr>
            <w:tcW w:w="16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tcPr>
          <w:p>
            <w:pPr>
              <w:spacing w:after="0"/>
              <w:rPr>
                <w:sz w:val="20"/>
                <w:szCs w:val="20"/>
                <w:color w:val="auto"/>
              </w:rPr>
            </w:pPr>
            <w:r>
              <w:rPr>
                <w:rFonts w:ascii="Arial" w:cs="Arial" w:eastAsia="Arial" w:hAnsi="Arial"/>
                <w:sz w:val="18"/>
                <w:szCs w:val="18"/>
                <w:color w:val="auto"/>
              </w:rPr>
              <w:t>Profit from operations</w:t>
            </w:r>
          </w:p>
        </w:tc>
        <w:tc>
          <w:tcPr>
            <w:tcW w:w="400" w:type="dxa"/>
            <w:vAlign w:val="bottom"/>
          </w:tcPr>
          <w:p>
            <w:pPr>
              <w:spacing w:after="0"/>
              <w:rPr>
                <w:sz w:val="18"/>
                <w:szCs w:val="18"/>
                <w:color w:val="auto"/>
              </w:rPr>
            </w:pPr>
          </w:p>
        </w:tc>
        <w:tc>
          <w:tcPr>
            <w:tcW w:w="102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rPr>
              <w:t>996</w:t>
            </w:r>
          </w:p>
        </w:tc>
        <w:tc>
          <w:tcPr>
            <w:tcW w:w="400" w:type="dxa"/>
            <w:vAlign w:val="bottom"/>
          </w:tcPr>
          <w:p>
            <w:pPr>
              <w:spacing w:after="0"/>
              <w:rPr>
                <w:sz w:val="18"/>
                <w:szCs w:val="18"/>
                <w:color w:val="auto"/>
              </w:rPr>
            </w:pPr>
          </w:p>
        </w:tc>
        <w:tc>
          <w:tcPr>
            <w:tcW w:w="980" w:type="dxa"/>
            <w:vAlign w:val="bottom"/>
            <w:gridSpan w:val="2"/>
          </w:tcPr>
          <w:p>
            <w:pPr>
              <w:jc w:val="right"/>
              <w:ind w:right="260"/>
              <w:spacing w:after="0"/>
              <w:rPr>
                <w:sz w:val="20"/>
                <w:szCs w:val="20"/>
                <w:color w:val="auto"/>
              </w:rPr>
            </w:pPr>
            <w:r>
              <w:rPr>
                <w:rFonts w:ascii="Arial" w:cs="Arial" w:eastAsia="Arial" w:hAnsi="Arial"/>
                <w:sz w:val="18"/>
                <w:szCs w:val="18"/>
                <w:color w:val="auto"/>
              </w:rPr>
              <w:t>1,013</w:t>
            </w:r>
          </w:p>
        </w:tc>
        <w:tc>
          <w:tcPr>
            <w:tcW w:w="440" w:type="dxa"/>
            <w:vAlign w:val="bottom"/>
          </w:tcPr>
          <w:p>
            <w:pPr>
              <w:spacing w:after="0"/>
              <w:rPr>
                <w:sz w:val="18"/>
                <w:szCs w:val="18"/>
                <w:color w:val="auto"/>
              </w:rPr>
            </w:pPr>
          </w:p>
        </w:tc>
        <w:tc>
          <w:tcPr>
            <w:tcW w:w="960" w:type="dxa"/>
            <w:vAlign w:val="bottom"/>
            <w:gridSpan w:val="2"/>
          </w:tcPr>
          <w:p>
            <w:pPr>
              <w:jc w:val="right"/>
              <w:ind w:right="280"/>
              <w:spacing w:after="0"/>
              <w:rPr>
                <w:sz w:val="20"/>
                <w:szCs w:val="20"/>
                <w:color w:val="auto"/>
              </w:rPr>
            </w:pPr>
            <w:r>
              <w:rPr>
                <w:rFonts w:ascii="Arial" w:cs="Arial" w:eastAsia="Arial" w:hAnsi="Arial"/>
                <w:sz w:val="18"/>
                <w:szCs w:val="18"/>
                <w:color w:val="auto"/>
              </w:rPr>
              <w:t>767</w:t>
            </w:r>
          </w:p>
        </w:tc>
        <w:tc>
          <w:tcPr>
            <w:tcW w:w="360" w:type="dxa"/>
            <w:vAlign w:val="bottom"/>
          </w:tcPr>
          <w:p>
            <w:pPr>
              <w:spacing w:after="0"/>
              <w:rPr>
                <w:sz w:val="18"/>
                <w:szCs w:val="18"/>
                <w:color w:val="auto"/>
              </w:rPr>
            </w:pPr>
          </w:p>
        </w:tc>
        <w:tc>
          <w:tcPr>
            <w:tcW w:w="106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rPr>
              <w:t>3,497</w:t>
            </w:r>
          </w:p>
        </w:tc>
        <w:tc>
          <w:tcPr>
            <w:tcW w:w="560" w:type="dxa"/>
            <w:vAlign w:val="bottom"/>
          </w:tcPr>
          <w:p>
            <w:pPr>
              <w:spacing w:after="0"/>
              <w:rPr>
                <w:sz w:val="18"/>
                <w:szCs w:val="18"/>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rPr>
              <w:t>3,367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 net</w:t>
            </w:r>
          </w:p>
        </w:tc>
        <w:tc>
          <w:tcPr>
            <w:tcW w:w="400" w:type="dxa"/>
            <w:vAlign w:val="bottom"/>
            <w:shd w:val="clear" w:color="auto" w:fill="CCEEFF"/>
          </w:tcPr>
          <w:p>
            <w:pPr>
              <w:spacing w:after="0"/>
              <w:rPr>
                <w:sz w:val="18"/>
                <w:szCs w:val="18"/>
                <w:color w:val="auto"/>
              </w:rPr>
            </w:pPr>
          </w:p>
        </w:tc>
        <w:tc>
          <w:tcPr>
            <w:tcW w:w="1020" w:type="dxa"/>
            <w:vAlign w:val="bottom"/>
            <w:tcBorders>
              <w:right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8"/>
                <w:szCs w:val="18"/>
                <w:b w:val="1"/>
                <w:bCs w:val="1"/>
                <w:color w:val="auto"/>
              </w:rPr>
              <w:t>46</w:t>
            </w:r>
          </w:p>
        </w:tc>
        <w:tc>
          <w:tcPr>
            <w:tcW w:w="400" w:type="dxa"/>
            <w:vAlign w:val="bottom"/>
            <w:shd w:val="clear" w:color="auto" w:fill="CCEEFF"/>
          </w:tcPr>
          <w:p>
            <w:pPr>
              <w:spacing w:after="0"/>
              <w:rPr>
                <w:sz w:val="18"/>
                <w:szCs w:val="18"/>
                <w:color w:val="auto"/>
              </w:rPr>
            </w:pPr>
          </w:p>
        </w:tc>
        <w:tc>
          <w:tcPr>
            <w:tcW w:w="980" w:type="dxa"/>
            <w:vAlign w:val="bottom"/>
            <w:tcBorders>
              <w:right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53</w:t>
            </w:r>
          </w:p>
        </w:tc>
        <w:tc>
          <w:tcPr>
            <w:tcW w:w="4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w:t>
            </w:r>
          </w:p>
        </w:tc>
        <w:tc>
          <w:tcPr>
            <w:tcW w:w="2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b w:val="1"/>
                <w:bCs w:val="1"/>
                <w:color w:val="auto"/>
              </w:rPr>
              <w:t>195</w:t>
            </w:r>
          </w:p>
        </w:tc>
        <w:tc>
          <w:tcPr>
            <w:tcW w:w="5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tcPr>
          <w:p>
            <w:pPr>
              <w:spacing w:after="0"/>
              <w:rPr>
                <w:sz w:val="20"/>
                <w:szCs w:val="20"/>
                <w:color w:val="auto"/>
              </w:rPr>
            </w:pPr>
            <w:r>
              <w:rPr>
                <w:rFonts w:ascii="Arial" w:cs="Arial" w:eastAsia="Arial" w:hAnsi="Arial"/>
                <w:sz w:val="18"/>
                <w:szCs w:val="18"/>
                <w:color w:val="auto"/>
              </w:rPr>
              <w:t>Income from continuing operations before income taxes</w:t>
            </w:r>
          </w:p>
        </w:tc>
        <w:tc>
          <w:tcPr>
            <w:tcW w:w="400" w:type="dxa"/>
            <w:vAlign w:val="bottom"/>
          </w:tcPr>
          <w:p>
            <w:pPr>
              <w:spacing w:after="0"/>
              <w:rPr>
                <w:sz w:val="18"/>
                <w:szCs w:val="18"/>
                <w:color w:val="auto"/>
              </w:rPr>
            </w:pPr>
          </w:p>
        </w:tc>
        <w:tc>
          <w:tcPr>
            <w:tcW w:w="102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rPr>
              <w:t>1,042</w:t>
            </w:r>
          </w:p>
        </w:tc>
        <w:tc>
          <w:tcPr>
            <w:tcW w:w="400" w:type="dxa"/>
            <w:vAlign w:val="bottom"/>
          </w:tcPr>
          <w:p>
            <w:pPr>
              <w:spacing w:after="0"/>
              <w:rPr>
                <w:sz w:val="18"/>
                <w:szCs w:val="18"/>
                <w:color w:val="auto"/>
              </w:rPr>
            </w:pPr>
          </w:p>
        </w:tc>
        <w:tc>
          <w:tcPr>
            <w:tcW w:w="980" w:type="dxa"/>
            <w:vAlign w:val="bottom"/>
            <w:gridSpan w:val="2"/>
          </w:tcPr>
          <w:p>
            <w:pPr>
              <w:jc w:val="right"/>
              <w:ind w:right="260"/>
              <w:spacing w:after="0"/>
              <w:rPr>
                <w:sz w:val="20"/>
                <w:szCs w:val="20"/>
                <w:color w:val="auto"/>
              </w:rPr>
            </w:pPr>
            <w:r>
              <w:rPr>
                <w:rFonts w:ascii="Arial" w:cs="Arial" w:eastAsia="Arial" w:hAnsi="Arial"/>
                <w:sz w:val="18"/>
                <w:szCs w:val="18"/>
                <w:color w:val="auto"/>
              </w:rPr>
              <w:t>1,066</w:t>
            </w:r>
          </w:p>
        </w:tc>
        <w:tc>
          <w:tcPr>
            <w:tcW w:w="440" w:type="dxa"/>
            <w:vAlign w:val="bottom"/>
          </w:tcPr>
          <w:p>
            <w:pPr>
              <w:spacing w:after="0"/>
              <w:rPr>
                <w:sz w:val="18"/>
                <w:szCs w:val="18"/>
                <w:color w:val="auto"/>
              </w:rPr>
            </w:pPr>
          </w:p>
        </w:tc>
        <w:tc>
          <w:tcPr>
            <w:tcW w:w="960" w:type="dxa"/>
            <w:vAlign w:val="bottom"/>
            <w:gridSpan w:val="2"/>
          </w:tcPr>
          <w:p>
            <w:pPr>
              <w:jc w:val="right"/>
              <w:ind w:right="280"/>
              <w:spacing w:after="0"/>
              <w:rPr>
                <w:sz w:val="20"/>
                <w:szCs w:val="20"/>
                <w:color w:val="auto"/>
              </w:rPr>
            </w:pPr>
            <w:r>
              <w:rPr>
                <w:rFonts w:ascii="Arial" w:cs="Arial" w:eastAsia="Arial" w:hAnsi="Arial"/>
                <w:sz w:val="18"/>
                <w:szCs w:val="18"/>
                <w:color w:val="auto"/>
              </w:rPr>
              <w:t>836</w:t>
            </w:r>
          </w:p>
        </w:tc>
        <w:tc>
          <w:tcPr>
            <w:tcW w:w="360" w:type="dxa"/>
            <w:vAlign w:val="bottom"/>
          </w:tcPr>
          <w:p>
            <w:pPr>
              <w:spacing w:after="0"/>
              <w:rPr>
                <w:sz w:val="18"/>
                <w:szCs w:val="18"/>
                <w:color w:val="auto"/>
              </w:rPr>
            </w:pPr>
          </w:p>
        </w:tc>
        <w:tc>
          <w:tcPr>
            <w:tcW w:w="106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rPr>
              <w:t>3,692</w:t>
            </w:r>
          </w:p>
        </w:tc>
        <w:tc>
          <w:tcPr>
            <w:tcW w:w="560" w:type="dxa"/>
            <w:vAlign w:val="bottom"/>
          </w:tcPr>
          <w:p>
            <w:pPr>
              <w:spacing w:after="0"/>
              <w:rPr>
                <w:sz w:val="18"/>
                <w:szCs w:val="18"/>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rPr>
              <w:t>3,625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Provision for income taxes</w:t>
            </w:r>
          </w:p>
        </w:tc>
        <w:tc>
          <w:tcPr>
            <w:tcW w:w="4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289</w:t>
            </w:r>
          </w:p>
        </w:tc>
        <w:tc>
          <w:tcPr>
            <w:tcW w:w="300" w:type="dxa"/>
            <w:vAlign w:val="bottom"/>
            <w:tcBorders>
              <w:right w:val="single" w:sz="8" w:color="CCEEFF"/>
            </w:tcBorders>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308</w:t>
            </w:r>
          </w:p>
        </w:tc>
        <w:tc>
          <w:tcPr>
            <w:tcW w:w="260" w:type="dxa"/>
            <w:vAlign w:val="bottom"/>
            <w:tcBorders>
              <w:right w:val="single" w:sz="8" w:color="CCEEFF"/>
            </w:tcBorders>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165</w:t>
            </w:r>
          </w:p>
        </w:tc>
        <w:tc>
          <w:tcPr>
            <w:tcW w:w="3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b w:val="1"/>
                <w:bCs w:val="1"/>
                <w:color w:val="auto"/>
              </w:rPr>
              <w:t>1,051</w:t>
            </w:r>
          </w:p>
        </w:tc>
        <w:tc>
          <w:tcPr>
            <w:tcW w:w="5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987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500" w:type="dxa"/>
            <w:vAlign w:val="bottom"/>
            <w:shd w:val="clear" w:color="auto" w:fill="CCEEFF"/>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300" w:type="dxa"/>
            <w:vAlign w:val="bottom"/>
            <w:tcBorders>
              <w:right w:val="single" w:sz="8" w:color="CCEEFF"/>
            </w:tcBorders>
            <w:shd w:val="clear" w:color="auto" w:fill="CCEEFF"/>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60" w:type="dxa"/>
            <w:vAlign w:val="bottom"/>
            <w:tcBorders>
              <w:right w:val="single" w:sz="8" w:color="CCEEFF"/>
            </w:tcBorders>
            <w:shd w:val="clear" w:color="auto" w:fill="CCEEFF"/>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00" w:type="dxa"/>
            <w:vAlign w:val="bottom"/>
          </w:tcPr>
          <w:p>
            <w:pPr>
              <w:spacing w:after="0"/>
              <w:rPr>
                <w:sz w:val="20"/>
                <w:szCs w:val="20"/>
                <w:color w:val="auto"/>
              </w:rPr>
            </w:pPr>
            <w:r>
              <w:rPr>
                <w:rFonts w:ascii="Arial" w:cs="Arial" w:eastAsia="Arial" w:hAnsi="Arial"/>
                <w:sz w:val="18"/>
                <w:szCs w:val="18"/>
                <w:color w:val="auto"/>
              </w:rPr>
              <w:t>Income from continuing operations</w:t>
            </w:r>
          </w:p>
        </w:tc>
        <w:tc>
          <w:tcPr>
            <w:tcW w:w="4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b w:val="1"/>
                <w:bCs w:val="1"/>
                <w:color w:val="auto"/>
              </w:rPr>
              <w:t>753</w:t>
            </w:r>
          </w:p>
        </w:tc>
        <w:tc>
          <w:tcPr>
            <w:tcW w:w="3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758</w:t>
            </w:r>
          </w:p>
        </w:tc>
        <w:tc>
          <w:tcPr>
            <w:tcW w:w="2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60" w:type="dxa"/>
            <w:vAlign w:val="bottom"/>
            <w:gridSpan w:val="2"/>
          </w:tcPr>
          <w:p>
            <w:pPr>
              <w:jc w:val="right"/>
              <w:ind w:right="280"/>
              <w:spacing w:after="0"/>
              <w:rPr>
                <w:sz w:val="20"/>
                <w:szCs w:val="20"/>
                <w:color w:val="auto"/>
              </w:rPr>
            </w:pPr>
            <w:r>
              <w:rPr>
                <w:rFonts w:ascii="Arial" w:cs="Arial" w:eastAsia="Arial" w:hAnsi="Arial"/>
                <w:sz w:val="18"/>
                <w:szCs w:val="18"/>
                <w:color w:val="auto"/>
              </w:rPr>
              <w:t>671</w:t>
            </w:r>
          </w:p>
        </w:tc>
        <w:tc>
          <w:tcPr>
            <w:tcW w:w="360" w:type="dxa"/>
            <w:vAlign w:val="bottom"/>
          </w:tcPr>
          <w:p>
            <w:pPr>
              <w:spacing w:after="0"/>
              <w:rPr>
                <w:sz w:val="18"/>
                <w:szCs w:val="18"/>
                <w:color w:val="auto"/>
              </w:rPr>
            </w:pPr>
          </w:p>
        </w:tc>
        <w:tc>
          <w:tcPr>
            <w:tcW w:w="106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rPr>
              <w:t>2,641</w:t>
            </w:r>
          </w:p>
        </w:tc>
        <w:tc>
          <w:tcPr>
            <w:tcW w:w="560" w:type="dxa"/>
            <w:vAlign w:val="bottom"/>
          </w:tcPr>
          <w:p>
            <w:pPr>
              <w:spacing w:after="0"/>
              <w:rPr>
                <w:sz w:val="18"/>
                <w:szCs w:val="18"/>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rPr>
              <w:t>2,638</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5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Income (loss) from discontinued operations,</w:t>
            </w:r>
          </w:p>
        </w:tc>
        <w:tc>
          <w:tcPr>
            <w:tcW w:w="400" w:type="dxa"/>
            <w:vAlign w:val="bottom"/>
            <w:shd w:val="clear" w:color="auto" w:fill="CCEEFF"/>
          </w:tcPr>
          <w:p>
            <w:pPr>
              <w:spacing w:after="0"/>
              <w:rPr>
                <w:sz w:val="17"/>
                <w:szCs w:val="17"/>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3</w:t>
            </w:r>
          </w:p>
        </w:tc>
        <w:tc>
          <w:tcPr>
            <w:tcW w:w="300" w:type="dxa"/>
            <w:vAlign w:val="bottom"/>
            <w:tcBorders>
              <w:right w:val="single" w:sz="8" w:color="CCEEFF"/>
            </w:tcBorders>
            <w:vMerge w:val="restart"/>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60" w:type="dxa"/>
            <w:vAlign w:val="bottom"/>
            <w:tcBorders>
              <w:right w:val="single" w:sz="8" w:color="CCEEFF"/>
            </w:tcBorders>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16</w:t>
            </w:r>
          </w:p>
        </w:tc>
        <w:tc>
          <w:tcPr>
            <w:tcW w:w="3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5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net of income taxes</w:t>
            </w:r>
          </w:p>
        </w:tc>
        <w:tc>
          <w:tcPr>
            <w:tcW w:w="400" w:type="dxa"/>
            <w:vAlign w:val="bottom"/>
            <w:shd w:val="clear" w:color="auto" w:fill="CCEEFF"/>
          </w:tcPr>
          <w:p>
            <w:pPr>
              <w:spacing w:after="0"/>
              <w:rPr>
                <w:sz w:val="20"/>
                <w:szCs w:val="20"/>
                <w:color w:val="auto"/>
              </w:rPr>
            </w:pPr>
          </w:p>
        </w:tc>
        <w:tc>
          <w:tcPr>
            <w:tcW w:w="720" w:type="dxa"/>
            <w:vAlign w:val="bottom"/>
            <w:vMerge w:val="continue"/>
            <w:shd w:val="clear" w:color="auto" w:fill="CCEEFF"/>
          </w:tcPr>
          <w:p>
            <w:pPr>
              <w:spacing w:after="0"/>
              <w:rPr>
                <w:sz w:val="20"/>
                <w:szCs w:val="20"/>
                <w:color w:val="auto"/>
              </w:rPr>
            </w:pPr>
          </w:p>
        </w:tc>
        <w:tc>
          <w:tcPr>
            <w:tcW w:w="300" w:type="dxa"/>
            <w:vAlign w:val="bottom"/>
            <w:tcBorders>
              <w:right w:val="single" w:sz="8" w:color="CCEEFF"/>
            </w:tcBorders>
            <w:vMerge w:val="continue"/>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260" w:type="dxa"/>
            <w:vAlign w:val="bottom"/>
            <w:tcBorders>
              <w:right w:val="single" w:sz="8" w:color="CCEEFF"/>
            </w:tcBorders>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w:t>
            </w:r>
          </w:p>
        </w:tc>
        <w:tc>
          <w:tcPr>
            <w:tcW w:w="360" w:type="dxa"/>
            <w:vAlign w:val="bottom"/>
            <w:shd w:val="clear" w:color="auto" w:fill="CCEEFF"/>
          </w:tcPr>
          <w:p>
            <w:pPr>
              <w:spacing w:after="0"/>
              <w:rPr>
                <w:sz w:val="20"/>
                <w:szCs w:val="20"/>
                <w:color w:val="auto"/>
              </w:rPr>
            </w:pPr>
          </w:p>
        </w:tc>
        <w:tc>
          <w:tcPr>
            <w:tcW w:w="760" w:type="dxa"/>
            <w:vAlign w:val="bottom"/>
            <w:vMerge w:val="continue"/>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1,703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500" w:type="dxa"/>
            <w:vAlign w:val="bottom"/>
            <w:shd w:val="clear" w:color="auto" w:fill="CCEEFF"/>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300" w:type="dxa"/>
            <w:vAlign w:val="bottom"/>
            <w:tcBorders>
              <w:right w:val="single" w:sz="8" w:color="CCEEFF"/>
            </w:tcBorders>
            <w:shd w:val="clear" w:color="auto" w:fill="CCEEFF"/>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60" w:type="dxa"/>
            <w:vAlign w:val="bottom"/>
            <w:tcBorders>
              <w:right w:val="single" w:sz="8" w:color="CCEEFF"/>
            </w:tcBorders>
            <w:shd w:val="clear" w:color="auto" w:fill="CCEEFF"/>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00" w:type="dxa"/>
            <w:vAlign w:val="bottom"/>
          </w:tcPr>
          <w:p>
            <w:pPr>
              <w:spacing w:after="0"/>
              <w:rPr>
                <w:sz w:val="20"/>
                <w:szCs w:val="20"/>
                <w:color w:val="auto"/>
              </w:rPr>
            </w:pPr>
            <w:r>
              <w:rPr>
                <w:rFonts w:ascii="Arial" w:cs="Arial" w:eastAsia="Arial" w:hAnsi="Arial"/>
                <w:sz w:val="18"/>
                <w:szCs w:val="18"/>
                <w:color w:val="auto"/>
              </w:rPr>
              <w:t>Net income</w:t>
            </w:r>
          </w:p>
        </w:tc>
        <w:tc>
          <w:tcPr>
            <w:tcW w:w="400" w:type="dxa"/>
            <w:vAlign w:val="bottom"/>
          </w:tcPr>
          <w:p>
            <w:pPr>
              <w:jc w:val="right"/>
              <w:ind w:right="243"/>
              <w:spacing w:after="0"/>
              <w:rPr>
                <w:sz w:val="20"/>
                <w:szCs w:val="20"/>
                <w:color w:val="auto"/>
              </w:rPr>
            </w:pPr>
            <w:r>
              <w:rPr>
                <w:rFonts w:ascii="Arial" w:cs="Arial" w:eastAsia="Arial" w:hAnsi="Arial"/>
                <w:sz w:val="15"/>
                <w:szCs w:val="15"/>
                <w:b w:val="1"/>
                <w:bCs w:val="1"/>
                <w:color w:val="auto"/>
                <w:w w:val="71"/>
              </w:rPr>
              <w:t>$</w:t>
            </w:r>
          </w:p>
        </w:tc>
        <w:tc>
          <w:tcPr>
            <w:tcW w:w="720" w:type="dxa"/>
            <w:vAlign w:val="bottom"/>
          </w:tcPr>
          <w:p>
            <w:pPr>
              <w:jc w:val="right"/>
              <w:spacing w:after="0"/>
              <w:rPr>
                <w:sz w:val="20"/>
                <w:szCs w:val="20"/>
                <w:color w:val="auto"/>
              </w:rPr>
            </w:pPr>
            <w:r>
              <w:rPr>
                <w:rFonts w:ascii="Arial" w:cs="Arial" w:eastAsia="Arial" w:hAnsi="Arial"/>
                <w:sz w:val="18"/>
                <w:szCs w:val="18"/>
                <w:b w:val="1"/>
                <w:bCs w:val="1"/>
                <w:color w:val="auto"/>
              </w:rPr>
              <w:t>756</w:t>
            </w:r>
          </w:p>
        </w:tc>
        <w:tc>
          <w:tcPr>
            <w:tcW w:w="300" w:type="dxa"/>
            <w:vAlign w:val="bottom"/>
          </w:tcPr>
          <w:p>
            <w:pPr>
              <w:spacing w:after="0"/>
              <w:rPr>
                <w:sz w:val="18"/>
                <w:szCs w:val="18"/>
                <w:color w:val="auto"/>
              </w:rPr>
            </w:pPr>
          </w:p>
        </w:tc>
        <w:tc>
          <w:tcPr>
            <w:tcW w:w="400" w:type="dxa"/>
            <w:vAlign w:val="bottom"/>
          </w:tcPr>
          <w:p>
            <w:pPr>
              <w:jc w:val="right"/>
              <w:ind w:right="243"/>
              <w:spacing w:after="0"/>
              <w:rPr>
                <w:sz w:val="20"/>
                <w:szCs w:val="20"/>
                <w:color w:val="auto"/>
              </w:rPr>
            </w:pPr>
            <w:r>
              <w:rPr>
                <w:rFonts w:ascii="Arial" w:cs="Arial" w:eastAsia="Arial" w:hAnsi="Arial"/>
                <w:sz w:val="15"/>
                <w:szCs w:val="15"/>
                <w:color w:val="auto"/>
                <w:w w:val="71"/>
              </w:rPr>
              <w:t>$</w:t>
            </w:r>
          </w:p>
        </w:tc>
        <w:tc>
          <w:tcPr>
            <w:tcW w:w="980" w:type="dxa"/>
            <w:vAlign w:val="bottom"/>
            <w:gridSpan w:val="2"/>
          </w:tcPr>
          <w:p>
            <w:pPr>
              <w:jc w:val="right"/>
              <w:ind w:right="260"/>
              <w:spacing w:after="0"/>
              <w:rPr>
                <w:sz w:val="20"/>
                <w:szCs w:val="20"/>
                <w:color w:val="auto"/>
              </w:rPr>
            </w:pPr>
            <w:r>
              <w:rPr>
                <w:rFonts w:ascii="Arial" w:cs="Arial" w:eastAsia="Arial" w:hAnsi="Arial"/>
                <w:sz w:val="18"/>
                <w:szCs w:val="18"/>
                <w:color w:val="auto"/>
              </w:rPr>
              <w:t>776</w:t>
            </w:r>
          </w:p>
        </w:tc>
        <w:tc>
          <w:tcPr>
            <w:tcW w:w="440" w:type="dxa"/>
            <w:vAlign w:val="bottom"/>
          </w:tcPr>
          <w:p>
            <w:pPr>
              <w:jc w:val="right"/>
              <w:ind w:right="250"/>
              <w:spacing w:after="0"/>
              <w:rPr>
                <w:sz w:val="20"/>
                <w:szCs w:val="20"/>
                <w:color w:val="auto"/>
              </w:rPr>
            </w:pPr>
            <w:r>
              <w:rPr>
                <w:rFonts w:ascii="Arial" w:cs="Arial" w:eastAsia="Arial" w:hAnsi="Arial"/>
                <w:sz w:val="18"/>
                <w:szCs w:val="18"/>
                <w:color w:val="auto"/>
                <w:w w:val="79"/>
              </w:rPr>
              <w:t>$</w:t>
            </w:r>
          </w:p>
        </w:tc>
        <w:tc>
          <w:tcPr>
            <w:tcW w:w="960" w:type="dxa"/>
            <w:vAlign w:val="bottom"/>
            <w:gridSpan w:val="2"/>
          </w:tcPr>
          <w:p>
            <w:pPr>
              <w:jc w:val="right"/>
              <w:ind w:right="280"/>
              <w:spacing w:after="0"/>
              <w:rPr>
                <w:sz w:val="20"/>
                <w:szCs w:val="20"/>
                <w:color w:val="auto"/>
              </w:rPr>
            </w:pPr>
            <w:r>
              <w:rPr>
                <w:rFonts w:ascii="Arial" w:cs="Arial" w:eastAsia="Arial" w:hAnsi="Arial"/>
                <w:sz w:val="18"/>
                <w:szCs w:val="18"/>
                <w:color w:val="auto"/>
              </w:rPr>
              <w:t>668</w:t>
            </w:r>
          </w:p>
        </w:tc>
        <w:tc>
          <w:tcPr>
            <w:tcW w:w="360" w:type="dxa"/>
            <w:vAlign w:val="bottom"/>
          </w:tcPr>
          <w:p>
            <w:pPr>
              <w:jc w:val="right"/>
              <w:ind w:right="203"/>
              <w:spacing w:after="0"/>
              <w:rPr>
                <w:sz w:val="20"/>
                <w:szCs w:val="20"/>
                <w:color w:val="auto"/>
              </w:rPr>
            </w:pPr>
            <w:r>
              <w:rPr>
                <w:rFonts w:ascii="Arial" w:cs="Arial" w:eastAsia="Arial" w:hAnsi="Arial"/>
                <w:sz w:val="15"/>
                <w:szCs w:val="15"/>
                <w:b w:val="1"/>
                <w:bCs w:val="1"/>
                <w:color w:val="auto"/>
                <w:w w:val="71"/>
              </w:rPr>
              <w:t>$</w:t>
            </w:r>
          </w:p>
        </w:tc>
        <w:tc>
          <w:tcPr>
            <w:tcW w:w="106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rPr>
              <w:t>2,657</w:t>
            </w:r>
          </w:p>
        </w:tc>
        <w:tc>
          <w:tcPr>
            <w:tcW w:w="560" w:type="dxa"/>
            <w:vAlign w:val="bottom"/>
          </w:tcPr>
          <w:p>
            <w:pPr>
              <w:jc w:val="right"/>
              <w:ind w:right="403"/>
              <w:spacing w:after="0"/>
              <w:rPr>
                <w:sz w:val="20"/>
                <w:szCs w:val="20"/>
                <w:color w:val="auto"/>
              </w:rPr>
            </w:pPr>
            <w:r>
              <w:rPr>
                <w:rFonts w:ascii="Arial" w:cs="Arial" w:eastAsia="Arial" w:hAnsi="Arial"/>
                <w:sz w:val="15"/>
                <w:szCs w:val="15"/>
                <w:color w:val="auto"/>
                <w:w w:val="71"/>
              </w:rPr>
              <w:t>$</w:t>
            </w: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rPr>
              <w:t>4,341</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50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5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00" w:type="dxa"/>
            <w:vAlign w:val="bottom"/>
            <w:tcBorders>
              <w:right w:val="single" w:sz="8" w:color="CCEEFF"/>
            </w:tcBorders>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60" w:type="dxa"/>
            <w:vAlign w:val="bottom"/>
            <w:tcBorders>
              <w:right w:val="single" w:sz="8" w:color="CCEEFF"/>
            </w:tcBorders>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00" w:type="dxa"/>
            <w:vAlign w:val="bottom"/>
          </w:tcPr>
          <w:p>
            <w:pPr>
              <w:spacing w:after="0"/>
              <w:rPr>
                <w:sz w:val="20"/>
                <w:szCs w:val="20"/>
                <w:color w:val="auto"/>
              </w:rPr>
            </w:pPr>
            <w:r>
              <w:rPr>
                <w:rFonts w:ascii="Arial" w:cs="Arial" w:eastAsia="Arial" w:hAnsi="Arial"/>
                <w:sz w:val="18"/>
                <w:szCs w:val="18"/>
                <w:color w:val="auto"/>
              </w:rPr>
              <w:t>Basic earnings per common share:</w:t>
            </w:r>
          </w:p>
        </w:tc>
        <w:tc>
          <w:tcPr>
            <w:tcW w:w="4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500" w:type="dxa"/>
            <w:vAlign w:val="bottom"/>
            <w:shd w:val="clear" w:color="auto" w:fill="CCEEFF"/>
          </w:tcPr>
          <w:p>
            <w:pPr>
              <w:ind w:left="80"/>
              <w:spacing w:after="0"/>
              <w:rPr>
                <w:sz w:val="20"/>
                <w:szCs w:val="20"/>
                <w:color w:val="auto"/>
              </w:rPr>
            </w:pPr>
            <w:r>
              <w:rPr>
                <w:rFonts w:ascii="Arial" w:cs="Arial" w:eastAsia="Arial" w:hAnsi="Arial"/>
                <w:sz w:val="18"/>
                <w:szCs w:val="18"/>
                <w:color w:val="auto"/>
              </w:rPr>
              <w:t>Income from continuing operations</w:t>
            </w:r>
          </w:p>
        </w:tc>
        <w:tc>
          <w:tcPr>
            <w:tcW w:w="400" w:type="dxa"/>
            <w:vAlign w:val="bottom"/>
            <w:shd w:val="clear" w:color="auto" w:fill="CCEEFF"/>
          </w:tcPr>
          <w:p>
            <w:pPr>
              <w:jc w:val="right"/>
              <w:ind w:right="243"/>
              <w:spacing w:after="0"/>
              <w:rPr>
                <w:sz w:val="20"/>
                <w:szCs w:val="20"/>
                <w:color w:val="auto"/>
              </w:rPr>
            </w:pPr>
            <w:r>
              <w:rPr>
                <w:rFonts w:ascii="Arial" w:cs="Arial" w:eastAsia="Arial" w:hAnsi="Arial"/>
                <w:sz w:val="15"/>
                <w:szCs w:val="15"/>
                <w:b w:val="1"/>
                <w:bCs w:val="1"/>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.55</w:t>
            </w:r>
          </w:p>
        </w:tc>
        <w:tc>
          <w:tcPr>
            <w:tcW w:w="300" w:type="dxa"/>
            <w:vAlign w:val="bottom"/>
            <w:tcBorders>
              <w:right w:val="single" w:sz="8" w:color="CCEEFF"/>
            </w:tcBorders>
            <w:shd w:val="clear" w:color="auto" w:fill="CCEEFF"/>
          </w:tcPr>
          <w:p>
            <w:pPr>
              <w:spacing w:after="0"/>
              <w:rPr>
                <w:sz w:val="20"/>
                <w:szCs w:val="20"/>
                <w:color w:val="auto"/>
              </w:rPr>
            </w:pPr>
          </w:p>
        </w:tc>
        <w:tc>
          <w:tcPr>
            <w:tcW w:w="400" w:type="dxa"/>
            <w:vAlign w:val="bottom"/>
            <w:shd w:val="clear" w:color="auto" w:fill="CCEEFF"/>
          </w:tcPr>
          <w:p>
            <w:pPr>
              <w:jc w:val="right"/>
              <w:ind w:right="243"/>
              <w:spacing w:after="0"/>
              <w:rPr>
                <w:sz w:val="20"/>
                <w:szCs w:val="20"/>
                <w:color w:val="auto"/>
              </w:rPr>
            </w:pPr>
            <w:r>
              <w:rPr>
                <w:rFonts w:ascii="Arial" w:cs="Arial" w:eastAsia="Arial" w:hAnsi="Arial"/>
                <w:sz w:val="15"/>
                <w:szCs w:val="15"/>
                <w:color w:val="auto"/>
                <w:w w:val="71"/>
              </w:rPr>
              <w:t>$</w:t>
            </w:r>
          </w:p>
        </w:tc>
        <w:tc>
          <w:tcPr>
            <w:tcW w:w="980" w:type="dxa"/>
            <w:vAlign w:val="bottom"/>
            <w:tcBorders>
              <w:right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.54</w:t>
            </w:r>
          </w:p>
        </w:tc>
        <w:tc>
          <w:tcPr>
            <w:tcW w:w="44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280" w:type="dxa"/>
            <w:vAlign w:val="bottom"/>
            <w:shd w:val="clear" w:color="auto" w:fill="CCEEFF"/>
          </w:tcPr>
          <w:p>
            <w:pPr>
              <w:spacing w:after="0"/>
              <w:rPr>
                <w:sz w:val="20"/>
                <w:szCs w:val="20"/>
                <w:color w:val="auto"/>
              </w:rPr>
            </w:pPr>
          </w:p>
        </w:tc>
        <w:tc>
          <w:tcPr>
            <w:tcW w:w="360" w:type="dxa"/>
            <w:vAlign w:val="bottom"/>
            <w:shd w:val="clear" w:color="auto" w:fill="CCEEFF"/>
          </w:tcPr>
          <w:p>
            <w:pPr>
              <w:jc w:val="right"/>
              <w:ind w:right="203"/>
              <w:spacing w:after="0"/>
              <w:rPr>
                <w:sz w:val="20"/>
                <w:szCs w:val="20"/>
                <w:color w:val="auto"/>
              </w:rPr>
            </w:pPr>
            <w:r>
              <w:rPr>
                <w:rFonts w:ascii="Arial" w:cs="Arial" w:eastAsia="Arial" w:hAnsi="Arial"/>
                <w:sz w:val="15"/>
                <w:szCs w:val="15"/>
                <w:b w:val="1"/>
                <w:bCs w:val="1"/>
                <w:color w:val="auto"/>
                <w:w w:val="71"/>
              </w:rPr>
              <w:t>$</w:t>
            </w:r>
          </w:p>
        </w:tc>
        <w:tc>
          <w:tcPr>
            <w:tcW w:w="10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b w:val="1"/>
                <w:bCs w:val="1"/>
                <w:color w:val="auto"/>
              </w:rPr>
              <w:t>1.86</w:t>
            </w:r>
          </w:p>
        </w:tc>
        <w:tc>
          <w:tcPr>
            <w:tcW w:w="560" w:type="dxa"/>
            <w:vAlign w:val="bottom"/>
            <w:shd w:val="clear" w:color="auto" w:fill="CCEEFF"/>
          </w:tcPr>
          <w:p>
            <w:pPr>
              <w:jc w:val="right"/>
              <w:ind w:right="403"/>
              <w:spacing w:after="0"/>
              <w:rPr>
                <w:sz w:val="20"/>
                <w:szCs w:val="20"/>
                <w:color w:val="auto"/>
              </w:rPr>
            </w:pPr>
            <w:r>
              <w:rPr>
                <w:rFonts w:ascii="Arial" w:cs="Arial" w:eastAsia="Arial" w:hAnsi="Arial"/>
                <w:sz w:val="15"/>
                <w:szCs w:val="15"/>
                <w:color w:val="auto"/>
                <w:w w:val="71"/>
              </w:rPr>
              <w:t>$</w:t>
            </w: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1.73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0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auto"/>
            </w:tcBorders>
            <w:shd w:val="clear" w:color="auto" w:fill="000000"/>
          </w:tcPr>
          <w:p>
            <w:pPr>
              <w:spacing w:after="0" w:line="20" w:lineRule="exact"/>
              <w:rPr>
                <w:sz w:val="1"/>
                <w:szCs w:val="1"/>
                <w:color w:val="auto"/>
              </w:rPr>
            </w:pPr>
          </w:p>
        </w:tc>
        <w:tc>
          <w:tcPr>
            <w:tcW w:w="68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auto"/>
            </w:tcBorders>
            <w:shd w:val="clear" w:color="auto" w:fill="000000"/>
          </w:tcPr>
          <w:p>
            <w:pPr>
              <w:spacing w:after="0" w:line="20" w:lineRule="exact"/>
              <w:rPr>
                <w:sz w:val="1"/>
                <w:szCs w:val="1"/>
                <w:color w:val="auto"/>
              </w:rPr>
            </w:pPr>
          </w:p>
        </w:tc>
        <w:tc>
          <w:tcPr>
            <w:tcW w:w="56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500" w:type="dxa"/>
            <w:vAlign w:val="bottom"/>
          </w:tcPr>
          <w:p>
            <w:pPr>
              <w:ind w:left="80"/>
              <w:spacing w:after="0"/>
              <w:rPr>
                <w:sz w:val="20"/>
                <w:szCs w:val="20"/>
                <w:color w:val="auto"/>
              </w:rPr>
            </w:pPr>
            <w:r>
              <w:rPr>
                <w:rFonts w:ascii="Arial" w:cs="Arial" w:eastAsia="Arial" w:hAnsi="Arial"/>
                <w:sz w:val="18"/>
                <w:szCs w:val="18"/>
                <w:color w:val="auto"/>
              </w:rPr>
              <w:t>Net income</w:t>
            </w:r>
          </w:p>
        </w:tc>
        <w:tc>
          <w:tcPr>
            <w:tcW w:w="400" w:type="dxa"/>
            <w:vAlign w:val="bottom"/>
          </w:tcPr>
          <w:p>
            <w:pPr>
              <w:jc w:val="right"/>
              <w:ind w:right="243"/>
              <w:spacing w:after="0"/>
              <w:rPr>
                <w:sz w:val="20"/>
                <w:szCs w:val="20"/>
                <w:color w:val="auto"/>
              </w:rPr>
            </w:pPr>
            <w:r>
              <w:rPr>
                <w:rFonts w:ascii="Arial" w:cs="Arial" w:eastAsia="Arial" w:hAnsi="Arial"/>
                <w:sz w:val="15"/>
                <w:szCs w:val="15"/>
                <w:b w:val="1"/>
                <w:bCs w:val="1"/>
                <w:color w:val="auto"/>
                <w:w w:val="71"/>
              </w:rPr>
              <w:t>$</w:t>
            </w:r>
          </w:p>
        </w:tc>
        <w:tc>
          <w:tcPr>
            <w:tcW w:w="720" w:type="dxa"/>
            <w:vAlign w:val="bottom"/>
          </w:tcPr>
          <w:p>
            <w:pPr>
              <w:jc w:val="right"/>
              <w:spacing w:after="0"/>
              <w:rPr>
                <w:sz w:val="20"/>
                <w:szCs w:val="20"/>
                <w:color w:val="auto"/>
              </w:rPr>
            </w:pPr>
            <w:r>
              <w:rPr>
                <w:rFonts w:ascii="Arial" w:cs="Arial" w:eastAsia="Arial" w:hAnsi="Arial"/>
                <w:sz w:val="18"/>
                <w:szCs w:val="18"/>
                <w:b w:val="1"/>
                <w:bCs w:val="1"/>
                <w:color w:val="auto"/>
              </w:rPr>
              <w:t>.55</w:t>
            </w:r>
          </w:p>
        </w:tc>
        <w:tc>
          <w:tcPr>
            <w:tcW w:w="300" w:type="dxa"/>
            <w:vAlign w:val="bottom"/>
          </w:tcPr>
          <w:p>
            <w:pPr>
              <w:spacing w:after="0"/>
              <w:rPr>
                <w:sz w:val="18"/>
                <w:szCs w:val="18"/>
                <w:color w:val="auto"/>
              </w:rPr>
            </w:pPr>
          </w:p>
        </w:tc>
        <w:tc>
          <w:tcPr>
            <w:tcW w:w="400" w:type="dxa"/>
            <w:vAlign w:val="bottom"/>
          </w:tcPr>
          <w:p>
            <w:pPr>
              <w:jc w:val="right"/>
              <w:ind w:right="243"/>
              <w:spacing w:after="0"/>
              <w:rPr>
                <w:sz w:val="20"/>
                <w:szCs w:val="20"/>
                <w:color w:val="auto"/>
              </w:rPr>
            </w:pPr>
            <w:r>
              <w:rPr>
                <w:rFonts w:ascii="Arial" w:cs="Arial" w:eastAsia="Arial" w:hAnsi="Arial"/>
                <w:sz w:val="15"/>
                <w:szCs w:val="15"/>
                <w:color w:val="auto"/>
                <w:w w:val="71"/>
              </w:rPr>
              <w:t>$</w:t>
            </w:r>
          </w:p>
        </w:tc>
        <w:tc>
          <w:tcPr>
            <w:tcW w:w="980" w:type="dxa"/>
            <w:vAlign w:val="bottom"/>
            <w:gridSpan w:val="2"/>
          </w:tcPr>
          <w:p>
            <w:pPr>
              <w:jc w:val="right"/>
              <w:ind w:right="260"/>
              <w:spacing w:after="0"/>
              <w:rPr>
                <w:sz w:val="20"/>
                <w:szCs w:val="20"/>
                <w:color w:val="auto"/>
              </w:rPr>
            </w:pPr>
            <w:r>
              <w:rPr>
                <w:rFonts w:ascii="Arial" w:cs="Arial" w:eastAsia="Arial" w:hAnsi="Arial"/>
                <w:sz w:val="18"/>
                <w:szCs w:val="18"/>
                <w:color w:val="auto"/>
              </w:rPr>
              <w:t>.55</w:t>
            </w:r>
          </w:p>
        </w:tc>
        <w:tc>
          <w:tcPr>
            <w:tcW w:w="440" w:type="dxa"/>
            <w:vAlign w:val="bottom"/>
          </w:tcPr>
          <w:p>
            <w:pPr>
              <w:jc w:val="right"/>
              <w:ind w:right="250"/>
              <w:spacing w:after="0"/>
              <w:rPr>
                <w:sz w:val="20"/>
                <w:szCs w:val="20"/>
                <w:color w:val="auto"/>
              </w:rPr>
            </w:pPr>
            <w:r>
              <w:rPr>
                <w:rFonts w:ascii="Arial" w:cs="Arial" w:eastAsia="Arial" w:hAnsi="Arial"/>
                <w:sz w:val="18"/>
                <w:szCs w:val="18"/>
                <w:color w:val="auto"/>
                <w:w w:val="7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.45</w:t>
            </w:r>
          </w:p>
        </w:tc>
        <w:tc>
          <w:tcPr>
            <w:tcW w:w="280" w:type="dxa"/>
            <w:vAlign w:val="bottom"/>
          </w:tcPr>
          <w:p>
            <w:pPr>
              <w:spacing w:after="0"/>
              <w:rPr>
                <w:sz w:val="18"/>
                <w:szCs w:val="18"/>
                <w:color w:val="auto"/>
              </w:rPr>
            </w:pPr>
          </w:p>
        </w:tc>
        <w:tc>
          <w:tcPr>
            <w:tcW w:w="360" w:type="dxa"/>
            <w:vAlign w:val="bottom"/>
          </w:tcPr>
          <w:p>
            <w:pPr>
              <w:jc w:val="right"/>
              <w:ind w:right="203"/>
              <w:spacing w:after="0"/>
              <w:rPr>
                <w:sz w:val="20"/>
                <w:szCs w:val="20"/>
                <w:color w:val="auto"/>
              </w:rPr>
            </w:pPr>
            <w:r>
              <w:rPr>
                <w:rFonts w:ascii="Arial" w:cs="Arial" w:eastAsia="Arial" w:hAnsi="Arial"/>
                <w:sz w:val="15"/>
                <w:szCs w:val="15"/>
                <w:b w:val="1"/>
                <w:bCs w:val="1"/>
                <w:color w:val="auto"/>
                <w:w w:val="71"/>
              </w:rPr>
              <w:t>$</w:t>
            </w:r>
          </w:p>
        </w:tc>
        <w:tc>
          <w:tcPr>
            <w:tcW w:w="106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rPr>
              <w:t>1.88</w:t>
            </w:r>
          </w:p>
        </w:tc>
        <w:tc>
          <w:tcPr>
            <w:tcW w:w="560" w:type="dxa"/>
            <w:vAlign w:val="bottom"/>
          </w:tcPr>
          <w:p>
            <w:pPr>
              <w:jc w:val="right"/>
              <w:ind w:right="403"/>
              <w:spacing w:after="0"/>
              <w:rPr>
                <w:sz w:val="20"/>
                <w:szCs w:val="20"/>
                <w:color w:val="auto"/>
              </w:rPr>
            </w:pPr>
            <w:r>
              <w:rPr>
                <w:rFonts w:ascii="Arial" w:cs="Arial" w:eastAsia="Arial" w:hAnsi="Arial"/>
                <w:sz w:val="15"/>
                <w:szCs w:val="15"/>
                <w:color w:val="auto"/>
                <w:w w:val="71"/>
              </w:rPr>
              <w:t>$</w:t>
            </w: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rPr>
              <w:t>2.84</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50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5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00" w:type="dxa"/>
            <w:vAlign w:val="bottom"/>
            <w:tcBorders>
              <w:right w:val="single" w:sz="8" w:color="CCEEFF"/>
            </w:tcBorders>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60" w:type="dxa"/>
            <w:vAlign w:val="bottom"/>
            <w:tcBorders>
              <w:right w:val="single" w:sz="8" w:color="CCEEFF"/>
            </w:tcBorders>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00" w:type="dxa"/>
            <w:vAlign w:val="bottom"/>
          </w:tcPr>
          <w:p>
            <w:pPr>
              <w:spacing w:after="0"/>
              <w:rPr>
                <w:sz w:val="20"/>
                <w:szCs w:val="20"/>
                <w:color w:val="auto"/>
              </w:rPr>
            </w:pPr>
            <w:r>
              <w:rPr>
                <w:rFonts w:ascii="Arial" w:cs="Arial" w:eastAsia="Arial" w:hAnsi="Arial"/>
                <w:sz w:val="18"/>
                <w:szCs w:val="18"/>
                <w:color w:val="auto"/>
              </w:rPr>
              <w:t>Diluted earnings per common share:</w:t>
            </w:r>
          </w:p>
        </w:tc>
        <w:tc>
          <w:tcPr>
            <w:tcW w:w="4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500" w:type="dxa"/>
            <w:vAlign w:val="bottom"/>
            <w:shd w:val="clear" w:color="auto" w:fill="CCEEFF"/>
          </w:tcPr>
          <w:p>
            <w:pPr>
              <w:ind w:left="80"/>
              <w:spacing w:after="0"/>
              <w:rPr>
                <w:sz w:val="20"/>
                <w:szCs w:val="20"/>
                <w:color w:val="auto"/>
              </w:rPr>
            </w:pPr>
            <w:r>
              <w:rPr>
                <w:rFonts w:ascii="Arial" w:cs="Arial" w:eastAsia="Arial" w:hAnsi="Arial"/>
                <w:sz w:val="18"/>
                <w:szCs w:val="18"/>
                <w:color w:val="auto"/>
              </w:rPr>
              <w:t>Income from continuing operations</w:t>
            </w:r>
          </w:p>
        </w:tc>
        <w:tc>
          <w:tcPr>
            <w:tcW w:w="400" w:type="dxa"/>
            <w:vAlign w:val="bottom"/>
            <w:shd w:val="clear" w:color="auto" w:fill="CCEEFF"/>
          </w:tcPr>
          <w:p>
            <w:pPr>
              <w:jc w:val="right"/>
              <w:ind w:right="243"/>
              <w:spacing w:after="0"/>
              <w:rPr>
                <w:sz w:val="20"/>
                <w:szCs w:val="20"/>
                <w:color w:val="auto"/>
              </w:rPr>
            </w:pPr>
            <w:r>
              <w:rPr>
                <w:rFonts w:ascii="Arial" w:cs="Arial" w:eastAsia="Arial" w:hAnsi="Arial"/>
                <w:sz w:val="15"/>
                <w:szCs w:val="15"/>
                <w:b w:val="1"/>
                <w:bCs w:val="1"/>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.54</w:t>
            </w:r>
          </w:p>
        </w:tc>
        <w:tc>
          <w:tcPr>
            <w:tcW w:w="300" w:type="dxa"/>
            <w:vAlign w:val="bottom"/>
            <w:tcBorders>
              <w:right w:val="single" w:sz="8" w:color="CCEEFF"/>
            </w:tcBorders>
            <w:shd w:val="clear" w:color="auto" w:fill="CCEEFF"/>
          </w:tcPr>
          <w:p>
            <w:pPr>
              <w:spacing w:after="0"/>
              <w:rPr>
                <w:sz w:val="20"/>
                <w:szCs w:val="20"/>
                <w:color w:val="auto"/>
              </w:rPr>
            </w:pPr>
          </w:p>
        </w:tc>
        <w:tc>
          <w:tcPr>
            <w:tcW w:w="400" w:type="dxa"/>
            <w:vAlign w:val="bottom"/>
            <w:shd w:val="clear" w:color="auto" w:fill="CCEEFF"/>
          </w:tcPr>
          <w:p>
            <w:pPr>
              <w:jc w:val="right"/>
              <w:ind w:right="243"/>
              <w:spacing w:after="0"/>
              <w:rPr>
                <w:sz w:val="20"/>
                <w:szCs w:val="20"/>
                <w:color w:val="auto"/>
              </w:rPr>
            </w:pPr>
            <w:r>
              <w:rPr>
                <w:rFonts w:ascii="Arial" w:cs="Arial" w:eastAsia="Arial" w:hAnsi="Arial"/>
                <w:sz w:val="15"/>
                <w:szCs w:val="15"/>
                <w:color w:val="auto"/>
                <w:w w:val="71"/>
              </w:rPr>
              <w:t>$</w:t>
            </w:r>
          </w:p>
        </w:tc>
        <w:tc>
          <w:tcPr>
            <w:tcW w:w="980" w:type="dxa"/>
            <w:vAlign w:val="bottom"/>
            <w:tcBorders>
              <w:right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.52</w:t>
            </w:r>
          </w:p>
        </w:tc>
        <w:tc>
          <w:tcPr>
            <w:tcW w:w="44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280" w:type="dxa"/>
            <w:vAlign w:val="bottom"/>
            <w:shd w:val="clear" w:color="auto" w:fill="CCEEFF"/>
          </w:tcPr>
          <w:p>
            <w:pPr>
              <w:spacing w:after="0"/>
              <w:rPr>
                <w:sz w:val="20"/>
                <w:szCs w:val="20"/>
                <w:color w:val="auto"/>
              </w:rPr>
            </w:pPr>
          </w:p>
        </w:tc>
        <w:tc>
          <w:tcPr>
            <w:tcW w:w="360" w:type="dxa"/>
            <w:vAlign w:val="bottom"/>
            <w:shd w:val="clear" w:color="auto" w:fill="CCEEFF"/>
          </w:tcPr>
          <w:p>
            <w:pPr>
              <w:jc w:val="right"/>
              <w:ind w:right="203"/>
              <w:spacing w:after="0"/>
              <w:rPr>
                <w:sz w:val="20"/>
                <w:szCs w:val="20"/>
                <w:color w:val="auto"/>
              </w:rPr>
            </w:pPr>
            <w:r>
              <w:rPr>
                <w:rFonts w:ascii="Arial" w:cs="Arial" w:eastAsia="Arial" w:hAnsi="Arial"/>
                <w:sz w:val="15"/>
                <w:szCs w:val="15"/>
                <w:b w:val="1"/>
                <w:bCs w:val="1"/>
                <w:color w:val="auto"/>
                <w:w w:val="71"/>
              </w:rPr>
              <w:t>$</w:t>
            </w:r>
          </w:p>
        </w:tc>
        <w:tc>
          <w:tcPr>
            <w:tcW w:w="10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b w:val="1"/>
                <w:bCs w:val="1"/>
                <w:color w:val="auto"/>
              </w:rPr>
              <w:t>1.83</w:t>
            </w:r>
          </w:p>
        </w:tc>
        <w:tc>
          <w:tcPr>
            <w:tcW w:w="560" w:type="dxa"/>
            <w:vAlign w:val="bottom"/>
            <w:shd w:val="clear" w:color="auto" w:fill="CCEEFF"/>
          </w:tcPr>
          <w:p>
            <w:pPr>
              <w:jc w:val="right"/>
              <w:ind w:right="403"/>
              <w:spacing w:after="0"/>
              <w:rPr>
                <w:sz w:val="20"/>
                <w:szCs w:val="20"/>
                <w:color w:val="auto"/>
              </w:rPr>
            </w:pPr>
            <w:r>
              <w:rPr>
                <w:rFonts w:ascii="Arial" w:cs="Arial" w:eastAsia="Arial" w:hAnsi="Arial"/>
                <w:sz w:val="15"/>
                <w:szCs w:val="15"/>
                <w:color w:val="auto"/>
                <w:w w:val="71"/>
              </w:rPr>
              <w:t>$</w:t>
            </w: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1.69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0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auto"/>
            </w:tcBorders>
            <w:shd w:val="clear" w:color="auto" w:fill="000000"/>
          </w:tcPr>
          <w:p>
            <w:pPr>
              <w:spacing w:after="0" w:line="20" w:lineRule="exact"/>
              <w:rPr>
                <w:sz w:val="1"/>
                <w:szCs w:val="1"/>
                <w:color w:val="auto"/>
              </w:rPr>
            </w:pPr>
          </w:p>
        </w:tc>
        <w:tc>
          <w:tcPr>
            <w:tcW w:w="68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auto"/>
            </w:tcBorders>
            <w:shd w:val="clear" w:color="auto" w:fill="000000"/>
          </w:tcPr>
          <w:p>
            <w:pPr>
              <w:spacing w:after="0" w:line="20" w:lineRule="exact"/>
              <w:rPr>
                <w:sz w:val="1"/>
                <w:szCs w:val="1"/>
                <w:color w:val="auto"/>
              </w:rPr>
            </w:pPr>
          </w:p>
        </w:tc>
        <w:tc>
          <w:tcPr>
            <w:tcW w:w="56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500" w:type="dxa"/>
            <w:vAlign w:val="bottom"/>
          </w:tcPr>
          <w:p>
            <w:pPr>
              <w:ind w:left="80"/>
              <w:spacing w:after="0"/>
              <w:rPr>
                <w:sz w:val="20"/>
                <w:szCs w:val="20"/>
                <w:color w:val="auto"/>
              </w:rPr>
            </w:pPr>
            <w:r>
              <w:rPr>
                <w:rFonts w:ascii="Arial" w:cs="Arial" w:eastAsia="Arial" w:hAnsi="Arial"/>
                <w:sz w:val="18"/>
                <w:szCs w:val="18"/>
                <w:color w:val="auto"/>
              </w:rPr>
              <w:t>Net income</w:t>
            </w:r>
          </w:p>
        </w:tc>
        <w:tc>
          <w:tcPr>
            <w:tcW w:w="400" w:type="dxa"/>
            <w:vAlign w:val="bottom"/>
          </w:tcPr>
          <w:p>
            <w:pPr>
              <w:jc w:val="right"/>
              <w:ind w:right="243"/>
              <w:spacing w:after="0"/>
              <w:rPr>
                <w:sz w:val="20"/>
                <w:szCs w:val="20"/>
                <w:color w:val="auto"/>
              </w:rPr>
            </w:pPr>
            <w:r>
              <w:rPr>
                <w:rFonts w:ascii="Arial" w:cs="Arial" w:eastAsia="Arial" w:hAnsi="Arial"/>
                <w:sz w:val="15"/>
                <w:szCs w:val="15"/>
                <w:b w:val="1"/>
                <w:bCs w:val="1"/>
                <w:color w:val="auto"/>
                <w:w w:val="71"/>
              </w:rPr>
              <w:t>$</w:t>
            </w:r>
          </w:p>
        </w:tc>
        <w:tc>
          <w:tcPr>
            <w:tcW w:w="720" w:type="dxa"/>
            <w:vAlign w:val="bottom"/>
          </w:tcPr>
          <w:p>
            <w:pPr>
              <w:jc w:val="right"/>
              <w:spacing w:after="0"/>
              <w:rPr>
                <w:sz w:val="20"/>
                <w:szCs w:val="20"/>
                <w:color w:val="auto"/>
              </w:rPr>
            </w:pPr>
            <w:r>
              <w:rPr>
                <w:rFonts w:ascii="Arial" w:cs="Arial" w:eastAsia="Arial" w:hAnsi="Arial"/>
                <w:sz w:val="18"/>
                <w:szCs w:val="18"/>
                <w:b w:val="1"/>
                <w:bCs w:val="1"/>
                <w:color w:val="auto"/>
              </w:rPr>
              <w:t>.54</w:t>
            </w:r>
          </w:p>
        </w:tc>
        <w:tc>
          <w:tcPr>
            <w:tcW w:w="300" w:type="dxa"/>
            <w:vAlign w:val="bottom"/>
          </w:tcPr>
          <w:p>
            <w:pPr>
              <w:spacing w:after="0"/>
              <w:rPr>
                <w:sz w:val="18"/>
                <w:szCs w:val="18"/>
                <w:color w:val="auto"/>
              </w:rPr>
            </w:pPr>
          </w:p>
        </w:tc>
        <w:tc>
          <w:tcPr>
            <w:tcW w:w="400" w:type="dxa"/>
            <w:vAlign w:val="bottom"/>
          </w:tcPr>
          <w:p>
            <w:pPr>
              <w:jc w:val="right"/>
              <w:ind w:right="243"/>
              <w:spacing w:after="0"/>
              <w:rPr>
                <w:sz w:val="20"/>
                <w:szCs w:val="20"/>
                <w:color w:val="auto"/>
              </w:rPr>
            </w:pPr>
            <w:r>
              <w:rPr>
                <w:rFonts w:ascii="Arial" w:cs="Arial" w:eastAsia="Arial" w:hAnsi="Arial"/>
                <w:sz w:val="15"/>
                <w:szCs w:val="15"/>
                <w:color w:val="auto"/>
                <w:w w:val="71"/>
              </w:rPr>
              <w:t>$</w:t>
            </w:r>
          </w:p>
        </w:tc>
        <w:tc>
          <w:tcPr>
            <w:tcW w:w="980" w:type="dxa"/>
            <w:vAlign w:val="bottom"/>
            <w:gridSpan w:val="2"/>
          </w:tcPr>
          <w:p>
            <w:pPr>
              <w:jc w:val="right"/>
              <w:ind w:right="260"/>
              <w:spacing w:after="0"/>
              <w:rPr>
                <w:sz w:val="20"/>
                <w:szCs w:val="20"/>
                <w:color w:val="auto"/>
              </w:rPr>
            </w:pPr>
            <w:r>
              <w:rPr>
                <w:rFonts w:ascii="Arial" w:cs="Arial" w:eastAsia="Arial" w:hAnsi="Arial"/>
                <w:sz w:val="18"/>
                <w:szCs w:val="18"/>
                <w:color w:val="auto"/>
              </w:rPr>
              <w:t>.54</w:t>
            </w:r>
          </w:p>
        </w:tc>
        <w:tc>
          <w:tcPr>
            <w:tcW w:w="440" w:type="dxa"/>
            <w:vAlign w:val="bottom"/>
          </w:tcPr>
          <w:p>
            <w:pPr>
              <w:jc w:val="right"/>
              <w:ind w:right="250"/>
              <w:spacing w:after="0"/>
              <w:rPr>
                <w:sz w:val="20"/>
                <w:szCs w:val="20"/>
                <w:color w:val="auto"/>
              </w:rPr>
            </w:pPr>
            <w:r>
              <w:rPr>
                <w:rFonts w:ascii="Arial" w:cs="Arial" w:eastAsia="Arial" w:hAnsi="Arial"/>
                <w:sz w:val="18"/>
                <w:szCs w:val="18"/>
                <w:color w:val="auto"/>
                <w:w w:val="7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.45</w:t>
            </w:r>
          </w:p>
        </w:tc>
        <w:tc>
          <w:tcPr>
            <w:tcW w:w="280" w:type="dxa"/>
            <w:vAlign w:val="bottom"/>
          </w:tcPr>
          <w:p>
            <w:pPr>
              <w:spacing w:after="0"/>
              <w:rPr>
                <w:sz w:val="18"/>
                <w:szCs w:val="18"/>
                <w:color w:val="auto"/>
              </w:rPr>
            </w:pPr>
          </w:p>
        </w:tc>
        <w:tc>
          <w:tcPr>
            <w:tcW w:w="360" w:type="dxa"/>
            <w:vAlign w:val="bottom"/>
          </w:tcPr>
          <w:p>
            <w:pPr>
              <w:jc w:val="right"/>
              <w:ind w:right="203"/>
              <w:spacing w:after="0"/>
              <w:rPr>
                <w:sz w:val="20"/>
                <w:szCs w:val="20"/>
                <w:color w:val="auto"/>
              </w:rPr>
            </w:pPr>
            <w:r>
              <w:rPr>
                <w:rFonts w:ascii="Arial" w:cs="Arial" w:eastAsia="Arial" w:hAnsi="Arial"/>
                <w:sz w:val="15"/>
                <w:szCs w:val="15"/>
                <w:b w:val="1"/>
                <w:bCs w:val="1"/>
                <w:color w:val="auto"/>
                <w:w w:val="71"/>
              </w:rPr>
              <w:t>$</w:t>
            </w:r>
          </w:p>
        </w:tc>
        <w:tc>
          <w:tcPr>
            <w:tcW w:w="106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rPr>
              <w:t>1.84</w:t>
            </w:r>
          </w:p>
        </w:tc>
        <w:tc>
          <w:tcPr>
            <w:tcW w:w="560" w:type="dxa"/>
            <w:vAlign w:val="bottom"/>
          </w:tcPr>
          <w:p>
            <w:pPr>
              <w:jc w:val="right"/>
              <w:ind w:right="403"/>
              <w:spacing w:after="0"/>
              <w:rPr>
                <w:sz w:val="20"/>
                <w:szCs w:val="20"/>
                <w:color w:val="auto"/>
              </w:rPr>
            </w:pPr>
            <w:r>
              <w:rPr>
                <w:rFonts w:ascii="Arial" w:cs="Arial" w:eastAsia="Arial" w:hAnsi="Arial"/>
                <w:sz w:val="15"/>
                <w:szCs w:val="15"/>
                <w:color w:val="auto"/>
                <w:w w:val="71"/>
              </w:rPr>
              <w:t>$</w:t>
            </w: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rPr>
              <w:t>2.78</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50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5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00" w:type="dxa"/>
            <w:vAlign w:val="bottom"/>
            <w:tcBorders>
              <w:right w:val="single" w:sz="8" w:color="CCEEFF"/>
            </w:tcBorders>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60" w:type="dxa"/>
            <w:vAlign w:val="bottom"/>
            <w:tcBorders>
              <w:right w:val="single" w:sz="8" w:color="CCEEFF"/>
            </w:tcBorders>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00" w:type="dxa"/>
            <w:vAlign w:val="bottom"/>
          </w:tcPr>
          <w:p>
            <w:pPr>
              <w:spacing w:after="0"/>
              <w:rPr>
                <w:sz w:val="20"/>
                <w:szCs w:val="20"/>
                <w:color w:val="auto"/>
              </w:rPr>
            </w:pPr>
            <w:r>
              <w:rPr>
                <w:rFonts w:ascii="Arial" w:cs="Arial" w:eastAsia="Arial" w:hAnsi="Arial"/>
                <w:sz w:val="18"/>
                <w:szCs w:val="18"/>
                <w:color w:val="auto"/>
              </w:rPr>
              <w:t>Average shares outstanding (millions):</w:t>
            </w:r>
          </w:p>
        </w:tc>
        <w:tc>
          <w:tcPr>
            <w:tcW w:w="4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450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color w:val="auto"/>
              </w:rPr>
              <w:t>Basic</w:t>
            </w:r>
          </w:p>
        </w:tc>
        <w:tc>
          <w:tcPr>
            <w:tcW w:w="400" w:type="dxa"/>
            <w:vAlign w:val="bottom"/>
            <w:tcBorders>
              <w:bottom w:val="single" w:sz="8" w:color="auto"/>
            </w:tcBorders>
            <w:shd w:val="clear" w:color="auto" w:fill="CCEEFF"/>
          </w:tcPr>
          <w:p>
            <w:pPr>
              <w:spacing w:after="0"/>
              <w:rPr>
                <w:sz w:val="22"/>
                <w:szCs w:val="22"/>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1,372</w:t>
            </w:r>
          </w:p>
        </w:tc>
        <w:tc>
          <w:tcPr>
            <w:tcW w:w="300" w:type="dxa"/>
            <w:vAlign w:val="bottom"/>
            <w:tcBorders>
              <w:bottom w:val="single" w:sz="8" w:color="CCEEFF"/>
              <w:right w:val="single" w:sz="8" w:color="CCEEFF"/>
            </w:tcBorders>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spacing w:after="0"/>
              <w:rPr>
                <w:sz w:val="22"/>
                <w:szCs w:val="22"/>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1,417</w:t>
            </w:r>
          </w:p>
        </w:tc>
        <w:tc>
          <w:tcPr>
            <w:tcW w:w="260" w:type="dxa"/>
            <w:vAlign w:val="bottom"/>
            <w:tcBorders>
              <w:bottom w:val="single" w:sz="8" w:color="CCEEFF"/>
              <w:right w:val="single" w:sz="8" w:color="CCEEFF"/>
            </w:tcBorders>
            <w:shd w:val="clear" w:color="auto" w:fill="CCEEFF"/>
          </w:tcPr>
          <w:p>
            <w:pPr>
              <w:spacing w:after="0"/>
              <w:rPr>
                <w:sz w:val="22"/>
                <w:szCs w:val="22"/>
                <w:color w:val="auto"/>
              </w:rPr>
            </w:pPr>
          </w:p>
        </w:tc>
        <w:tc>
          <w:tcPr>
            <w:tcW w:w="440" w:type="dxa"/>
            <w:vAlign w:val="bottom"/>
            <w:tcBorders>
              <w:bottom w:val="single" w:sz="8" w:color="auto"/>
            </w:tcBorders>
            <w:shd w:val="clear" w:color="auto" w:fill="CCEEFF"/>
          </w:tcPr>
          <w:p>
            <w:pPr>
              <w:spacing w:after="0"/>
              <w:rPr>
                <w:sz w:val="22"/>
                <w:szCs w:val="22"/>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1,469</w:t>
            </w:r>
          </w:p>
        </w:tc>
        <w:tc>
          <w:tcPr>
            <w:tcW w:w="28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spacing w:after="0"/>
              <w:rPr>
                <w:sz w:val="22"/>
                <w:szCs w:val="22"/>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1,417</w:t>
            </w:r>
          </w:p>
        </w:tc>
        <w:tc>
          <w:tcPr>
            <w:tcW w:w="30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auto"/>
            </w:tcBorders>
            <w:shd w:val="clear" w:color="auto" w:fill="CCEEFF"/>
          </w:tcPr>
          <w:p>
            <w:pPr>
              <w:spacing w:after="0"/>
              <w:rPr>
                <w:sz w:val="22"/>
                <w:szCs w:val="22"/>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1,528</w:t>
            </w:r>
          </w:p>
        </w:tc>
        <w:tc>
          <w:tcPr>
            <w:tcW w:w="1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500" w:type="dxa"/>
            <w:vAlign w:val="bottom"/>
          </w:tcPr>
          <w:p>
            <w:pPr>
              <w:ind w:left="80"/>
              <w:spacing w:after="0"/>
              <w:rPr>
                <w:sz w:val="20"/>
                <w:szCs w:val="20"/>
                <w:color w:val="auto"/>
              </w:rPr>
            </w:pPr>
            <w:r>
              <w:rPr>
                <w:rFonts w:ascii="Arial" w:cs="Arial" w:eastAsia="Arial" w:hAnsi="Arial"/>
                <w:sz w:val="18"/>
                <w:szCs w:val="18"/>
                <w:color w:val="auto"/>
              </w:rPr>
              <w:t>Diluted</w:t>
            </w:r>
          </w:p>
        </w:tc>
        <w:tc>
          <w:tcPr>
            <w:tcW w:w="400" w:type="dxa"/>
            <w:vAlign w:val="bottom"/>
          </w:tcPr>
          <w:p>
            <w:pPr>
              <w:spacing w:after="0"/>
              <w:rPr>
                <w:sz w:val="18"/>
                <w:szCs w:val="18"/>
                <w:color w:val="auto"/>
              </w:rPr>
            </w:pPr>
          </w:p>
        </w:tc>
        <w:tc>
          <w:tcPr>
            <w:tcW w:w="102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rPr>
              <w:t>1,399</w:t>
            </w:r>
          </w:p>
        </w:tc>
        <w:tc>
          <w:tcPr>
            <w:tcW w:w="400" w:type="dxa"/>
            <w:vAlign w:val="bottom"/>
          </w:tcPr>
          <w:p>
            <w:pPr>
              <w:spacing w:after="0"/>
              <w:rPr>
                <w:sz w:val="18"/>
                <w:szCs w:val="18"/>
                <w:color w:val="auto"/>
              </w:rPr>
            </w:pPr>
          </w:p>
        </w:tc>
        <w:tc>
          <w:tcPr>
            <w:tcW w:w="980" w:type="dxa"/>
            <w:vAlign w:val="bottom"/>
            <w:gridSpan w:val="2"/>
          </w:tcPr>
          <w:p>
            <w:pPr>
              <w:jc w:val="right"/>
              <w:ind w:right="260"/>
              <w:spacing w:after="0"/>
              <w:rPr>
                <w:sz w:val="20"/>
                <w:szCs w:val="20"/>
                <w:color w:val="auto"/>
              </w:rPr>
            </w:pPr>
            <w:r>
              <w:rPr>
                <w:rFonts w:ascii="Arial" w:cs="Arial" w:eastAsia="Arial" w:hAnsi="Arial"/>
                <w:sz w:val="18"/>
                <w:szCs w:val="18"/>
                <w:color w:val="auto"/>
              </w:rPr>
              <w:t>1,448</w:t>
            </w:r>
          </w:p>
        </w:tc>
        <w:tc>
          <w:tcPr>
            <w:tcW w:w="4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1,499</w:t>
            </w: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6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rPr>
              <w:t>1,446</w:t>
            </w:r>
          </w:p>
        </w:tc>
        <w:tc>
          <w:tcPr>
            <w:tcW w:w="560" w:type="dxa"/>
            <w:vAlign w:val="bottom"/>
          </w:tcPr>
          <w:p>
            <w:pPr>
              <w:spacing w:after="0"/>
              <w:rPr>
                <w:sz w:val="18"/>
                <w:szCs w:val="18"/>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rPr>
              <w:t>1,560</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50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5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00" w:type="dxa"/>
            <w:vAlign w:val="bottom"/>
            <w:tcBorders>
              <w:right w:val="single" w:sz="8" w:color="CCEEFF"/>
            </w:tcBorders>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60" w:type="dxa"/>
            <w:vAlign w:val="bottom"/>
            <w:tcBorders>
              <w:right w:val="single" w:sz="8" w:color="CCEEFF"/>
            </w:tcBorders>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00" w:type="dxa"/>
            <w:vAlign w:val="bottom"/>
          </w:tcPr>
          <w:p>
            <w:pPr>
              <w:spacing w:after="0"/>
              <w:rPr>
                <w:sz w:val="20"/>
                <w:szCs w:val="20"/>
                <w:color w:val="auto"/>
              </w:rPr>
            </w:pPr>
            <w:r>
              <w:rPr>
                <w:rFonts w:ascii="Arial" w:cs="Arial" w:eastAsia="Arial" w:hAnsi="Arial"/>
                <w:sz w:val="18"/>
                <w:szCs w:val="18"/>
                <w:color w:val="auto"/>
              </w:rPr>
              <w:t>Cash dividends declared per share of common stock</w:t>
            </w:r>
          </w:p>
        </w:tc>
        <w:tc>
          <w:tcPr>
            <w:tcW w:w="400" w:type="dxa"/>
            <w:vAlign w:val="bottom"/>
          </w:tcPr>
          <w:p>
            <w:pPr>
              <w:jc w:val="right"/>
              <w:ind w:right="243"/>
              <w:spacing w:after="0"/>
              <w:rPr>
                <w:sz w:val="20"/>
                <w:szCs w:val="20"/>
                <w:color w:val="auto"/>
              </w:rPr>
            </w:pPr>
            <w:r>
              <w:rPr>
                <w:rFonts w:ascii="Arial" w:cs="Arial" w:eastAsia="Arial" w:hAnsi="Arial"/>
                <w:sz w:val="15"/>
                <w:szCs w:val="15"/>
                <w:b w:val="1"/>
                <w:bCs w:val="1"/>
                <w:color w:val="auto"/>
                <w:w w:val="71"/>
              </w:rPr>
              <w:t>$</w:t>
            </w:r>
          </w:p>
        </w:tc>
        <w:tc>
          <w:tcPr>
            <w:tcW w:w="102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rPr>
              <w:t>.10</w:t>
            </w:r>
          </w:p>
        </w:tc>
        <w:tc>
          <w:tcPr>
            <w:tcW w:w="400" w:type="dxa"/>
            <w:vAlign w:val="bottom"/>
          </w:tcPr>
          <w:p>
            <w:pPr>
              <w:jc w:val="right"/>
              <w:ind w:right="243"/>
              <w:spacing w:after="0"/>
              <w:rPr>
                <w:sz w:val="20"/>
                <w:szCs w:val="20"/>
                <w:color w:val="auto"/>
              </w:rPr>
            </w:pPr>
            <w:r>
              <w:rPr>
                <w:rFonts w:ascii="Arial" w:cs="Arial" w:eastAsia="Arial" w:hAnsi="Arial"/>
                <w:sz w:val="15"/>
                <w:szCs w:val="15"/>
                <w:color w:val="auto"/>
                <w:w w:val="71"/>
              </w:rPr>
              <w:t>$</w:t>
            </w:r>
          </w:p>
        </w:tc>
        <w:tc>
          <w:tcPr>
            <w:tcW w:w="980" w:type="dxa"/>
            <w:vAlign w:val="bottom"/>
            <w:gridSpan w:val="2"/>
          </w:tcPr>
          <w:p>
            <w:pPr>
              <w:jc w:val="right"/>
              <w:ind w:right="260"/>
              <w:spacing w:after="0"/>
              <w:rPr>
                <w:sz w:val="20"/>
                <w:szCs w:val="20"/>
                <w:color w:val="auto"/>
              </w:rPr>
            </w:pPr>
            <w:r>
              <w:rPr>
                <w:rFonts w:ascii="Arial" w:cs="Arial" w:eastAsia="Arial" w:hAnsi="Arial"/>
                <w:sz w:val="18"/>
                <w:szCs w:val="18"/>
                <w:color w:val="auto"/>
              </w:rPr>
              <w:t>.08</w:t>
            </w:r>
          </w:p>
        </w:tc>
        <w:tc>
          <w:tcPr>
            <w:tcW w:w="440" w:type="dxa"/>
            <w:vAlign w:val="bottom"/>
          </w:tcPr>
          <w:p>
            <w:pPr>
              <w:jc w:val="right"/>
              <w:ind w:right="250"/>
              <w:spacing w:after="0"/>
              <w:rPr>
                <w:sz w:val="20"/>
                <w:szCs w:val="20"/>
                <w:color w:val="auto"/>
              </w:rPr>
            </w:pPr>
            <w:r>
              <w:rPr>
                <w:rFonts w:ascii="Arial" w:cs="Arial" w:eastAsia="Arial" w:hAnsi="Arial"/>
                <w:sz w:val="18"/>
                <w:szCs w:val="18"/>
                <w:color w:val="auto"/>
                <w:w w:val="7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.04</w:t>
            </w:r>
          </w:p>
        </w:tc>
        <w:tc>
          <w:tcPr>
            <w:tcW w:w="280" w:type="dxa"/>
            <w:vAlign w:val="bottom"/>
          </w:tcPr>
          <w:p>
            <w:pPr>
              <w:spacing w:after="0"/>
              <w:rPr>
                <w:sz w:val="18"/>
                <w:szCs w:val="18"/>
                <w:color w:val="auto"/>
              </w:rPr>
            </w:pPr>
          </w:p>
        </w:tc>
        <w:tc>
          <w:tcPr>
            <w:tcW w:w="360" w:type="dxa"/>
            <w:vAlign w:val="bottom"/>
          </w:tcPr>
          <w:p>
            <w:pPr>
              <w:jc w:val="right"/>
              <w:ind w:right="203"/>
              <w:spacing w:after="0"/>
              <w:rPr>
                <w:sz w:val="20"/>
                <w:szCs w:val="20"/>
                <w:color w:val="auto"/>
              </w:rPr>
            </w:pPr>
            <w:r>
              <w:rPr>
                <w:rFonts w:ascii="Arial" w:cs="Arial" w:eastAsia="Arial" w:hAnsi="Arial"/>
                <w:sz w:val="15"/>
                <w:szCs w:val="15"/>
                <w:b w:val="1"/>
                <w:bCs w:val="1"/>
                <w:color w:val="auto"/>
                <w:w w:val="71"/>
              </w:rPr>
              <w:t>$</w:t>
            </w:r>
          </w:p>
        </w:tc>
        <w:tc>
          <w:tcPr>
            <w:tcW w:w="106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rPr>
              <w:t>.30</w:t>
            </w:r>
          </w:p>
        </w:tc>
        <w:tc>
          <w:tcPr>
            <w:tcW w:w="560" w:type="dxa"/>
            <w:vAlign w:val="bottom"/>
          </w:tcPr>
          <w:p>
            <w:pPr>
              <w:jc w:val="right"/>
              <w:ind w:right="403"/>
              <w:spacing w:after="0"/>
              <w:rPr>
                <w:sz w:val="20"/>
                <w:szCs w:val="20"/>
                <w:color w:val="auto"/>
              </w:rPr>
            </w:pPr>
            <w:r>
              <w:rPr>
                <w:rFonts w:ascii="Arial" w:cs="Arial" w:eastAsia="Arial" w:hAnsi="Arial"/>
                <w:sz w:val="15"/>
                <w:szCs w:val="15"/>
                <w:color w:val="auto"/>
                <w:w w:val="71"/>
              </w:rPr>
              <w:t>$</w:t>
            </w: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50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5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00" w:type="dxa"/>
            <w:vAlign w:val="bottom"/>
            <w:tcBorders>
              <w:right w:val="single" w:sz="8" w:color="CCEEFF"/>
            </w:tcBorders>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60" w:type="dxa"/>
            <w:vAlign w:val="bottom"/>
            <w:tcBorders>
              <w:right w:val="single" w:sz="8" w:color="CCEEFF"/>
            </w:tcBorders>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00" w:type="dxa"/>
            <w:vAlign w:val="bottom"/>
          </w:tcPr>
          <w:p>
            <w:pPr>
              <w:spacing w:after="0"/>
              <w:rPr>
                <w:sz w:val="20"/>
                <w:szCs w:val="20"/>
                <w:color w:val="auto"/>
              </w:rPr>
            </w:pPr>
            <w:r>
              <w:rPr>
                <w:rFonts w:ascii="Arial" w:cs="Arial" w:eastAsia="Arial" w:hAnsi="Arial"/>
                <w:sz w:val="18"/>
                <w:szCs w:val="18"/>
                <w:color w:val="auto"/>
              </w:rPr>
              <w:t>Percentage of revenue:</w:t>
            </w:r>
          </w:p>
        </w:tc>
        <w:tc>
          <w:tcPr>
            <w:tcW w:w="4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5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00" w:type="dxa"/>
            <w:vAlign w:val="bottom"/>
            <w:tcBorders>
              <w:right w:val="single" w:sz="8" w:color="CCEEFF"/>
            </w:tcBorders>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60" w:type="dxa"/>
            <w:vAlign w:val="bottom"/>
            <w:tcBorders>
              <w:right w:val="single" w:sz="8" w:color="CCEEFF"/>
            </w:tcBorders>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00" w:type="dxa"/>
            <w:vAlign w:val="bottom"/>
          </w:tcPr>
          <w:p>
            <w:pPr>
              <w:spacing w:after="0"/>
              <w:rPr>
                <w:sz w:val="20"/>
                <w:szCs w:val="20"/>
                <w:color w:val="auto"/>
              </w:rPr>
            </w:pPr>
            <w:r>
              <w:rPr>
                <w:rFonts w:ascii="Arial" w:cs="Arial" w:eastAsia="Arial" w:hAnsi="Arial"/>
                <w:sz w:val="18"/>
                <w:szCs w:val="18"/>
                <w:color w:val="auto"/>
              </w:rPr>
              <w:t>Gross profit</w:t>
            </w:r>
          </w:p>
        </w:tc>
        <w:tc>
          <w:tcPr>
            <w:tcW w:w="40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54.2%</w:t>
            </w:r>
          </w:p>
        </w:tc>
        <w:tc>
          <w:tcPr>
            <w:tcW w:w="400" w:type="dxa"/>
            <w:vAlign w:val="bottom"/>
          </w:tcPr>
          <w:p>
            <w:pPr>
              <w:spacing w:after="0"/>
              <w:rPr>
                <w:sz w:val="18"/>
                <w:szCs w:val="18"/>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54.2%</w:t>
            </w:r>
          </w:p>
        </w:tc>
        <w:tc>
          <w:tcPr>
            <w:tcW w:w="440" w:type="dxa"/>
            <w:vAlign w:val="bottom"/>
          </w:tcPr>
          <w:p>
            <w:pPr>
              <w:spacing w:after="0"/>
              <w:rPr>
                <w:sz w:val="18"/>
                <w:szCs w:val="18"/>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50.5%</w:t>
            </w:r>
          </w:p>
        </w:tc>
        <w:tc>
          <w:tcPr>
            <w:tcW w:w="360" w:type="dxa"/>
            <w:vAlign w:val="bottom"/>
          </w:tcPr>
          <w:p>
            <w:pPr>
              <w:spacing w:after="0"/>
              <w:rPr>
                <w:sz w:val="18"/>
                <w:szCs w:val="18"/>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53.0%</w:t>
            </w:r>
          </w:p>
        </w:tc>
        <w:tc>
          <w:tcPr>
            <w:tcW w:w="560" w:type="dxa"/>
            <w:vAlign w:val="bottom"/>
          </w:tcPr>
          <w:p>
            <w:pPr>
              <w:spacing w:after="0"/>
              <w:rPr>
                <w:sz w:val="18"/>
                <w:szCs w:val="18"/>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50.9%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R&amp;D</w:t>
            </w:r>
          </w:p>
        </w:tc>
        <w:tc>
          <w:tcPr>
            <w:tcW w:w="400" w:type="dxa"/>
            <w:vAlign w:val="bottom"/>
            <w:shd w:val="clear" w:color="auto" w:fill="CCEEFF"/>
          </w:tcPr>
          <w:p>
            <w:pPr>
              <w:spacing w:after="0"/>
              <w:rPr>
                <w:sz w:val="18"/>
                <w:szCs w:val="18"/>
                <w:color w:val="auto"/>
              </w:rPr>
            </w:pPr>
          </w:p>
        </w:tc>
        <w:tc>
          <w:tcPr>
            <w:tcW w:w="102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14.3%</w:t>
            </w:r>
          </w:p>
        </w:tc>
        <w:tc>
          <w:tcPr>
            <w:tcW w:w="400" w:type="dxa"/>
            <w:vAlign w:val="bottom"/>
            <w:shd w:val="clear" w:color="auto" w:fill="CCEEFF"/>
          </w:tcPr>
          <w:p>
            <w:pPr>
              <w:spacing w:after="0"/>
              <w:rPr>
                <w:sz w:val="18"/>
                <w:szCs w:val="18"/>
                <w:color w:val="auto"/>
              </w:rPr>
            </w:pPr>
          </w:p>
        </w:tc>
        <w:tc>
          <w:tcPr>
            <w:tcW w:w="98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14.8%</w:t>
            </w:r>
          </w:p>
        </w:tc>
        <w:tc>
          <w:tcPr>
            <w:tcW w:w="4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16.0%</w:t>
            </w:r>
          </w:p>
        </w:tc>
        <w:tc>
          <w:tcPr>
            <w:tcW w:w="3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15.6%</w:t>
            </w:r>
          </w:p>
        </w:tc>
        <w:tc>
          <w:tcPr>
            <w:tcW w:w="5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tcPr>
          <w:p>
            <w:pPr>
              <w:spacing w:after="0"/>
              <w:rPr>
                <w:sz w:val="20"/>
                <w:szCs w:val="20"/>
                <w:color w:val="auto"/>
              </w:rPr>
            </w:pPr>
            <w:r>
              <w:rPr>
                <w:rFonts w:ascii="Arial" w:cs="Arial" w:eastAsia="Arial" w:hAnsi="Arial"/>
                <w:sz w:val="18"/>
                <w:szCs w:val="18"/>
                <w:color w:val="auto"/>
              </w:rPr>
              <w:t>SG&amp;A</w:t>
            </w:r>
          </w:p>
        </w:tc>
        <w:tc>
          <w:tcPr>
            <w:tcW w:w="40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11.9%</w:t>
            </w:r>
          </w:p>
        </w:tc>
        <w:tc>
          <w:tcPr>
            <w:tcW w:w="400" w:type="dxa"/>
            <w:vAlign w:val="bottom"/>
          </w:tcPr>
          <w:p>
            <w:pPr>
              <w:spacing w:after="0"/>
              <w:rPr>
                <w:sz w:val="18"/>
                <w:szCs w:val="18"/>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11.7%</w:t>
            </w:r>
          </w:p>
        </w:tc>
        <w:tc>
          <w:tcPr>
            <w:tcW w:w="440" w:type="dxa"/>
            <w:vAlign w:val="bottom"/>
          </w:tcPr>
          <w:p>
            <w:pPr>
              <w:spacing w:after="0"/>
              <w:rPr>
                <w:sz w:val="18"/>
                <w:szCs w:val="18"/>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12.3%</w:t>
            </w:r>
          </w:p>
        </w:tc>
        <w:tc>
          <w:tcPr>
            <w:tcW w:w="360" w:type="dxa"/>
            <w:vAlign w:val="bottom"/>
          </w:tcPr>
          <w:p>
            <w:pPr>
              <w:spacing w:after="0"/>
              <w:rPr>
                <w:sz w:val="18"/>
                <w:szCs w:val="18"/>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12.1%</w:t>
            </w:r>
          </w:p>
        </w:tc>
        <w:tc>
          <w:tcPr>
            <w:tcW w:w="560" w:type="dxa"/>
            <w:vAlign w:val="bottom"/>
          </w:tcPr>
          <w:p>
            <w:pPr>
              <w:spacing w:after="0"/>
              <w:rPr>
                <w:sz w:val="18"/>
                <w:szCs w:val="18"/>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11.9%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Operating profit</w:t>
            </w:r>
          </w:p>
        </w:tc>
        <w:tc>
          <w:tcPr>
            <w:tcW w:w="400" w:type="dxa"/>
            <w:vAlign w:val="bottom"/>
            <w:shd w:val="clear" w:color="auto" w:fill="CCEEFF"/>
          </w:tcPr>
          <w:p>
            <w:pPr>
              <w:spacing w:after="0"/>
              <w:rPr>
                <w:sz w:val="18"/>
                <w:szCs w:val="18"/>
                <w:color w:val="auto"/>
              </w:rPr>
            </w:pPr>
          </w:p>
        </w:tc>
        <w:tc>
          <w:tcPr>
            <w:tcW w:w="102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28.0%</w:t>
            </w:r>
          </w:p>
        </w:tc>
        <w:tc>
          <w:tcPr>
            <w:tcW w:w="400" w:type="dxa"/>
            <w:vAlign w:val="bottom"/>
            <w:shd w:val="clear" w:color="auto" w:fill="CCEEFF"/>
          </w:tcPr>
          <w:p>
            <w:pPr>
              <w:spacing w:after="0"/>
              <w:rPr>
                <w:sz w:val="18"/>
                <w:szCs w:val="18"/>
                <w:color w:val="auto"/>
              </w:rPr>
            </w:pPr>
          </w:p>
        </w:tc>
        <w:tc>
          <w:tcPr>
            <w:tcW w:w="98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27.6%</w:t>
            </w:r>
          </w:p>
        </w:tc>
        <w:tc>
          <w:tcPr>
            <w:tcW w:w="4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22.1%</w:t>
            </w:r>
          </w:p>
        </w:tc>
        <w:tc>
          <w:tcPr>
            <w:tcW w:w="3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25.3%</w:t>
            </w:r>
          </w:p>
        </w:tc>
        <w:tc>
          <w:tcPr>
            <w:tcW w:w="5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23.6%</w:t>
            </w:r>
          </w:p>
        </w:tc>
        <w:tc>
          <w:tcPr>
            <w:tcW w:w="0" w:type="dxa"/>
            <w:vAlign w:val="bottom"/>
          </w:tcPr>
          <w:p>
            <w:pPr>
              <w:spacing w:after="0"/>
              <w:rPr>
                <w:sz w:val="1"/>
                <w:szCs w:val="1"/>
                <w:color w:val="auto"/>
              </w:rPr>
            </w:pPr>
          </w:p>
        </w:tc>
      </w:tr>
      <w:tr>
        <w:trPr>
          <w:trHeight w:val="848"/>
        </w:trPr>
        <w:tc>
          <w:tcPr>
            <w:tcW w:w="20" w:type="dxa"/>
            <w:vAlign w:val="bottom"/>
          </w:tcPr>
          <w:p>
            <w:pPr>
              <w:spacing w:after="0"/>
              <w:rPr>
                <w:sz w:val="24"/>
                <w:szCs w:val="24"/>
                <w:color w:val="auto"/>
              </w:rPr>
            </w:pPr>
          </w:p>
        </w:tc>
        <w:tc>
          <w:tcPr>
            <w:tcW w:w="4500" w:type="dxa"/>
            <w:vAlign w:val="bottom"/>
            <w:tcBorders>
              <w:bottom w:val="single" w:sz="8" w:color="808080"/>
            </w:tcBorders>
          </w:tcPr>
          <w:p>
            <w:pPr>
              <w:spacing w:after="0"/>
              <w:rPr>
                <w:sz w:val="24"/>
                <w:szCs w:val="24"/>
                <w:color w:val="auto"/>
              </w:rPr>
            </w:pPr>
          </w:p>
        </w:tc>
        <w:tc>
          <w:tcPr>
            <w:tcW w:w="400" w:type="dxa"/>
            <w:vAlign w:val="bottom"/>
            <w:tcBorders>
              <w:bottom w:val="single" w:sz="8" w:color="808080"/>
            </w:tcBorders>
          </w:tcPr>
          <w:p>
            <w:pPr>
              <w:spacing w:after="0"/>
              <w:rPr>
                <w:sz w:val="24"/>
                <w:szCs w:val="24"/>
                <w:color w:val="auto"/>
              </w:rPr>
            </w:pPr>
          </w:p>
        </w:tc>
        <w:tc>
          <w:tcPr>
            <w:tcW w:w="720" w:type="dxa"/>
            <w:vAlign w:val="bottom"/>
            <w:tcBorders>
              <w:bottom w:val="single" w:sz="8" w:color="808080"/>
            </w:tcBorders>
          </w:tcPr>
          <w:p>
            <w:pPr>
              <w:spacing w:after="0"/>
              <w:rPr>
                <w:sz w:val="24"/>
                <w:szCs w:val="24"/>
                <w:color w:val="auto"/>
              </w:rPr>
            </w:pPr>
          </w:p>
        </w:tc>
        <w:tc>
          <w:tcPr>
            <w:tcW w:w="300" w:type="dxa"/>
            <w:vAlign w:val="bottom"/>
            <w:tcBorders>
              <w:bottom w:val="single" w:sz="8" w:color="808080"/>
            </w:tcBorders>
          </w:tcPr>
          <w:p>
            <w:pPr>
              <w:spacing w:after="0"/>
              <w:rPr>
                <w:sz w:val="24"/>
                <w:szCs w:val="24"/>
                <w:color w:val="auto"/>
              </w:rPr>
            </w:pPr>
          </w:p>
        </w:tc>
        <w:tc>
          <w:tcPr>
            <w:tcW w:w="400" w:type="dxa"/>
            <w:vAlign w:val="bottom"/>
            <w:tcBorders>
              <w:bottom w:val="single" w:sz="8" w:color="808080"/>
            </w:tcBorders>
          </w:tcPr>
          <w:p>
            <w:pPr>
              <w:spacing w:after="0"/>
              <w:rPr>
                <w:sz w:val="24"/>
                <w:szCs w:val="24"/>
                <w:color w:val="auto"/>
              </w:rPr>
            </w:pPr>
          </w:p>
        </w:tc>
        <w:tc>
          <w:tcPr>
            <w:tcW w:w="720" w:type="dxa"/>
            <w:vAlign w:val="bottom"/>
            <w:tcBorders>
              <w:bottom w:val="single" w:sz="8" w:color="808080"/>
            </w:tcBorders>
          </w:tcPr>
          <w:p>
            <w:pPr>
              <w:spacing w:after="0"/>
              <w:rPr>
                <w:sz w:val="24"/>
                <w:szCs w:val="24"/>
                <w:color w:val="auto"/>
              </w:rPr>
            </w:pPr>
          </w:p>
        </w:tc>
        <w:tc>
          <w:tcPr>
            <w:tcW w:w="260" w:type="dxa"/>
            <w:vAlign w:val="bottom"/>
            <w:tcBorders>
              <w:bottom w:val="single" w:sz="8" w:color="808080"/>
            </w:tcBorders>
          </w:tcPr>
          <w:p>
            <w:pPr>
              <w:spacing w:after="0"/>
              <w:rPr>
                <w:sz w:val="24"/>
                <w:szCs w:val="24"/>
                <w:color w:val="auto"/>
              </w:rPr>
            </w:pPr>
          </w:p>
        </w:tc>
        <w:tc>
          <w:tcPr>
            <w:tcW w:w="440" w:type="dxa"/>
            <w:vAlign w:val="bottom"/>
            <w:tcBorders>
              <w:bottom w:val="single" w:sz="8" w:color="808080"/>
            </w:tcBorders>
          </w:tcPr>
          <w:p>
            <w:pPr>
              <w:spacing w:after="0"/>
              <w:rPr>
                <w:sz w:val="24"/>
                <w:szCs w:val="24"/>
                <w:color w:val="auto"/>
              </w:rPr>
            </w:pPr>
          </w:p>
        </w:tc>
        <w:tc>
          <w:tcPr>
            <w:tcW w:w="680" w:type="dxa"/>
            <w:vAlign w:val="bottom"/>
            <w:tcBorders>
              <w:bottom w:val="single" w:sz="8" w:color="808080"/>
            </w:tcBorders>
          </w:tcPr>
          <w:p>
            <w:pPr>
              <w:spacing w:after="0"/>
              <w:rPr>
                <w:sz w:val="24"/>
                <w:szCs w:val="24"/>
                <w:color w:val="auto"/>
              </w:rPr>
            </w:pPr>
          </w:p>
        </w:tc>
        <w:tc>
          <w:tcPr>
            <w:tcW w:w="280" w:type="dxa"/>
            <w:vAlign w:val="bottom"/>
            <w:tcBorders>
              <w:bottom w:val="single" w:sz="8" w:color="808080"/>
            </w:tcBorders>
          </w:tcPr>
          <w:p>
            <w:pPr>
              <w:spacing w:after="0"/>
              <w:rPr>
                <w:sz w:val="24"/>
                <w:szCs w:val="24"/>
                <w:color w:val="auto"/>
              </w:rPr>
            </w:pPr>
          </w:p>
        </w:tc>
        <w:tc>
          <w:tcPr>
            <w:tcW w:w="360" w:type="dxa"/>
            <w:vAlign w:val="bottom"/>
            <w:tcBorders>
              <w:bottom w:val="single" w:sz="8" w:color="808080"/>
            </w:tcBorders>
          </w:tcPr>
          <w:p>
            <w:pPr>
              <w:spacing w:after="0"/>
              <w:rPr>
                <w:sz w:val="24"/>
                <w:szCs w:val="24"/>
                <w:color w:val="auto"/>
              </w:rPr>
            </w:pPr>
          </w:p>
        </w:tc>
        <w:tc>
          <w:tcPr>
            <w:tcW w:w="760" w:type="dxa"/>
            <w:vAlign w:val="bottom"/>
            <w:tcBorders>
              <w:bottom w:val="single" w:sz="8" w:color="808080"/>
            </w:tcBorders>
          </w:tcPr>
          <w:p>
            <w:pPr>
              <w:spacing w:after="0"/>
              <w:rPr>
                <w:sz w:val="24"/>
                <w:szCs w:val="24"/>
                <w:color w:val="auto"/>
              </w:rPr>
            </w:pPr>
          </w:p>
        </w:tc>
        <w:tc>
          <w:tcPr>
            <w:tcW w:w="300" w:type="dxa"/>
            <w:vAlign w:val="bottom"/>
            <w:tcBorders>
              <w:bottom w:val="single" w:sz="8" w:color="808080"/>
            </w:tcBorders>
          </w:tcPr>
          <w:p>
            <w:pPr>
              <w:spacing w:after="0"/>
              <w:rPr>
                <w:sz w:val="24"/>
                <w:szCs w:val="24"/>
                <w:color w:val="auto"/>
              </w:rPr>
            </w:pPr>
          </w:p>
        </w:tc>
        <w:tc>
          <w:tcPr>
            <w:tcW w:w="560" w:type="dxa"/>
            <w:vAlign w:val="bottom"/>
            <w:tcBorders>
              <w:bottom w:val="single" w:sz="8" w:color="808080"/>
            </w:tcBorders>
          </w:tcPr>
          <w:p>
            <w:pPr>
              <w:spacing w:after="0"/>
              <w:rPr>
                <w:sz w:val="24"/>
                <w:szCs w:val="24"/>
                <w:color w:val="auto"/>
              </w:rPr>
            </w:pPr>
          </w:p>
        </w:tc>
        <w:tc>
          <w:tcPr>
            <w:tcW w:w="560" w:type="dxa"/>
            <w:vAlign w:val="bottom"/>
            <w:tcBorders>
              <w:bottom w:val="single" w:sz="8" w:color="808080"/>
            </w:tcBorders>
          </w:tcPr>
          <w:p>
            <w:pPr>
              <w:spacing w:after="0"/>
              <w:rPr>
                <w:sz w:val="24"/>
                <w:szCs w:val="24"/>
                <w:color w:val="auto"/>
              </w:rPr>
            </w:pPr>
          </w:p>
        </w:tc>
        <w:tc>
          <w:tcPr>
            <w:tcW w:w="16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607" w:right="2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TEXAS INSTRUMENTS INCORPORATED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(Millions of dollars, except share amounts)</w:t>
      </w:r>
    </w:p>
    <w:p>
      <w:pPr>
        <w:spacing w:after="0" w:line="200" w:lineRule="exact"/>
        <w:rPr>
          <w:sz w:val="20"/>
          <w:szCs w:val="20"/>
          <w:color w:val="auto"/>
        </w:rPr>
      </w:pP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7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2"/>
          </w:tcPr>
          <w:p>
            <w:pPr>
              <w:jc w:val="right"/>
              <w:ind w:right="500"/>
              <w:spacing w:after="0"/>
              <w:rPr>
                <w:sz w:val="20"/>
                <w:szCs w:val="20"/>
                <w:color w:val="auto"/>
              </w:rPr>
            </w:pPr>
            <w:r>
              <w:rPr>
                <w:rFonts w:ascii="Arial" w:cs="Arial" w:eastAsia="Arial" w:hAnsi="Arial"/>
                <w:sz w:val="18"/>
                <w:szCs w:val="18"/>
                <w:b w:val="1"/>
                <w:bCs w:val="1"/>
                <w:color w:val="auto"/>
                <w:w w:val="99"/>
              </w:rPr>
              <w:t>Dec. 31,</w:t>
            </w:r>
          </w:p>
        </w:tc>
        <w:tc>
          <w:tcPr>
            <w:tcW w:w="180" w:type="dxa"/>
            <w:vAlign w:val="bottom"/>
          </w:tcPr>
          <w:p>
            <w:pPr>
              <w:spacing w:after="0"/>
              <w:rPr>
                <w:sz w:val="18"/>
                <w:szCs w:val="18"/>
                <w:color w:val="auto"/>
              </w:rPr>
            </w:pPr>
          </w:p>
        </w:tc>
        <w:tc>
          <w:tcPr>
            <w:tcW w:w="110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9"/>
              </w:rPr>
              <w:t>Sept. 30,</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w w:val="96"/>
              </w:rPr>
              <w:t>Dec. 31,</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74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2007</w:t>
            </w:r>
          </w:p>
        </w:tc>
        <w:tc>
          <w:tcPr>
            <w:tcW w:w="2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2007</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2006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Current assets:</w:t>
            </w: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Cash and cash equivalents</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b w:val="1"/>
                <w:bCs w:val="1"/>
                <w:color w:val="auto"/>
                <w:w w:val="71"/>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1,328</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807</w:t>
            </w:r>
          </w:p>
        </w:tc>
        <w:tc>
          <w:tcPr>
            <w:tcW w:w="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160"/>
              <w:spacing w:after="0"/>
              <w:rPr>
                <w:sz w:val="20"/>
                <w:szCs w:val="20"/>
                <w:color w:val="auto"/>
              </w:rPr>
            </w:pPr>
            <w:r>
              <w:rPr>
                <w:rFonts w:ascii="Arial" w:cs="Arial" w:eastAsia="Arial" w:hAnsi="Arial"/>
                <w:sz w:val="18"/>
                <w:szCs w:val="18"/>
                <w:color w:val="auto"/>
              </w:rPr>
              <w:t>Short-term investments</w:t>
            </w:r>
          </w:p>
        </w:tc>
        <w:tc>
          <w:tcPr>
            <w:tcW w:w="18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1,596</w:t>
            </w:r>
          </w:p>
        </w:tc>
        <w:tc>
          <w:tcPr>
            <w:tcW w:w="18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2,862</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2,534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Accounts receivable, net of allowances of ($26), ($30) and ($26)</w:t>
            </w: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1,742</w:t>
            </w: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2,023</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160"/>
              <w:spacing w:after="0"/>
              <w:rPr>
                <w:sz w:val="20"/>
                <w:szCs w:val="20"/>
                <w:color w:val="auto"/>
              </w:rPr>
            </w:pPr>
            <w:r>
              <w:rPr>
                <w:rFonts w:ascii="Arial" w:cs="Arial" w:eastAsia="Arial" w:hAnsi="Arial"/>
                <w:sz w:val="18"/>
                <w:szCs w:val="18"/>
                <w:color w:val="auto"/>
              </w:rPr>
              <w:t>Raw materials</w:t>
            </w:r>
          </w:p>
        </w:tc>
        <w:tc>
          <w:tcPr>
            <w:tcW w:w="18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105</w:t>
            </w:r>
          </w:p>
        </w:tc>
        <w:tc>
          <w:tcPr>
            <w:tcW w:w="18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102</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Work in process</w:t>
            </w: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876</w:t>
            </w: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934</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160"/>
              <w:spacing w:after="0"/>
              <w:rPr>
                <w:sz w:val="20"/>
                <w:szCs w:val="20"/>
                <w:color w:val="auto"/>
              </w:rPr>
            </w:pPr>
            <w:r>
              <w:rPr>
                <w:rFonts w:ascii="Arial" w:cs="Arial" w:eastAsia="Arial" w:hAnsi="Arial"/>
                <w:sz w:val="18"/>
                <w:szCs w:val="18"/>
                <w:color w:val="auto"/>
              </w:rPr>
              <w:t>Finished goods</w:t>
            </w: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437</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414</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402</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4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Inventories</w:t>
            </w: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1,418</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1,450</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1,437</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42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160"/>
              <w:spacing w:after="0"/>
              <w:rPr>
                <w:sz w:val="20"/>
                <w:szCs w:val="20"/>
                <w:color w:val="auto"/>
              </w:rPr>
            </w:pPr>
            <w:r>
              <w:rPr>
                <w:rFonts w:ascii="Arial" w:cs="Arial" w:eastAsia="Arial" w:hAnsi="Arial"/>
                <w:sz w:val="18"/>
                <w:szCs w:val="18"/>
                <w:color w:val="auto"/>
              </w:rPr>
              <w:t>Deferred income taxes</w:t>
            </w: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654</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702</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741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Prepaid expenses and other current assets</w:t>
            </w: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180</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209</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185</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42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160"/>
              <w:spacing w:after="0"/>
              <w:rPr>
                <w:sz w:val="20"/>
                <w:szCs w:val="20"/>
                <w:color w:val="auto"/>
              </w:rPr>
            </w:pPr>
            <w:r>
              <w:rPr>
                <w:rFonts w:ascii="Arial" w:cs="Arial" w:eastAsia="Arial" w:hAnsi="Arial"/>
                <w:sz w:val="18"/>
                <w:szCs w:val="18"/>
                <w:color w:val="auto"/>
              </w:rPr>
              <w:t>Total current assets</w:t>
            </w: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6,918</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8,053</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7,854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4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Property, plant and equipment at cost</w:t>
            </w: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7,568</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7,597</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7,751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160"/>
              <w:spacing w:after="0"/>
              <w:rPr>
                <w:sz w:val="20"/>
                <w:szCs w:val="20"/>
                <w:color w:val="auto"/>
              </w:rPr>
            </w:pPr>
            <w:r>
              <w:rPr>
                <w:rFonts w:ascii="Arial" w:cs="Arial" w:eastAsia="Arial" w:hAnsi="Arial"/>
                <w:sz w:val="18"/>
                <w:szCs w:val="18"/>
                <w:color w:val="auto"/>
              </w:rPr>
              <w:t>Less accumulated depreciation</w:t>
            </w:r>
          </w:p>
        </w:tc>
        <w:tc>
          <w:tcPr>
            <w:tcW w:w="18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(3,959)</w:t>
            </w:r>
          </w:p>
        </w:tc>
        <w:tc>
          <w:tcPr>
            <w:tcW w:w="180" w:type="dxa"/>
            <w:vAlign w:val="bottom"/>
          </w:tcPr>
          <w:p>
            <w:pPr>
              <w:spacing w:after="0"/>
              <w:rPr>
                <w:sz w:val="18"/>
                <w:szCs w:val="18"/>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(3,916)</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(3,801)</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4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Property, plant and equipment, net</w:t>
            </w: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3,609</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3,681</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3,950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42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Equity and other long-term investments</w:t>
            </w: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267</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265</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287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Goodwill</w:t>
            </w: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838</w:t>
            </w: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796</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Acquisition-related intangibles</w:t>
            </w:r>
          </w:p>
        </w:tc>
        <w:tc>
          <w:tcPr>
            <w:tcW w:w="18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115</w:t>
            </w:r>
          </w:p>
        </w:tc>
        <w:tc>
          <w:tcPr>
            <w:tcW w:w="18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108</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Deferred income taxes</w:t>
            </w: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510</w:t>
            </w: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425</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Capitalized software licenses, net</w:t>
            </w:r>
          </w:p>
        </w:tc>
        <w:tc>
          <w:tcPr>
            <w:tcW w:w="18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227</w:t>
            </w:r>
          </w:p>
        </w:tc>
        <w:tc>
          <w:tcPr>
            <w:tcW w:w="18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242</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Overfunded retirement plans</w:t>
            </w: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105</w:t>
            </w: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77</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Other assets</w:t>
            </w: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78</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77</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82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4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20" w:type="dxa"/>
            <w:vAlign w:val="bottom"/>
            <w:vMerge w:val="continue"/>
          </w:tcPr>
          <w:p>
            <w:pPr>
              <w:spacing w:after="0"/>
              <w:rPr>
                <w:sz w:val="22"/>
                <w:szCs w:val="22"/>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Total assets</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b w:val="1"/>
                <w:bCs w:val="1"/>
                <w:color w:val="auto"/>
                <w:w w:val="71"/>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12,667</w:t>
            </w:r>
          </w:p>
        </w:tc>
        <w:tc>
          <w:tcPr>
            <w:tcW w:w="22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13,724</w:t>
            </w:r>
          </w:p>
        </w:tc>
        <w:tc>
          <w:tcPr>
            <w:tcW w:w="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13,930</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42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Current liabilities:</w:t>
            </w: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Loans payable and current portion of long-term debt</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b w:val="1"/>
                <w:bCs w:val="1"/>
                <w:color w:val="auto"/>
                <w:w w:val="71"/>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160"/>
              <w:spacing w:after="0"/>
              <w:rPr>
                <w:sz w:val="20"/>
                <w:szCs w:val="20"/>
                <w:color w:val="auto"/>
              </w:rPr>
            </w:pPr>
            <w:r>
              <w:rPr>
                <w:rFonts w:ascii="Arial" w:cs="Arial" w:eastAsia="Arial" w:hAnsi="Arial"/>
                <w:sz w:val="18"/>
                <w:szCs w:val="18"/>
                <w:color w:val="auto"/>
              </w:rPr>
              <w:t>Accounts payable</w:t>
            </w:r>
          </w:p>
        </w:tc>
        <w:tc>
          <w:tcPr>
            <w:tcW w:w="18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657</w:t>
            </w:r>
          </w:p>
        </w:tc>
        <w:tc>
          <w:tcPr>
            <w:tcW w:w="18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644</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560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Accrued expenses and other liabilities</w:t>
            </w: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1,117</w:t>
            </w: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1,092</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160"/>
              <w:spacing w:after="0"/>
              <w:rPr>
                <w:sz w:val="20"/>
                <w:szCs w:val="20"/>
                <w:color w:val="auto"/>
              </w:rPr>
            </w:pPr>
            <w:r>
              <w:rPr>
                <w:rFonts w:ascii="Arial" w:cs="Arial" w:eastAsia="Arial" w:hAnsi="Arial"/>
                <w:sz w:val="18"/>
                <w:szCs w:val="18"/>
                <w:color w:val="auto"/>
              </w:rPr>
              <w:t>Income taxes payable</w:t>
            </w:r>
          </w:p>
        </w:tc>
        <w:tc>
          <w:tcPr>
            <w:tcW w:w="18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53</w:t>
            </w:r>
          </w:p>
        </w:tc>
        <w:tc>
          <w:tcPr>
            <w:tcW w:w="18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152</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284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Accrued profit sharing and retirement</w:t>
            </w: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198</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143</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162</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42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160"/>
              <w:spacing w:after="0"/>
              <w:rPr>
                <w:sz w:val="20"/>
                <w:szCs w:val="20"/>
                <w:color w:val="auto"/>
              </w:rPr>
            </w:pPr>
            <w:r>
              <w:rPr>
                <w:rFonts w:ascii="Arial" w:cs="Arial" w:eastAsia="Arial" w:hAnsi="Arial"/>
                <w:sz w:val="18"/>
                <w:szCs w:val="18"/>
                <w:color w:val="auto"/>
              </w:rPr>
              <w:t>Total current liabilities</w:t>
            </w: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2,025</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2,031</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2,078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4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Underfunded retirement plans</w:t>
            </w: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184</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95</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Deferred income taxes</w:t>
            </w:r>
          </w:p>
        </w:tc>
        <w:tc>
          <w:tcPr>
            <w:tcW w:w="18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49</w:t>
            </w:r>
          </w:p>
        </w:tc>
        <w:tc>
          <w:tcPr>
            <w:tcW w:w="18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27</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Deferred credits and other liabilities</w:t>
            </w: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434</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434</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42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vMerge w:val="continue"/>
          </w:tcPr>
          <w:p>
            <w:pPr>
              <w:spacing w:after="0"/>
              <w:rPr>
                <w:sz w:val="19"/>
                <w:szCs w:val="19"/>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Total liabilities</w:t>
            </w:r>
          </w:p>
        </w:tc>
        <w:tc>
          <w:tcPr>
            <w:tcW w:w="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2,692</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2,587</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2,570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42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Stockholders’ equity:</w:t>
            </w: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420" w:type="dxa"/>
            <w:vAlign w:val="bottom"/>
            <w:shd w:val="clear" w:color="auto" w:fill="CCEEFF"/>
          </w:tcPr>
          <w:p>
            <w:pPr>
              <w:ind w:left="160"/>
              <w:spacing w:after="0" w:line="201" w:lineRule="exact"/>
              <w:rPr>
                <w:sz w:val="20"/>
                <w:szCs w:val="20"/>
                <w:color w:val="auto"/>
              </w:rPr>
            </w:pPr>
            <w:r>
              <w:rPr>
                <w:rFonts w:ascii="Arial" w:cs="Arial" w:eastAsia="Arial" w:hAnsi="Arial"/>
                <w:sz w:val="18"/>
                <w:szCs w:val="18"/>
                <w:color w:val="auto"/>
              </w:rPr>
              <w:t>Preferred stock, $25 par value. Authorized -- 10,000,000 shares. Participating cumulative</w:t>
            </w:r>
          </w:p>
        </w:tc>
        <w:tc>
          <w:tcPr>
            <w:tcW w:w="180" w:type="dxa"/>
            <w:vAlign w:val="bottom"/>
            <w:shd w:val="clear" w:color="auto" w:fill="CCEEFF"/>
          </w:tcPr>
          <w:p>
            <w:pPr>
              <w:spacing w:after="0"/>
              <w:rPr>
                <w:sz w:val="17"/>
                <w:szCs w:val="17"/>
                <w:color w:val="auto"/>
              </w:rPr>
            </w:pPr>
          </w:p>
        </w:tc>
        <w:tc>
          <w:tcPr>
            <w:tcW w:w="120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4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preferred. None issued.</w:t>
            </w:r>
          </w:p>
        </w:tc>
        <w:tc>
          <w:tcPr>
            <w:tcW w:w="180" w:type="dxa"/>
            <w:vAlign w:val="bottom"/>
            <w:shd w:val="clear" w:color="auto" w:fill="CCEEFF"/>
          </w:tcPr>
          <w:p>
            <w:pPr>
              <w:spacing w:after="0"/>
              <w:rPr>
                <w:sz w:val="20"/>
                <w:szCs w:val="20"/>
                <w:color w:val="auto"/>
              </w:rPr>
            </w:pPr>
          </w:p>
        </w:tc>
        <w:tc>
          <w:tcPr>
            <w:tcW w:w="1200" w:type="dxa"/>
            <w:vAlign w:val="bottom"/>
            <w:gridSpan w:val="2"/>
            <w:vMerge w:val="continue"/>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420" w:type="dxa"/>
            <w:vAlign w:val="bottom"/>
          </w:tcPr>
          <w:p>
            <w:pPr>
              <w:ind w:left="160"/>
              <w:spacing w:after="0" w:line="201" w:lineRule="exact"/>
              <w:rPr>
                <w:sz w:val="20"/>
                <w:szCs w:val="20"/>
                <w:color w:val="auto"/>
              </w:rPr>
            </w:pPr>
            <w:r>
              <w:rPr>
                <w:rFonts w:ascii="Arial" w:cs="Arial" w:eastAsia="Arial" w:hAnsi="Arial"/>
                <w:sz w:val="18"/>
                <w:szCs w:val="18"/>
                <w:color w:val="auto"/>
                <w:w w:val="93"/>
              </w:rPr>
              <w:t>Common stock, $1 par value. Authorized -- 2,400,000,000 shares. Shares issued: Dec. 31, 2007 -</w:t>
            </w:r>
          </w:p>
        </w:tc>
        <w:tc>
          <w:tcPr>
            <w:tcW w:w="180" w:type="dxa"/>
            <w:vAlign w:val="bottom"/>
          </w:tcPr>
          <w:p>
            <w:pPr>
              <w:spacing w:after="0"/>
              <w:rPr>
                <w:sz w:val="17"/>
                <w:szCs w:val="17"/>
                <w:color w:val="auto"/>
              </w:rPr>
            </w:pPr>
          </w:p>
        </w:tc>
        <w:tc>
          <w:tcPr>
            <w:tcW w:w="1200" w:type="dxa"/>
            <w:vAlign w:val="bottom"/>
            <w:gridSpan w:val="2"/>
            <w:vMerge w:val="restart"/>
          </w:tcPr>
          <w:p>
            <w:pPr>
              <w:jc w:val="right"/>
              <w:ind w:right="220"/>
              <w:spacing w:after="0"/>
              <w:rPr>
                <w:sz w:val="20"/>
                <w:szCs w:val="20"/>
                <w:color w:val="auto"/>
              </w:rPr>
            </w:pPr>
            <w:r>
              <w:rPr>
                <w:rFonts w:ascii="Arial" w:cs="Arial" w:eastAsia="Arial" w:hAnsi="Arial"/>
                <w:sz w:val="18"/>
                <w:szCs w:val="18"/>
                <w:b w:val="1"/>
                <w:bCs w:val="1"/>
                <w:color w:val="auto"/>
              </w:rPr>
              <w:t>1,740</w:t>
            </w: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420" w:type="dxa"/>
            <w:vAlign w:val="bottom"/>
          </w:tcPr>
          <w:p>
            <w:pPr>
              <w:ind w:left="320"/>
              <w:spacing w:after="0"/>
              <w:rPr>
                <w:sz w:val="20"/>
                <w:szCs w:val="20"/>
                <w:color w:val="auto"/>
              </w:rPr>
            </w:pPr>
            <w:r>
              <w:rPr>
                <w:rFonts w:ascii="Arial" w:cs="Arial" w:eastAsia="Arial" w:hAnsi="Arial"/>
                <w:sz w:val="18"/>
                <w:szCs w:val="18"/>
                <w:color w:val="auto"/>
              </w:rPr>
              <w:t>- 1,739,632,601; Sept. 30, 2007 -- 1,739,579,782; Dec. 31, 2006 -- 1,739,108,694</w:t>
            </w:r>
          </w:p>
        </w:tc>
        <w:tc>
          <w:tcPr>
            <w:tcW w:w="180" w:type="dxa"/>
            <w:vAlign w:val="bottom"/>
          </w:tcPr>
          <w:p>
            <w:pPr>
              <w:spacing w:after="0"/>
              <w:rPr>
                <w:sz w:val="20"/>
                <w:szCs w:val="20"/>
                <w:color w:val="auto"/>
              </w:rPr>
            </w:pPr>
          </w:p>
        </w:tc>
        <w:tc>
          <w:tcPr>
            <w:tcW w:w="1200" w:type="dxa"/>
            <w:vAlign w:val="bottom"/>
            <w:gridSpan w:val="2"/>
            <w:vMerge w:val="continue"/>
          </w:tcPr>
          <w:p>
            <w:pPr>
              <w:spacing w:after="0"/>
              <w:rPr>
                <w:sz w:val="20"/>
                <w:szCs w:val="20"/>
                <w:color w:val="auto"/>
              </w:rPr>
            </w:pPr>
          </w:p>
        </w:tc>
        <w:tc>
          <w:tcPr>
            <w:tcW w:w="180" w:type="dxa"/>
            <w:vAlign w:val="bottom"/>
          </w:tcPr>
          <w:p>
            <w:pPr>
              <w:spacing w:after="0"/>
              <w:rPr>
                <w:sz w:val="20"/>
                <w:szCs w:val="20"/>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1,740</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1,739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Paid-in capital</w:t>
            </w: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931</w:t>
            </w: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853</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160"/>
              <w:spacing w:after="0"/>
              <w:rPr>
                <w:sz w:val="20"/>
                <w:szCs w:val="20"/>
                <w:color w:val="auto"/>
              </w:rPr>
            </w:pPr>
            <w:r>
              <w:rPr>
                <w:rFonts w:ascii="Arial" w:cs="Arial" w:eastAsia="Arial" w:hAnsi="Arial"/>
                <w:sz w:val="18"/>
                <w:szCs w:val="18"/>
                <w:color w:val="auto"/>
              </w:rPr>
              <w:t>Retained earnings</w:t>
            </w:r>
          </w:p>
        </w:tc>
        <w:tc>
          <w:tcPr>
            <w:tcW w:w="18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19,788</w:t>
            </w:r>
          </w:p>
        </w:tc>
        <w:tc>
          <w:tcPr>
            <w:tcW w:w="18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19,172</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17,529</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420" w:type="dxa"/>
            <w:vAlign w:val="bottom"/>
            <w:shd w:val="clear" w:color="auto" w:fill="CCEEFF"/>
          </w:tcPr>
          <w:p>
            <w:pPr>
              <w:ind w:left="160"/>
              <w:spacing w:after="0" w:line="201" w:lineRule="exact"/>
              <w:rPr>
                <w:sz w:val="20"/>
                <w:szCs w:val="20"/>
                <w:color w:val="auto"/>
              </w:rPr>
            </w:pPr>
            <w:r>
              <w:rPr>
                <w:rFonts w:ascii="Arial" w:cs="Arial" w:eastAsia="Arial" w:hAnsi="Arial"/>
                <w:sz w:val="18"/>
                <w:szCs w:val="18"/>
                <w:color w:val="auto"/>
              </w:rPr>
              <w:t>Less treasury common stock at cost:</w:t>
            </w:r>
          </w:p>
        </w:tc>
        <w:tc>
          <w:tcPr>
            <w:tcW w:w="1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Shares: Dec. 31, 2007 -- 396,421,798; Sept. 30, 2007 -- 341,373,012; Dec. 31, 2006 --</w:t>
            </w:r>
          </w:p>
        </w:tc>
        <w:tc>
          <w:tcPr>
            <w:tcW w:w="180" w:type="dxa"/>
            <w:vAlign w:val="bottom"/>
            <w:shd w:val="clear" w:color="auto" w:fill="CCEEFF"/>
          </w:tcPr>
          <w:p>
            <w:pPr>
              <w:spacing w:after="0"/>
              <w:rPr>
                <w:sz w:val="18"/>
                <w:szCs w:val="18"/>
                <w:color w:val="auto"/>
              </w:rPr>
            </w:pPr>
          </w:p>
        </w:tc>
        <w:tc>
          <w:tcPr>
            <w:tcW w:w="12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(12,160)</w:t>
            </w: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420" w:type="dxa"/>
            <w:vAlign w:val="bottom"/>
            <w:shd w:val="clear" w:color="auto" w:fill="CCEEFF"/>
          </w:tcPr>
          <w:p>
            <w:pPr>
              <w:ind w:left="480"/>
              <w:spacing w:after="0"/>
              <w:rPr>
                <w:sz w:val="20"/>
                <w:szCs w:val="20"/>
                <w:color w:val="auto"/>
              </w:rPr>
            </w:pPr>
            <w:r>
              <w:rPr>
                <w:rFonts w:ascii="Arial" w:cs="Arial" w:eastAsia="Arial" w:hAnsi="Arial"/>
                <w:sz w:val="18"/>
                <w:szCs w:val="18"/>
                <w:color w:val="auto"/>
              </w:rPr>
              <w:t>289,078,450</w:t>
            </w:r>
          </w:p>
        </w:tc>
        <w:tc>
          <w:tcPr>
            <w:tcW w:w="180" w:type="dxa"/>
            <w:vAlign w:val="bottom"/>
            <w:shd w:val="clear" w:color="auto" w:fill="CCEEFF"/>
          </w:tcPr>
          <w:p>
            <w:pPr>
              <w:spacing w:after="0"/>
              <w:rPr>
                <w:sz w:val="20"/>
                <w:szCs w:val="20"/>
                <w:color w:val="auto"/>
              </w:rPr>
            </w:pPr>
          </w:p>
        </w:tc>
        <w:tc>
          <w:tcPr>
            <w:tcW w:w="1200" w:type="dxa"/>
            <w:vAlign w:val="bottom"/>
            <w:gridSpan w:val="2"/>
            <w:vMerge w:val="continue"/>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(10,344)</w:t>
            </w: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(8,430)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160"/>
              <w:spacing w:after="0"/>
              <w:rPr>
                <w:sz w:val="20"/>
                <w:szCs w:val="20"/>
                <w:color w:val="auto"/>
              </w:rPr>
            </w:pPr>
            <w:r>
              <w:rPr>
                <w:rFonts w:ascii="Arial" w:cs="Arial" w:eastAsia="Arial" w:hAnsi="Arial"/>
                <w:sz w:val="18"/>
                <w:szCs w:val="18"/>
                <w:color w:val="auto"/>
              </w:rPr>
              <w:t>Accumulated other comprehensive (loss), net of taxes</w:t>
            </w:r>
          </w:p>
        </w:tc>
        <w:tc>
          <w:tcPr>
            <w:tcW w:w="18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(324)</w:t>
            </w:r>
          </w:p>
        </w:tc>
        <w:tc>
          <w:tcPr>
            <w:tcW w:w="180" w:type="dxa"/>
            <w:vAlign w:val="bottom"/>
          </w:tcPr>
          <w:p>
            <w:pPr>
              <w:spacing w:after="0"/>
              <w:rPr>
                <w:sz w:val="18"/>
                <w:szCs w:val="18"/>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(284)</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(363)</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4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Total stockholders’ equity</w:t>
            </w: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9,975</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11,137</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11,360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42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Total liabilities and stockholders’ equity</w:t>
            </w:r>
          </w:p>
        </w:tc>
        <w:tc>
          <w:tcPr>
            <w:tcW w:w="180" w:type="dxa"/>
            <w:vAlign w:val="bottom"/>
          </w:tcPr>
          <w:p>
            <w:pPr>
              <w:jc w:val="right"/>
              <w:ind w:right="25"/>
              <w:spacing w:after="0"/>
              <w:rPr>
                <w:sz w:val="20"/>
                <w:szCs w:val="20"/>
                <w:color w:val="auto"/>
              </w:rPr>
            </w:pPr>
            <w:r>
              <w:rPr>
                <w:rFonts w:ascii="Arial" w:cs="Arial" w:eastAsia="Arial" w:hAnsi="Arial"/>
                <w:sz w:val="15"/>
                <w:szCs w:val="15"/>
                <w:b w:val="1"/>
                <w:bCs w:val="1"/>
                <w:color w:val="auto"/>
                <w:w w:val="71"/>
              </w:rPr>
              <w:t>$</w:t>
            </w: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12,667</w:t>
            </w:r>
          </w:p>
        </w:tc>
        <w:tc>
          <w:tcPr>
            <w:tcW w:w="22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13,724</w:t>
            </w:r>
          </w:p>
        </w:tc>
        <w:tc>
          <w:tcPr>
            <w:tcW w:w="2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13,930</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74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848"/>
        </w:trPr>
        <w:tc>
          <w:tcPr>
            <w:tcW w:w="20" w:type="dxa"/>
            <w:vAlign w:val="bottom"/>
          </w:tcPr>
          <w:p>
            <w:pPr>
              <w:spacing w:after="0"/>
              <w:rPr>
                <w:sz w:val="24"/>
                <w:szCs w:val="24"/>
                <w:color w:val="auto"/>
              </w:rPr>
            </w:pPr>
          </w:p>
        </w:tc>
        <w:tc>
          <w:tcPr>
            <w:tcW w:w="7420" w:type="dxa"/>
            <w:vAlign w:val="bottom"/>
            <w:tcBorders>
              <w:bottom w:val="single" w:sz="8" w:color="808080"/>
            </w:tcBorders>
          </w:tcPr>
          <w:p>
            <w:pPr>
              <w:spacing w:after="0"/>
              <w:rPr>
                <w:sz w:val="24"/>
                <w:szCs w:val="24"/>
                <w:color w:val="auto"/>
              </w:rPr>
            </w:pPr>
          </w:p>
        </w:tc>
        <w:tc>
          <w:tcPr>
            <w:tcW w:w="180" w:type="dxa"/>
            <w:vAlign w:val="bottom"/>
            <w:tcBorders>
              <w:bottom w:val="single" w:sz="8" w:color="808080"/>
            </w:tcBorders>
          </w:tcPr>
          <w:p>
            <w:pPr>
              <w:spacing w:after="0"/>
              <w:rPr>
                <w:sz w:val="24"/>
                <w:szCs w:val="24"/>
                <w:color w:val="auto"/>
              </w:rPr>
            </w:pPr>
          </w:p>
        </w:tc>
        <w:tc>
          <w:tcPr>
            <w:tcW w:w="980" w:type="dxa"/>
            <w:vAlign w:val="bottom"/>
            <w:tcBorders>
              <w:bottom w:val="single" w:sz="8" w:color="808080"/>
            </w:tcBorders>
          </w:tcPr>
          <w:p>
            <w:pPr>
              <w:spacing w:after="0"/>
              <w:rPr>
                <w:sz w:val="24"/>
                <w:szCs w:val="24"/>
                <w:color w:val="auto"/>
              </w:rPr>
            </w:pPr>
          </w:p>
        </w:tc>
        <w:tc>
          <w:tcPr>
            <w:tcW w:w="220" w:type="dxa"/>
            <w:vAlign w:val="bottom"/>
            <w:tcBorders>
              <w:bottom w:val="single" w:sz="8" w:color="808080"/>
            </w:tcBorders>
          </w:tcPr>
          <w:p>
            <w:pPr>
              <w:spacing w:after="0"/>
              <w:rPr>
                <w:sz w:val="24"/>
                <w:szCs w:val="24"/>
                <w:color w:val="auto"/>
              </w:rPr>
            </w:pPr>
          </w:p>
        </w:tc>
        <w:tc>
          <w:tcPr>
            <w:tcW w:w="180" w:type="dxa"/>
            <w:vAlign w:val="bottom"/>
            <w:tcBorders>
              <w:bottom w:val="single" w:sz="8" w:color="808080"/>
            </w:tcBorders>
          </w:tcPr>
          <w:p>
            <w:pPr>
              <w:spacing w:after="0"/>
              <w:rPr>
                <w:sz w:val="24"/>
                <w:szCs w:val="24"/>
                <w:color w:val="auto"/>
              </w:rPr>
            </w:pPr>
          </w:p>
        </w:tc>
        <w:tc>
          <w:tcPr>
            <w:tcW w:w="960" w:type="dxa"/>
            <w:vAlign w:val="bottom"/>
            <w:tcBorders>
              <w:bottom w:val="single" w:sz="8" w:color="808080"/>
            </w:tcBorders>
          </w:tcPr>
          <w:p>
            <w:pPr>
              <w:spacing w:after="0"/>
              <w:rPr>
                <w:sz w:val="24"/>
                <w:szCs w:val="24"/>
                <w:color w:val="auto"/>
              </w:rPr>
            </w:pPr>
          </w:p>
        </w:tc>
        <w:tc>
          <w:tcPr>
            <w:tcW w:w="140" w:type="dxa"/>
            <w:vAlign w:val="bottom"/>
            <w:tcBorders>
              <w:bottom w:val="single" w:sz="8" w:color="808080"/>
            </w:tcBorders>
          </w:tcPr>
          <w:p>
            <w:pPr>
              <w:spacing w:after="0"/>
              <w:rPr>
                <w:sz w:val="24"/>
                <w:szCs w:val="24"/>
                <w:color w:val="auto"/>
              </w:rPr>
            </w:pPr>
          </w:p>
        </w:tc>
        <w:tc>
          <w:tcPr>
            <w:tcW w:w="80" w:type="dxa"/>
            <w:vAlign w:val="bottom"/>
            <w:tcBorders>
              <w:bottom w:val="single" w:sz="8" w:color="808080"/>
            </w:tcBorders>
          </w:tcPr>
          <w:p>
            <w:pPr>
              <w:spacing w:after="0"/>
              <w:rPr>
                <w:sz w:val="24"/>
                <w:szCs w:val="24"/>
                <w:color w:val="auto"/>
              </w:rPr>
            </w:pPr>
          </w:p>
        </w:tc>
        <w:tc>
          <w:tcPr>
            <w:tcW w:w="180" w:type="dxa"/>
            <w:vAlign w:val="bottom"/>
            <w:tcBorders>
              <w:bottom w:val="single" w:sz="8" w:color="808080"/>
            </w:tcBorders>
          </w:tcPr>
          <w:p>
            <w:pPr>
              <w:spacing w:after="0"/>
              <w:rPr>
                <w:sz w:val="24"/>
                <w:szCs w:val="24"/>
                <w:color w:val="auto"/>
              </w:rPr>
            </w:pPr>
          </w:p>
        </w:tc>
        <w:tc>
          <w:tcPr>
            <w:tcW w:w="960" w:type="dxa"/>
            <w:vAlign w:val="bottom"/>
            <w:tcBorders>
              <w:bottom w:val="single" w:sz="8" w:color="808080"/>
            </w:tcBorders>
          </w:tcPr>
          <w:p>
            <w:pPr>
              <w:spacing w:after="0"/>
              <w:rPr>
                <w:sz w:val="24"/>
                <w:szCs w:val="24"/>
                <w:color w:val="auto"/>
              </w:rPr>
            </w:pPr>
          </w:p>
        </w:tc>
        <w:tc>
          <w:tcPr>
            <w:tcW w:w="10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TEXAS INSTRUMENTS INCORPORATED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(Millions of dollars)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45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2800" w:type="dxa"/>
            <w:vAlign w:val="bottom"/>
            <w:tcBorders>
              <w:bottom w:val="single" w:sz="8" w:color="auto"/>
            </w:tcBorders>
            <w:gridSpan w:val="8"/>
          </w:tcPr>
          <w:p>
            <w:pPr>
              <w:jc w:val="right"/>
              <w:ind w:right="170"/>
              <w:spacing w:after="0"/>
              <w:rPr>
                <w:sz w:val="20"/>
                <w:szCs w:val="20"/>
                <w:color w:val="auto"/>
              </w:rPr>
            </w:pPr>
            <w:r>
              <w:rPr>
                <w:rFonts w:ascii="Arial" w:cs="Arial" w:eastAsia="Arial" w:hAnsi="Arial"/>
                <w:sz w:val="18"/>
                <w:szCs w:val="18"/>
                <w:b w:val="1"/>
                <w:bCs w:val="1"/>
                <w:color w:val="auto"/>
              </w:rPr>
              <w:t>For Three Months Ended</w:t>
            </w:r>
          </w:p>
        </w:tc>
        <w:tc>
          <w:tcPr>
            <w:tcW w:w="72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62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b w:val="1"/>
                <w:bCs w:val="1"/>
                <w:color w:val="auto"/>
              </w:rPr>
              <w:t>For Years Ended</w:t>
            </w:r>
          </w:p>
        </w:tc>
        <w:tc>
          <w:tcPr>
            <w:tcW w:w="5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5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20" w:type="dxa"/>
            <w:vAlign w:val="bottom"/>
            <w:gridSpan w:val="3"/>
          </w:tcPr>
          <w:p>
            <w:pPr>
              <w:jc w:val="right"/>
              <w:ind w:right="220"/>
              <w:spacing w:after="0"/>
              <w:rPr>
                <w:sz w:val="20"/>
                <w:szCs w:val="20"/>
                <w:color w:val="auto"/>
              </w:rPr>
            </w:pPr>
            <w:r>
              <w:rPr>
                <w:rFonts w:ascii="Arial" w:cs="Arial" w:eastAsia="Arial" w:hAnsi="Arial"/>
                <w:sz w:val="18"/>
                <w:szCs w:val="18"/>
                <w:b w:val="1"/>
                <w:bCs w:val="1"/>
                <w:color w:val="auto"/>
                <w:w w:val="95"/>
              </w:rPr>
              <w:t>Dec. 31, 2007</w:t>
            </w:r>
          </w:p>
        </w:tc>
        <w:tc>
          <w:tcPr>
            <w:tcW w:w="100" w:type="dxa"/>
            <w:vAlign w:val="bottom"/>
          </w:tcPr>
          <w:p>
            <w:pPr>
              <w:spacing w:after="0"/>
              <w:rPr>
                <w:sz w:val="19"/>
                <w:szCs w:val="19"/>
                <w:color w:val="auto"/>
              </w:rPr>
            </w:pPr>
          </w:p>
        </w:tc>
        <w:tc>
          <w:tcPr>
            <w:tcW w:w="1280" w:type="dxa"/>
            <w:vAlign w:val="bottom"/>
            <w:gridSpan w:val="3"/>
          </w:tcPr>
          <w:p>
            <w:pPr>
              <w:jc w:val="right"/>
              <w:ind w:right="180"/>
              <w:spacing w:after="0"/>
              <w:rPr>
                <w:sz w:val="20"/>
                <w:szCs w:val="20"/>
                <w:color w:val="auto"/>
              </w:rPr>
            </w:pPr>
            <w:r>
              <w:rPr>
                <w:rFonts w:ascii="Arial" w:cs="Arial" w:eastAsia="Arial" w:hAnsi="Arial"/>
                <w:sz w:val="18"/>
                <w:szCs w:val="18"/>
                <w:b w:val="1"/>
                <w:bCs w:val="1"/>
                <w:color w:val="auto"/>
                <w:w w:val="90"/>
              </w:rPr>
              <w:t>Sept. 30, 2007</w:t>
            </w:r>
          </w:p>
        </w:tc>
        <w:tc>
          <w:tcPr>
            <w:tcW w:w="80" w:type="dxa"/>
            <w:vAlign w:val="bottom"/>
          </w:tcPr>
          <w:p>
            <w:pPr>
              <w:spacing w:after="0"/>
              <w:rPr>
                <w:sz w:val="19"/>
                <w:szCs w:val="19"/>
                <w:color w:val="auto"/>
              </w:rPr>
            </w:pPr>
          </w:p>
        </w:tc>
        <w:tc>
          <w:tcPr>
            <w:tcW w:w="1140" w:type="dxa"/>
            <w:vAlign w:val="bottom"/>
            <w:gridSpan w:val="2"/>
          </w:tcPr>
          <w:p>
            <w:pPr>
              <w:jc w:val="right"/>
              <w:spacing w:after="0"/>
              <w:rPr>
                <w:sz w:val="20"/>
                <w:szCs w:val="20"/>
                <w:color w:val="auto"/>
              </w:rPr>
            </w:pPr>
            <w:r>
              <w:rPr>
                <w:rFonts w:ascii="Arial" w:cs="Arial" w:eastAsia="Arial" w:hAnsi="Arial"/>
                <w:sz w:val="18"/>
                <w:szCs w:val="18"/>
                <w:b w:val="1"/>
                <w:bCs w:val="1"/>
                <w:color w:val="auto"/>
                <w:w w:val="91"/>
              </w:rPr>
              <w:t>Dec. 31, 2006</w:t>
            </w:r>
          </w:p>
        </w:tc>
        <w:tc>
          <w:tcPr>
            <w:tcW w:w="200" w:type="dxa"/>
            <w:vAlign w:val="bottom"/>
          </w:tcPr>
          <w:p>
            <w:pPr>
              <w:spacing w:after="0"/>
              <w:rPr>
                <w:sz w:val="19"/>
                <w:szCs w:val="19"/>
                <w:color w:val="auto"/>
              </w:rPr>
            </w:pPr>
          </w:p>
        </w:tc>
        <w:tc>
          <w:tcPr>
            <w:tcW w:w="1280" w:type="dxa"/>
            <w:vAlign w:val="bottom"/>
            <w:gridSpan w:val="3"/>
          </w:tcPr>
          <w:p>
            <w:pPr>
              <w:jc w:val="right"/>
              <w:ind w:right="200"/>
              <w:spacing w:after="0"/>
              <w:rPr>
                <w:sz w:val="20"/>
                <w:szCs w:val="20"/>
                <w:color w:val="auto"/>
              </w:rPr>
            </w:pPr>
            <w:r>
              <w:rPr>
                <w:rFonts w:ascii="Arial" w:cs="Arial" w:eastAsia="Arial" w:hAnsi="Arial"/>
                <w:sz w:val="18"/>
                <w:szCs w:val="18"/>
                <w:b w:val="1"/>
                <w:bCs w:val="1"/>
                <w:color w:val="auto"/>
                <w:w w:val="93"/>
              </w:rPr>
              <w:t>Dec. 31, 2007</w:t>
            </w:r>
          </w:p>
        </w:tc>
        <w:tc>
          <w:tcPr>
            <w:tcW w:w="80" w:type="dxa"/>
            <w:vAlign w:val="bottom"/>
          </w:tcPr>
          <w:p>
            <w:pPr>
              <w:spacing w:after="0"/>
              <w:rPr>
                <w:sz w:val="19"/>
                <w:szCs w:val="19"/>
                <w:color w:val="auto"/>
              </w:rPr>
            </w:pPr>
          </w:p>
        </w:tc>
        <w:tc>
          <w:tcPr>
            <w:tcW w:w="1140" w:type="dxa"/>
            <w:vAlign w:val="bottom"/>
            <w:gridSpan w:val="2"/>
          </w:tcPr>
          <w:p>
            <w:pPr>
              <w:jc w:val="right"/>
              <w:spacing w:after="0"/>
              <w:rPr>
                <w:sz w:val="20"/>
                <w:szCs w:val="20"/>
                <w:color w:val="auto"/>
              </w:rPr>
            </w:pPr>
            <w:r>
              <w:rPr>
                <w:rFonts w:ascii="Arial" w:cs="Arial" w:eastAsia="Arial" w:hAnsi="Arial"/>
                <w:sz w:val="18"/>
                <w:szCs w:val="18"/>
                <w:b w:val="1"/>
                <w:bCs w:val="1"/>
                <w:color w:val="auto"/>
                <w:w w:val="91"/>
              </w:rPr>
              <w:t>Dec. 31, 2006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140" w:type="dxa"/>
            <w:vAlign w:val="bottom"/>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tcPr>
          <w:p>
            <w:pPr>
              <w:ind w:left="160"/>
              <w:spacing w:after="0"/>
              <w:rPr>
                <w:sz w:val="20"/>
                <w:szCs w:val="20"/>
                <w:color w:val="auto"/>
              </w:rPr>
            </w:pPr>
            <w:r>
              <w:rPr>
                <w:rFonts w:ascii="Arial" w:cs="Arial" w:eastAsia="Arial" w:hAnsi="Arial"/>
                <w:sz w:val="18"/>
                <w:szCs w:val="18"/>
                <w:color w:val="auto"/>
              </w:rPr>
              <w:t>Net income</w:t>
            </w:r>
          </w:p>
        </w:tc>
        <w:tc>
          <w:tcPr>
            <w:tcW w:w="540" w:type="dxa"/>
            <w:vAlign w:val="bottom"/>
            <w:gridSpan w:val="2"/>
          </w:tcPr>
          <w:p>
            <w:pPr>
              <w:jc w:val="right"/>
              <w:ind w:right="210"/>
              <w:spacing w:after="0"/>
              <w:rPr>
                <w:sz w:val="20"/>
                <w:szCs w:val="20"/>
                <w:color w:val="auto"/>
              </w:rPr>
            </w:pPr>
            <w:r>
              <w:rPr>
                <w:rFonts w:ascii="Arial" w:cs="Arial" w:eastAsia="Arial" w:hAnsi="Arial"/>
                <w:sz w:val="18"/>
                <w:szCs w:val="18"/>
                <w:b w:val="1"/>
                <w:bCs w:val="1"/>
                <w:color w:val="auto"/>
              </w:rPr>
              <w:t>$</w:t>
            </w:r>
          </w:p>
        </w:tc>
        <w:tc>
          <w:tcPr>
            <w:tcW w:w="92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756</w:t>
            </w:r>
          </w:p>
        </w:tc>
        <w:tc>
          <w:tcPr>
            <w:tcW w:w="480" w:type="dxa"/>
            <w:vAlign w:val="bottom"/>
            <w:gridSpan w:val="2"/>
          </w:tcPr>
          <w:p>
            <w:pPr>
              <w:jc w:val="right"/>
              <w:ind w:right="21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140"/>
              <w:spacing w:after="0"/>
              <w:rPr>
                <w:sz w:val="20"/>
                <w:szCs w:val="20"/>
                <w:color w:val="auto"/>
              </w:rPr>
            </w:pPr>
            <w:r>
              <w:rPr>
                <w:rFonts w:ascii="Arial" w:cs="Arial" w:eastAsia="Arial" w:hAnsi="Arial"/>
                <w:sz w:val="18"/>
                <w:szCs w:val="18"/>
                <w:color w:val="auto"/>
              </w:rPr>
              <w:t>776</w:t>
            </w:r>
          </w:p>
        </w:tc>
        <w:tc>
          <w:tcPr>
            <w:tcW w:w="500" w:type="dxa"/>
            <w:vAlign w:val="bottom"/>
            <w:gridSpan w:val="2"/>
          </w:tcPr>
          <w:p>
            <w:pPr>
              <w:jc w:val="right"/>
              <w:ind w:right="25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668</w:t>
            </w:r>
          </w:p>
        </w:tc>
        <w:tc>
          <w:tcPr>
            <w:tcW w:w="340" w:type="dxa"/>
            <w:vAlign w:val="bottom"/>
          </w:tcPr>
          <w:p>
            <w:pPr>
              <w:jc w:val="right"/>
              <w:ind w:right="150"/>
              <w:spacing w:after="0"/>
              <w:rPr>
                <w:sz w:val="20"/>
                <w:szCs w:val="20"/>
                <w:color w:val="auto"/>
              </w:rPr>
            </w:pPr>
            <w:r>
              <w:rPr>
                <w:rFonts w:ascii="Arial" w:cs="Arial" w:eastAsia="Arial" w:hAnsi="Arial"/>
                <w:sz w:val="18"/>
                <w:szCs w:val="18"/>
                <w:b w:val="1"/>
                <w:bCs w:val="1"/>
                <w:color w:val="auto"/>
                <w:w w:val="79"/>
              </w:rPr>
              <w:t>$</w:t>
            </w:r>
          </w:p>
        </w:tc>
        <w:tc>
          <w:tcPr>
            <w:tcW w:w="94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2,657</w:t>
            </w:r>
          </w:p>
        </w:tc>
        <w:tc>
          <w:tcPr>
            <w:tcW w:w="680" w:type="dxa"/>
            <w:vAlign w:val="bottom"/>
            <w:gridSpan w:val="2"/>
          </w:tcPr>
          <w:p>
            <w:pPr>
              <w:jc w:val="right"/>
              <w:ind w:right="430"/>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4,341</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540" w:type="dxa"/>
            <w:vAlign w:val="bottom"/>
            <w:shd w:val="clear" w:color="auto" w:fill="CCEEFF"/>
          </w:tcPr>
          <w:p>
            <w:pPr>
              <w:ind w:left="160"/>
              <w:spacing w:after="0" w:line="201" w:lineRule="exact"/>
              <w:rPr>
                <w:sz w:val="20"/>
                <w:szCs w:val="20"/>
                <w:color w:val="auto"/>
              </w:rPr>
            </w:pPr>
            <w:r>
              <w:rPr>
                <w:rFonts w:ascii="Arial" w:cs="Arial" w:eastAsia="Arial" w:hAnsi="Arial"/>
                <w:sz w:val="18"/>
                <w:szCs w:val="18"/>
                <w:color w:val="auto"/>
              </w:rPr>
              <w:t>Adjustments to reconcile net income to cash provided</w:t>
            </w:r>
          </w:p>
        </w:tc>
        <w:tc>
          <w:tcPr>
            <w:tcW w:w="1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5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by operating activities of continuing operations:</w:t>
            </w:r>
          </w:p>
        </w:tc>
        <w:tc>
          <w:tcPr>
            <w:tcW w:w="14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tcPr>
          <w:p>
            <w:pPr>
              <w:ind w:left="240"/>
              <w:spacing w:after="0"/>
              <w:rPr>
                <w:sz w:val="20"/>
                <w:szCs w:val="20"/>
                <w:color w:val="auto"/>
              </w:rPr>
            </w:pPr>
            <w:r>
              <w:rPr>
                <w:rFonts w:ascii="Arial" w:cs="Arial" w:eastAsia="Arial" w:hAnsi="Arial"/>
                <w:sz w:val="18"/>
                <w:szCs w:val="18"/>
                <w:color w:val="auto"/>
              </w:rPr>
              <w:t>(Income) loss from discontinued operations</w:t>
            </w: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(3)</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(18)</w:t>
            </w: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3</w:t>
            </w:r>
          </w:p>
        </w:tc>
        <w:tc>
          <w:tcPr>
            <w:tcW w:w="340" w:type="dxa"/>
            <w:vAlign w:val="bottom"/>
          </w:tcPr>
          <w:p>
            <w:pPr>
              <w:spacing w:after="0"/>
              <w:rPr>
                <w:sz w:val="18"/>
                <w:szCs w:val="18"/>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(16)</w:t>
            </w: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(1,703)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Depreciation</w:t>
            </w:r>
          </w:p>
        </w:tc>
        <w:tc>
          <w:tcPr>
            <w:tcW w:w="1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253</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262</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249</w:t>
            </w:r>
          </w:p>
        </w:tc>
        <w:tc>
          <w:tcPr>
            <w:tcW w:w="3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1,022</w:t>
            </w: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tcPr>
          <w:p>
            <w:pPr>
              <w:ind w:left="240"/>
              <w:spacing w:after="0"/>
              <w:rPr>
                <w:sz w:val="20"/>
                <w:szCs w:val="20"/>
                <w:color w:val="auto"/>
              </w:rPr>
            </w:pPr>
            <w:r>
              <w:rPr>
                <w:rFonts w:ascii="Arial" w:cs="Arial" w:eastAsia="Arial" w:hAnsi="Arial"/>
                <w:sz w:val="18"/>
                <w:szCs w:val="18"/>
                <w:color w:val="auto"/>
              </w:rPr>
              <w:t>Stock-based compensation</w:t>
            </w: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67</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8"/>
                <w:szCs w:val="18"/>
                <w:color w:val="auto"/>
              </w:rPr>
              <w:t>66</w:t>
            </w: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78</w:t>
            </w: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280</w:t>
            </w: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332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Amortization of acquisition-related intangibles</w:t>
            </w:r>
          </w:p>
        </w:tc>
        <w:tc>
          <w:tcPr>
            <w:tcW w:w="1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10</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48</w:t>
            </w: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tcPr>
          <w:p>
            <w:pPr>
              <w:ind w:left="240"/>
              <w:spacing w:after="0"/>
              <w:rPr>
                <w:sz w:val="20"/>
                <w:szCs w:val="20"/>
                <w:color w:val="auto"/>
              </w:rPr>
            </w:pPr>
            <w:r>
              <w:rPr>
                <w:rFonts w:ascii="Arial" w:cs="Arial" w:eastAsia="Arial" w:hAnsi="Arial"/>
                <w:sz w:val="18"/>
                <w:szCs w:val="18"/>
                <w:color w:val="auto"/>
              </w:rPr>
              <w:t>(Gains) losses on sales of assets</w:t>
            </w: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(39)</w:t>
            </w: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(39)</w:t>
            </w: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Deferred income taxes</w:t>
            </w:r>
          </w:p>
        </w:tc>
        <w:tc>
          <w:tcPr>
            <w:tcW w:w="1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4</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36</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(77)</w:t>
            </w:r>
          </w:p>
        </w:tc>
        <w:tc>
          <w:tcPr>
            <w:tcW w:w="3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34</w:t>
            </w: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tcPr>
          <w:p>
            <w:pPr>
              <w:ind w:left="160"/>
              <w:spacing w:after="0"/>
              <w:rPr>
                <w:sz w:val="20"/>
                <w:szCs w:val="20"/>
                <w:color w:val="auto"/>
              </w:rPr>
            </w:pPr>
            <w:r>
              <w:rPr>
                <w:rFonts w:ascii="Arial" w:cs="Arial" w:eastAsia="Arial" w:hAnsi="Arial"/>
                <w:sz w:val="18"/>
                <w:szCs w:val="18"/>
                <w:color w:val="auto"/>
              </w:rPr>
              <w:t>Increase (decrease) from changes in:</w:t>
            </w: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Accounts receivable</w:t>
            </w:r>
          </w:p>
        </w:tc>
        <w:tc>
          <w:tcPr>
            <w:tcW w:w="1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284</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(117)</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315</w:t>
            </w:r>
          </w:p>
        </w:tc>
        <w:tc>
          <w:tcPr>
            <w:tcW w:w="3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40</w:t>
            </w: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tcPr>
          <w:p>
            <w:pPr>
              <w:ind w:left="240"/>
              <w:spacing w:after="0"/>
              <w:rPr>
                <w:sz w:val="20"/>
                <w:szCs w:val="20"/>
                <w:color w:val="auto"/>
              </w:rPr>
            </w:pPr>
            <w:r>
              <w:rPr>
                <w:rFonts w:ascii="Arial" w:cs="Arial" w:eastAsia="Arial" w:hAnsi="Arial"/>
                <w:sz w:val="18"/>
                <w:szCs w:val="18"/>
                <w:color w:val="auto"/>
              </w:rPr>
              <w:t>Inventories</w:t>
            </w: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32</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(34)</w:t>
            </w: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54</w:t>
            </w: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11</w:t>
            </w: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(248)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Prepaid expenses and other current assets</w:t>
            </w:r>
          </w:p>
        </w:tc>
        <w:tc>
          <w:tcPr>
            <w:tcW w:w="1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26</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24</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(14)</w:t>
            </w:r>
          </w:p>
        </w:tc>
        <w:tc>
          <w:tcPr>
            <w:tcW w:w="3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13</w:t>
            </w: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tcPr>
          <w:p>
            <w:pPr>
              <w:ind w:left="240"/>
              <w:spacing w:after="0"/>
              <w:rPr>
                <w:sz w:val="20"/>
                <w:szCs w:val="20"/>
                <w:color w:val="auto"/>
              </w:rPr>
            </w:pPr>
            <w:r>
              <w:rPr>
                <w:rFonts w:ascii="Arial" w:cs="Arial" w:eastAsia="Arial" w:hAnsi="Arial"/>
                <w:sz w:val="18"/>
                <w:szCs w:val="18"/>
                <w:color w:val="auto"/>
              </w:rPr>
              <w:t>Accounts payable and accrued expenses</w:t>
            </w: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(20)</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8"/>
                <w:szCs w:val="18"/>
                <w:color w:val="auto"/>
              </w:rPr>
              <w:t>154</w:t>
            </w: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(208)</w:t>
            </w:r>
          </w:p>
        </w:tc>
        <w:tc>
          <w:tcPr>
            <w:tcW w:w="34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77</w:t>
            </w: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(104)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Income taxes payable</w:t>
            </w:r>
          </w:p>
        </w:tc>
        <w:tc>
          <w:tcPr>
            <w:tcW w:w="1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(57)</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378</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(156)</w:t>
            </w:r>
          </w:p>
        </w:tc>
        <w:tc>
          <w:tcPr>
            <w:tcW w:w="3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188</w:t>
            </w: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tcPr>
          <w:p>
            <w:pPr>
              <w:ind w:left="240"/>
              <w:spacing w:after="0"/>
              <w:rPr>
                <w:sz w:val="20"/>
                <w:szCs w:val="20"/>
                <w:color w:val="auto"/>
              </w:rPr>
            </w:pPr>
            <w:r>
              <w:rPr>
                <w:rFonts w:ascii="Arial" w:cs="Arial" w:eastAsia="Arial" w:hAnsi="Arial"/>
                <w:sz w:val="18"/>
                <w:szCs w:val="18"/>
                <w:color w:val="auto"/>
              </w:rPr>
              <w:t>Accrued profit sharing and retirement</w:t>
            </w: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52</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8"/>
                <w:szCs w:val="18"/>
                <w:color w:val="auto"/>
              </w:rPr>
              <w:t>45</w:t>
            </w: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30</w:t>
            </w: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33</w:t>
            </w: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540" w:type="dxa"/>
            <w:vAlign w:val="bottom"/>
            <w:shd w:val="clear" w:color="auto" w:fill="CCEEFF"/>
          </w:tcPr>
          <w:p>
            <w:pPr>
              <w:ind w:left="160"/>
              <w:spacing w:after="0" w:line="201" w:lineRule="exact"/>
              <w:rPr>
                <w:sz w:val="20"/>
                <w:szCs w:val="20"/>
                <w:color w:val="auto"/>
              </w:rPr>
            </w:pPr>
            <w:r>
              <w:rPr>
                <w:rFonts w:ascii="Arial" w:cs="Arial" w:eastAsia="Arial" w:hAnsi="Arial"/>
                <w:sz w:val="18"/>
                <w:szCs w:val="18"/>
                <w:color w:val="auto"/>
                <w:w w:val="96"/>
              </w:rPr>
              <w:t>Change in funded status of retirement plans and accrued</w:t>
            </w:r>
          </w:p>
        </w:tc>
        <w:tc>
          <w:tcPr>
            <w:tcW w:w="1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92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(3)</w:t>
            </w: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940" w:type="dxa"/>
            <w:vAlign w:val="bottom"/>
            <w:gridSpan w:val="2"/>
            <w:vMerge w:val="restart"/>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(16)</w:t>
            </w:r>
          </w:p>
        </w:tc>
        <w:tc>
          <w:tcPr>
            <w:tcW w:w="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5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retirement costs</w:t>
            </w:r>
          </w:p>
        </w:tc>
        <w:tc>
          <w:tcPr>
            <w:tcW w:w="14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920" w:type="dxa"/>
            <w:vAlign w:val="bottom"/>
            <w:gridSpan w:val="2"/>
            <w:vMerge w:val="continue"/>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(14)</w:t>
            </w:r>
          </w:p>
        </w:tc>
        <w:tc>
          <w:tcPr>
            <w:tcW w:w="8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(94)</w:t>
            </w:r>
          </w:p>
        </w:tc>
        <w:tc>
          <w:tcPr>
            <w:tcW w:w="340" w:type="dxa"/>
            <w:vAlign w:val="bottom"/>
            <w:shd w:val="clear" w:color="auto" w:fill="CCEEFF"/>
          </w:tcPr>
          <w:p>
            <w:pPr>
              <w:spacing w:after="0"/>
              <w:rPr>
                <w:sz w:val="20"/>
                <w:szCs w:val="20"/>
                <w:color w:val="auto"/>
              </w:rPr>
            </w:pPr>
          </w:p>
        </w:tc>
        <w:tc>
          <w:tcPr>
            <w:tcW w:w="940" w:type="dxa"/>
            <w:vAlign w:val="bottom"/>
            <w:gridSpan w:val="2"/>
            <w:vMerge w:val="continue"/>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tcPr>
          <w:p>
            <w:pPr>
              <w:ind w:left="160"/>
              <w:spacing w:after="0"/>
              <w:rPr>
                <w:sz w:val="20"/>
                <w:szCs w:val="20"/>
                <w:color w:val="auto"/>
              </w:rPr>
            </w:pPr>
            <w:r>
              <w:rPr>
                <w:rFonts w:ascii="Arial" w:cs="Arial" w:eastAsia="Arial" w:hAnsi="Arial"/>
                <w:sz w:val="18"/>
                <w:szCs w:val="18"/>
                <w:color w:val="auto"/>
              </w:rPr>
              <w:t>Other</w:t>
            </w: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21</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8"/>
                <w:szCs w:val="18"/>
                <w:color w:val="auto"/>
              </w:rPr>
              <w:t>2</w:t>
            </w: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(21)</w:t>
            </w:r>
          </w:p>
        </w:tc>
        <w:tc>
          <w:tcPr>
            <w:tcW w:w="34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74</w:t>
            </w: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54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2"/>
        </w:trPr>
        <w:tc>
          <w:tcPr>
            <w:tcW w:w="20" w:type="dxa"/>
            <w:vAlign w:val="bottom"/>
            <w:vMerge w:val="continue"/>
          </w:tcPr>
          <w:p>
            <w:pPr>
              <w:spacing w:after="0"/>
              <w:rPr>
                <w:sz w:val="17"/>
                <w:szCs w:val="17"/>
                <w:color w:val="auto"/>
              </w:rPr>
            </w:pPr>
          </w:p>
        </w:tc>
        <w:tc>
          <w:tcPr>
            <w:tcW w:w="45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Net cash provided by operating activities of continuing</w:t>
            </w:r>
          </w:p>
        </w:tc>
        <w:tc>
          <w:tcPr>
            <w:tcW w:w="1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9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1,422</w:t>
            </w: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9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4,406</w:t>
            </w:r>
          </w:p>
        </w:tc>
        <w:tc>
          <w:tcPr>
            <w:tcW w:w="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5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operations</w:t>
            </w:r>
          </w:p>
        </w:tc>
        <w:tc>
          <w:tcPr>
            <w:tcW w:w="14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920" w:type="dxa"/>
            <w:vAlign w:val="bottom"/>
            <w:gridSpan w:val="2"/>
            <w:vMerge w:val="continue"/>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1,531</w:t>
            </w:r>
          </w:p>
        </w:tc>
        <w:tc>
          <w:tcPr>
            <w:tcW w:w="8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840</w:t>
            </w:r>
          </w:p>
        </w:tc>
        <w:tc>
          <w:tcPr>
            <w:tcW w:w="340" w:type="dxa"/>
            <w:vAlign w:val="bottom"/>
            <w:shd w:val="clear" w:color="auto" w:fill="CCEEFF"/>
          </w:tcPr>
          <w:p>
            <w:pPr>
              <w:spacing w:after="0"/>
              <w:rPr>
                <w:sz w:val="20"/>
                <w:szCs w:val="20"/>
                <w:color w:val="auto"/>
              </w:rPr>
            </w:pPr>
          </w:p>
        </w:tc>
        <w:tc>
          <w:tcPr>
            <w:tcW w:w="940" w:type="dxa"/>
            <w:vAlign w:val="bottom"/>
            <w:gridSpan w:val="2"/>
            <w:vMerge w:val="continue"/>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2,454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54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1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tcPr>
          <w:p>
            <w:pPr>
              <w:ind w:left="160"/>
              <w:spacing w:after="0"/>
              <w:rPr>
                <w:sz w:val="20"/>
                <w:szCs w:val="20"/>
                <w:color w:val="auto"/>
              </w:rPr>
            </w:pPr>
            <w:r>
              <w:rPr>
                <w:rFonts w:ascii="Arial" w:cs="Arial" w:eastAsia="Arial" w:hAnsi="Arial"/>
                <w:sz w:val="18"/>
                <w:szCs w:val="18"/>
                <w:color w:val="auto"/>
              </w:rPr>
              <w:t>Additions to property, plant and equipment</w:t>
            </w: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(181)</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(152)</w:t>
            </w: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(214)</w:t>
            </w:r>
          </w:p>
        </w:tc>
        <w:tc>
          <w:tcPr>
            <w:tcW w:w="340" w:type="dxa"/>
            <w:vAlign w:val="bottom"/>
          </w:tcPr>
          <w:p>
            <w:pPr>
              <w:spacing w:after="0"/>
              <w:rPr>
                <w:sz w:val="18"/>
                <w:szCs w:val="18"/>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(686)</w:t>
            </w: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(1,272)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Proceeds from sales of assets</w:t>
            </w:r>
          </w:p>
        </w:tc>
        <w:tc>
          <w:tcPr>
            <w:tcW w:w="1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61</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61</w:t>
            </w: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tcPr>
          <w:p>
            <w:pPr>
              <w:ind w:left="160"/>
              <w:spacing w:after="0"/>
              <w:rPr>
                <w:sz w:val="20"/>
                <w:szCs w:val="20"/>
                <w:color w:val="auto"/>
              </w:rPr>
            </w:pPr>
            <w:r>
              <w:rPr>
                <w:rFonts w:ascii="Arial" w:cs="Arial" w:eastAsia="Arial" w:hAnsi="Arial"/>
                <w:sz w:val="18"/>
                <w:szCs w:val="18"/>
                <w:color w:val="auto"/>
              </w:rPr>
              <w:t>Purchases of cash investments</w:t>
            </w: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(794)</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(1,916)</w:t>
            </w: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(1,275)</w:t>
            </w:r>
          </w:p>
        </w:tc>
        <w:tc>
          <w:tcPr>
            <w:tcW w:w="340" w:type="dxa"/>
            <w:vAlign w:val="bottom"/>
          </w:tcPr>
          <w:p>
            <w:pPr>
              <w:spacing w:after="0"/>
              <w:rPr>
                <w:sz w:val="18"/>
                <w:szCs w:val="18"/>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(5,035)</w:t>
            </w: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(6,821)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Sales and maturities of cash investments</w:t>
            </w:r>
          </w:p>
        </w:tc>
        <w:tc>
          <w:tcPr>
            <w:tcW w:w="1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2,067</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1,374</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1,509</w:t>
            </w:r>
          </w:p>
        </w:tc>
        <w:tc>
          <w:tcPr>
            <w:tcW w:w="3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5,981</w:t>
            </w: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8,418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tcPr>
          <w:p>
            <w:pPr>
              <w:ind w:left="160"/>
              <w:spacing w:after="0"/>
              <w:rPr>
                <w:sz w:val="20"/>
                <w:szCs w:val="20"/>
                <w:color w:val="auto"/>
              </w:rPr>
            </w:pPr>
            <w:r>
              <w:rPr>
                <w:rFonts w:ascii="Arial" w:cs="Arial" w:eastAsia="Arial" w:hAnsi="Arial"/>
                <w:sz w:val="18"/>
                <w:szCs w:val="18"/>
                <w:color w:val="auto"/>
              </w:rPr>
              <w:t>Purchases of equity investments</w:t>
            </w: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(4)</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(15)</w:t>
            </w: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(7)</w:t>
            </w:r>
          </w:p>
        </w:tc>
        <w:tc>
          <w:tcPr>
            <w:tcW w:w="340" w:type="dxa"/>
            <w:vAlign w:val="bottom"/>
          </w:tcPr>
          <w:p>
            <w:pPr>
              <w:spacing w:after="0"/>
              <w:rPr>
                <w:sz w:val="18"/>
                <w:szCs w:val="18"/>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(30)</w:t>
            </w: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Sales of equity and debt investments</w:t>
            </w:r>
          </w:p>
        </w:tc>
        <w:tc>
          <w:tcPr>
            <w:tcW w:w="1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2</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w:t>
            </w:r>
          </w:p>
        </w:tc>
        <w:tc>
          <w:tcPr>
            <w:tcW w:w="3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11</w:t>
            </w: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tcPr>
          <w:p>
            <w:pPr>
              <w:ind w:left="160"/>
              <w:spacing w:after="0"/>
              <w:rPr>
                <w:sz w:val="20"/>
                <w:szCs w:val="20"/>
                <w:color w:val="auto"/>
              </w:rPr>
            </w:pPr>
            <w:r>
              <w:rPr>
                <w:rFonts w:ascii="Arial" w:cs="Arial" w:eastAsia="Arial" w:hAnsi="Arial"/>
                <w:sz w:val="18"/>
                <w:szCs w:val="18"/>
                <w:color w:val="auto"/>
              </w:rPr>
              <w:t>Acquisitions, net of cash acquired</w:t>
            </w: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(56)</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(4)</w:t>
            </w: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(87)</w:t>
            </w: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(205)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54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2"/>
        </w:trPr>
        <w:tc>
          <w:tcPr>
            <w:tcW w:w="20" w:type="dxa"/>
            <w:vAlign w:val="bottom"/>
            <w:vMerge w:val="continue"/>
          </w:tcPr>
          <w:p>
            <w:pPr>
              <w:spacing w:after="0"/>
              <w:rPr>
                <w:sz w:val="17"/>
                <w:szCs w:val="17"/>
                <w:color w:val="auto"/>
              </w:rPr>
            </w:pPr>
          </w:p>
        </w:tc>
        <w:tc>
          <w:tcPr>
            <w:tcW w:w="45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Net cash provided by (used in) investing activities of</w:t>
            </w:r>
          </w:p>
        </w:tc>
        <w:tc>
          <w:tcPr>
            <w:tcW w:w="1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9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1,034</w:t>
            </w: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9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215</w:t>
            </w:r>
          </w:p>
        </w:tc>
        <w:tc>
          <w:tcPr>
            <w:tcW w:w="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5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continuing operations</w:t>
            </w:r>
          </w:p>
        </w:tc>
        <w:tc>
          <w:tcPr>
            <w:tcW w:w="14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920" w:type="dxa"/>
            <w:vAlign w:val="bottom"/>
            <w:gridSpan w:val="2"/>
            <w:vMerge w:val="continue"/>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(648)</w:t>
            </w:r>
          </w:p>
        </w:tc>
        <w:tc>
          <w:tcPr>
            <w:tcW w:w="8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2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940" w:type="dxa"/>
            <w:vAlign w:val="bottom"/>
            <w:gridSpan w:val="2"/>
            <w:vMerge w:val="continue"/>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3,091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54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1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tcPr>
          <w:p>
            <w:pPr>
              <w:ind w:left="160"/>
              <w:spacing w:after="0"/>
              <w:rPr>
                <w:sz w:val="20"/>
                <w:szCs w:val="20"/>
                <w:color w:val="auto"/>
              </w:rPr>
            </w:pPr>
            <w:r>
              <w:rPr>
                <w:rFonts w:ascii="Arial" w:cs="Arial" w:eastAsia="Arial" w:hAnsi="Arial"/>
                <w:sz w:val="18"/>
                <w:szCs w:val="18"/>
                <w:color w:val="auto"/>
              </w:rPr>
              <w:t>Payments on loans and long-term debt</w:t>
            </w: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(43)</w:t>
            </w: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(586)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Dividends paid</w:t>
            </w:r>
          </w:p>
        </w:tc>
        <w:tc>
          <w:tcPr>
            <w:tcW w:w="1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(138)</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(114)</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(59)</w:t>
            </w:r>
          </w:p>
        </w:tc>
        <w:tc>
          <w:tcPr>
            <w:tcW w:w="3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(425)</w:t>
            </w: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tcPr>
          <w:p>
            <w:pPr>
              <w:ind w:left="160"/>
              <w:spacing w:after="0"/>
              <w:rPr>
                <w:sz w:val="20"/>
                <w:szCs w:val="20"/>
                <w:color w:val="auto"/>
              </w:rPr>
            </w:pPr>
            <w:r>
              <w:rPr>
                <w:rFonts w:ascii="Arial" w:cs="Arial" w:eastAsia="Arial" w:hAnsi="Arial"/>
                <w:sz w:val="18"/>
                <w:szCs w:val="18"/>
                <w:color w:val="auto"/>
              </w:rPr>
              <w:t>Sales and other common stock transactions</w:t>
            </w: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67</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8"/>
                <w:szCs w:val="18"/>
                <w:color w:val="auto"/>
              </w:rPr>
              <w:t>166</w:t>
            </w: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57</w:t>
            </w: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761</w:t>
            </w: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418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Excess tax benefit from stock option exercises</w:t>
            </w:r>
          </w:p>
        </w:tc>
        <w:tc>
          <w:tcPr>
            <w:tcW w:w="1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10</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16</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116</w:t>
            </w: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tcPr>
          <w:p>
            <w:pPr>
              <w:ind w:left="160"/>
              <w:spacing w:after="0"/>
              <w:rPr>
                <w:sz w:val="20"/>
                <w:szCs w:val="20"/>
                <w:color w:val="auto"/>
              </w:rPr>
            </w:pPr>
            <w:r>
              <w:rPr>
                <w:rFonts w:ascii="Arial" w:cs="Arial" w:eastAsia="Arial" w:hAnsi="Arial"/>
                <w:sz w:val="18"/>
                <w:szCs w:val="18"/>
                <w:color w:val="auto"/>
              </w:rPr>
              <w:t>Stock repurchases</w:t>
            </w: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(1,877)</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(1,409)</w:t>
            </w: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(1,130)</w:t>
            </w:r>
          </w:p>
        </w:tc>
        <w:tc>
          <w:tcPr>
            <w:tcW w:w="340" w:type="dxa"/>
            <w:vAlign w:val="bottom"/>
          </w:tcPr>
          <w:p>
            <w:pPr>
              <w:spacing w:after="0"/>
              <w:rPr>
                <w:sz w:val="18"/>
                <w:szCs w:val="18"/>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(4,886)</w:t>
            </w: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(5,302)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54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vMerge w:val="continue"/>
          </w:tcPr>
          <w:p>
            <w:pPr>
              <w:spacing w:after="0"/>
              <w:rPr>
                <w:sz w:val="19"/>
                <w:szCs w:val="19"/>
                <w:color w:val="auto"/>
              </w:rPr>
            </w:pPr>
          </w:p>
        </w:tc>
        <w:tc>
          <w:tcPr>
            <w:tcW w:w="4540" w:type="dxa"/>
            <w:vAlign w:val="bottom"/>
            <w:shd w:val="clear" w:color="auto" w:fill="CCEEFF"/>
          </w:tcPr>
          <w:p>
            <w:pPr>
              <w:spacing w:after="0"/>
              <w:rPr>
                <w:sz w:val="20"/>
                <w:szCs w:val="20"/>
                <w:color w:val="auto"/>
              </w:rPr>
            </w:pPr>
            <w:r>
              <w:rPr>
                <w:rFonts w:ascii="Arial" w:cs="Arial" w:eastAsia="Arial" w:hAnsi="Arial"/>
                <w:sz w:val="18"/>
                <w:szCs w:val="18"/>
                <w:color w:val="auto"/>
                <w:w w:val="93"/>
              </w:rPr>
              <w:t>Net cash used in financing activities of continuing operations</w:t>
            </w:r>
          </w:p>
        </w:tc>
        <w:tc>
          <w:tcPr>
            <w:tcW w:w="14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(1,938)</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(1,341)</w:t>
            </w: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(1,117)</w:t>
            </w:r>
          </w:p>
        </w:tc>
        <w:tc>
          <w:tcPr>
            <w:tcW w:w="34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(4,477)</w:t>
            </w:r>
          </w:p>
        </w:tc>
        <w:tc>
          <w:tcPr>
            <w:tcW w:w="8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(5,569)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54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discontinued operations:</w:t>
            </w:r>
          </w:p>
        </w:tc>
        <w:tc>
          <w:tcPr>
            <w:tcW w:w="1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tcPr>
          <w:p>
            <w:pPr>
              <w:ind w:left="80"/>
              <w:spacing w:after="0"/>
              <w:rPr>
                <w:sz w:val="20"/>
                <w:szCs w:val="20"/>
                <w:color w:val="auto"/>
              </w:rPr>
            </w:pPr>
            <w:r>
              <w:rPr>
                <w:rFonts w:ascii="Arial" w:cs="Arial" w:eastAsia="Arial" w:hAnsi="Arial"/>
                <w:sz w:val="18"/>
                <w:szCs w:val="18"/>
                <w:color w:val="auto"/>
              </w:rPr>
              <w:t>Operating activities</w:t>
            </w: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w:t>
            </w: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shd w:val="clear" w:color="auto" w:fill="CCEEFF"/>
          </w:tcPr>
          <w:p>
            <w:pPr>
              <w:ind w:left="80"/>
              <w:spacing w:after="0"/>
              <w:rPr>
                <w:sz w:val="20"/>
                <w:szCs w:val="20"/>
                <w:color w:val="auto"/>
              </w:rPr>
            </w:pPr>
            <w:r>
              <w:rPr>
                <w:rFonts w:ascii="Arial" w:cs="Arial" w:eastAsia="Arial" w:hAnsi="Arial"/>
                <w:sz w:val="18"/>
                <w:szCs w:val="18"/>
                <w:color w:val="auto"/>
              </w:rPr>
              <w:t>Investing activities</w:t>
            </w:r>
          </w:p>
        </w:tc>
        <w:tc>
          <w:tcPr>
            <w:tcW w:w="1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w:t>
            </w: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54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vMerge w:val="continue"/>
          </w:tcPr>
          <w:p>
            <w:pPr>
              <w:spacing w:after="0"/>
              <w:rPr>
                <w:sz w:val="19"/>
                <w:szCs w:val="19"/>
                <w:color w:val="auto"/>
              </w:rPr>
            </w:pPr>
          </w:p>
        </w:tc>
        <w:tc>
          <w:tcPr>
            <w:tcW w:w="4540" w:type="dxa"/>
            <w:vAlign w:val="bottom"/>
          </w:tcPr>
          <w:p>
            <w:pPr>
              <w:spacing w:after="0"/>
              <w:rPr>
                <w:sz w:val="20"/>
                <w:szCs w:val="20"/>
                <w:color w:val="auto"/>
              </w:rPr>
            </w:pPr>
            <w:r>
              <w:rPr>
                <w:rFonts w:ascii="Arial" w:cs="Arial" w:eastAsia="Arial" w:hAnsi="Arial"/>
                <w:sz w:val="18"/>
                <w:szCs w:val="18"/>
                <w:color w:val="auto"/>
              </w:rPr>
              <w:t>Net cash used in discontinued operations</w:t>
            </w:r>
          </w:p>
        </w:tc>
        <w:tc>
          <w:tcPr>
            <w:tcW w:w="1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w:t>
            </w: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40" w:type="dxa"/>
            <w:vAlign w:val="bottom"/>
          </w:tcPr>
          <w:p>
            <w:pPr>
              <w:spacing w:after="0"/>
              <w:rPr>
                <w:sz w:val="20"/>
                <w:szCs w:val="20"/>
                <w:color w:val="auto"/>
              </w:rPr>
            </w:pPr>
            <w:r>
              <w:rPr>
                <w:rFonts w:ascii="Arial" w:cs="Arial" w:eastAsia="Arial" w:hAnsi="Arial"/>
                <w:sz w:val="18"/>
                <w:szCs w:val="18"/>
                <w:color w:val="auto"/>
              </w:rPr>
              <w:t>Effect of exchange rate changes on cash</w:t>
            </w: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3</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(1)</w:t>
            </w: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1</w:t>
            </w:r>
          </w:p>
        </w:tc>
        <w:tc>
          <w:tcPr>
            <w:tcW w:w="34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1</w:t>
            </w: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54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40" w:type="dxa"/>
            <w:vAlign w:val="bottom"/>
            <w:shd w:val="clear" w:color="auto" w:fill="CCEEFF"/>
          </w:tcPr>
          <w:p>
            <w:pPr>
              <w:spacing w:after="0"/>
              <w:rPr>
                <w:sz w:val="20"/>
                <w:szCs w:val="20"/>
                <w:color w:val="auto"/>
              </w:rPr>
            </w:pPr>
            <w:r>
              <w:rPr>
                <w:rFonts w:ascii="Arial" w:cs="Arial" w:eastAsia="Arial" w:hAnsi="Arial"/>
                <w:sz w:val="18"/>
                <w:szCs w:val="18"/>
                <w:color w:val="auto"/>
              </w:rPr>
              <w:t>Net increase (decrease) in cash and cash equivalents</w:t>
            </w:r>
          </w:p>
        </w:tc>
        <w:tc>
          <w:tcPr>
            <w:tcW w:w="1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521</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(459)</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(247)</w:t>
            </w:r>
          </w:p>
        </w:tc>
        <w:tc>
          <w:tcPr>
            <w:tcW w:w="3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145</w:t>
            </w: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tcPr>
          <w:p>
            <w:pPr>
              <w:spacing w:after="0"/>
              <w:rPr>
                <w:sz w:val="20"/>
                <w:szCs w:val="20"/>
                <w:color w:val="auto"/>
              </w:rPr>
            </w:pPr>
            <w:r>
              <w:rPr>
                <w:rFonts w:ascii="Arial" w:cs="Arial" w:eastAsia="Arial" w:hAnsi="Arial"/>
                <w:sz w:val="18"/>
                <w:szCs w:val="18"/>
                <w:color w:val="auto"/>
              </w:rPr>
              <w:t>Cash and cash equivalents, beginning of period</w:t>
            </w: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807</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8"/>
                <w:szCs w:val="18"/>
                <w:color w:val="auto"/>
              </w:rPr>
              <w:t>1,266</w:t>
            </w: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1,430</w:t>
            </w:r>
          </w:p>
        </w:tc>
        <w:tc>
          <w:tcPr>
            <w:tcW w:w="34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1,183</w:t>
            </w: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1,214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54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vMerge w:val="continue"/>
          </w:tcPr>
          <w:p>
            <w:pPr>
              <w:spacing w:after="0"/>
              <w:rPr>
                <w:sz w:val="20"/>
                <w:szCs w:val="20"/>
                <w:color w:val="auto"/>
              </w:rPr>
            </w:pPr>
          </w:p>
        </w:tc>
        <w:tc>
          <w:tcPr>
            <w:tcW w:w="454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end of period</w:t>
            </w:r>
          </w:p>
        </w:tc>
        <w:tc>
          <w:tcPr>
            <w:tcW w:w="140" w:type="dxa"/>
            <w:vAlign w:val="bottom"/>
            <w:shd w:val="clear" w:color="auto" w:fill="CCEEFF"/>
          </w:tcPr>
          <w:p>
            <w:pPr>
              <w:spacing w:after="0"/>
              <w:rPr>
                <w:sz w:val="20"/>
                <w:szCs w:val="20"/>
                <w:color w:val="auto"/>
              </w:rPr>
            </w:pPr>
          </w:p>
        </w:tc>
        <w:tc>
          <w:tcPr>
            <w:tcW w:w="400" w:type="dxa"/>
            <w:vAlign w:val="bottom"/>
            <w:shd w:val="clear" w:color="auto" w:fill="CCEEFF"/>
          </w:tcPr>
          <w:p>
            <w:pPr>
              <w:jc w:val="right"/>
              <w:ind w:right="210"/>
              <w:spacing w:after="0"/>
              <w:rPr>
                <w:sz w:val="20"/>
                <w:szCs w:val="20"/>
                <w:color w:val="auto"/>
              </w:rPr>
            </w:pPr>
            <w:r>
              <w:rPr>
                <w:rFonts w:ascii="Arial" w:cs="Arial" w:eastAsia="Arial" w:hAnsi="Arial"/>
                <w:sz w:val="18"/>
                <w:szCs w:val="18"/>
                <w:b w:val="1"/>
                <w:bCs w:val="1"/>
                <w:color w:val="auto"/>
                <w:w w:val="79"/>
              </w:rPr>
              <w:t>$</w:t>
            </w: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1,328</w:t>
            </w:r>
          </w:p>
        </w:tc>
        <w:tc>
          <w:tcPr>
            <w:tcW w:w="480" w:type="dxa"/>
            <w:vAlign w:val="bottom"/>
            <w:gridSpan w:val="2"/>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807</w:t>
            </w:r>
          </w:p>
        </w:tc>
        <w:tc>
          <w:tcPr>
            <w:tcW w:w="500" w:type="dxa"/>
            <w:vAlign w:val="bottom"/>
            <w:gridSpan w:val="2"/>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1,183</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b w:val="1"/>
                <w:bCs w:val="1"/>
                <w:color w:val="auto"/>
                <w:w w:val="79"/>
              </w:rPr>
              <w:t>$</w:t>
            </w: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1,328</w:t>
            </w:r>
          </w:p>
        </w:tc>
        <w:tc>
          <w:tcPr>
            <w:tcW w:w="680" w:type="dxa"/>
            <w:vAlign w:val="bottom"/>
            <w:gridSpan w:val="2"/>
            <w:shd w:val="clear" w:color="auto" w:fill="CCEEFF"/>
          </w:tcPr>
          <w:p>
            <w:pPr>
              <w:jc w:val="right"/>
              <w:ind w:right="43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1,183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auto"/>
            </w:tcBorders>
            <w:shd w:val="clear" w:color="auto" w:fill="000000"/>
          </w:tcPr>
          <w:p>
            <w:pPr>
              <w:spacing w:after="0" w:line="20" w:lineRule="exact"/>
              <w:rPr>
                <w:sz w:val="1"/>
                <w:szCs w:val="1"/>
                <w:color w:val="auto"/>
              </w:rPr>
            </w:pPr>
          </w:p>
        </w:tc>
        <w:tc>
          <w:tcPr>
            <w:tcW w:w="5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color w:val="auto"/>
        </w:rPr>
        <w:t>Certain amounts in the prior periods’ financial statements have been reclassified to conform to the current presentation.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50430"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094" w:right="23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Segment Net Revenue</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(Millions of dollars)</w:t>
      </w:r>
    </w:p>
    <w:p>
      <w:pPr>
        <w:spacing w:after="0" w:line="200" w:lineRule="exact"/>
        <w:rPr>
          <w:sz w:val="20"/>
          <w:szCs w:val="20"/>
          <w:color w:val="auto"/>
        </w:rPr>
      </w:pP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314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860" w:type="dxa"/>
            <w:vAlign w:val="bottom"/>
            <w:gridSpan w:val="8"/>
          </w:tcPr>
          <w:p>
            <w:pPr>
              <w:jc w:val="right"/>
              <w:ind w:right="60"/>
              <w:spacing w:after="0"/>
              <w:rPr>
                <w:sz w:val="20"/>
                <w:szCs w:val="20"/>
                <w:color w:val="auto"/>
              </w:rPr>
            </w:pPr>
            <w:r>
              <w:rPr>
                <w:rFonts w:ascii="Arial" w:cs="Arial" w:eastAsia="Arial" w:hAnsi="Arial"/>
                <w:sz w:val="18"/>
                <w:szCs w:val="18"/>
                <w:b w:val="1"/>
                <w:bCs w:val="1"/>
                <w:color w:val="auto"/>
              </w:rPr>
              <w:t>For Three Months Ended</w:t>
            </w:r>
          </w:p>
        </w:tc>
        <w:tc>
          <w:tcPr>
            <w:tcW w:w="9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420" w:type="dxa"/>
            <w:vAlign w:val="bottom"/>
            <w:gridSpan w:val="6"/>
          </w:tcPr>
          <w:p>
            <w:pPr>
              <w:jc w:val="right"/>
              <w:ind w:right="700"/>
              <w:spacing w:after="0"/>
              <w:rPr>
                <w:sz w:val="20"/>
                <w:szCs w:val="20"/>
                <w:color w:val="auto"/>
              </w:rPr>
            </w:pPr>
            <w:r>
              <w:rPr>
                <w:rFonts w:ascii="Arial" w:cs="Arial" w:eastAsia="Arial" w:hAnsi="Arial"/>
                <w:sz w:val="18"/>
                <w:szCs w:val="18"/>
                <w:b w:val="1"/>
                <w:bCs w:val="1"/>
                <w:color w:val="auto"/>
              </w:rPr>
              <w:t>For Years Ended</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14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180" w:type="dxa"/>
            <w:vAlign w:val="bottom"/>
            <w:tcBorders>
              <w:top w:val="single" w:sz="8" w:color="auto"/>
            </w:tcBorders>
            <w:gridSpan w:val="2"/>
          </w:tcPr>
          <w:p>
            <w:pPr>
              <w:jc w:val="center"/>
              <w:ind w:right="280"/>
              <w:spacing w:after="0" w:line="198" w:lineRule="exact"/>
              <w:rPr>
                <w:sz w:val="20"/>
                <w:szCs w:val="20"/>
                <w:color w:val="auto"/>
              </w:rPr>
            </w:pPr>
            <w:r>
              <w:rPr>
                <w:rFonts w:ascii="Arial" w:cs="Arial" w:eastAsia="Arial" w:hAnsi="Arial"/>
                <w:sz w:val="18"/>
                <w:szCs w:val="18"/>
                <w:b w:val="1"/>
                <w:bCs w:val="1"/>
                <w:color w:val="auto"/>
                <w:w w:val="91"/>
              </w:rPr>
              <w:t>Dec. 31,</w:t>
            </w:r>
          </w:p>
        </w:tc>
        <w:tc>
          <w:tcPr>
            <w:tcW w:w="100" w:type="dxa"/>
            <w:vAlign w:val="bottom"/>
            <w:tcBorders>
              <w:top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gridSpan w:val="2"/>
          </w:tcPr>
          <w:p>
            <w:pPr>
              <w:jc w:val="center"/>
              <w:ind w:right="300"/>
              <w:spacing w:after="0" w:line="198" w:lineRule="exact"/>
              <w:rPr>
                <w:sz w:val="20"/>
                <w:szCs w:val="20"/>
                <w:color w:val="auto"/>
              </w:rPr>
            </w:pPr>
            <w:r>
              <w:rPr>
                <w:rFonts w:ascii="Arial" w:cs="Arial" w:eastAsia="Arial" w:hAnsi="Arial"/>
                <w:sz w:val="18"/>
                <w:szCs w:val="18"/>
                <w:b w:val="1"/>
                <w:bCs w:val="1"/>
                <w:color w:val="auto"/>
                <w:w w:val="89"/>
              </w:rPr>
              <w:t>Sept. 30,</w:t>
            </w:r>
          </w:p>
        </w:tc>
        <w:tc>
          <w:tcPr>
            <w:tcW w:w="8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jc w:val="center"/>
              <w:ind w:right="150"/>
              <w:spacing w:after="0" w:line="198" w:lineRule="exact"/>
              <w:rPr>
                <w:sz w:val="20"/>
                <w:szCs w:val="20"/>
                <w:color w:val="auto"/>
              </w:rPr>
            </w:pPr>
            <w:r>
              <w:rPr>
                <w:rFonts w:ascii="Arial" w:cs="Arial" w:eastAsia="Arial" w:hAnsi="Arial"/>
                <w:sz w:val="18"/>
                <w:szCs w:val="18"/>
                <w:b w:val="1"/>
                <w:bCs w:val="1"/>
                <w:color w:val="auto"/>
                <w:w w:val="88"/>
              </w:rPr>
              <w:t>Dec. 31,</w:t>
            </w:r>
          </w:p>
        </w:tc>
        <w:tc>
          <w:tcPr>
            <w:tcW w:w="20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gridSpan w:val="2"/>
          </w:tcPr>
          <w:p>
            <w:pPr>
              <w:jc w:val="center"/>
              <w:ind w:right="300"/>
              <w:spacing w:after="0" w:line="198" w:lineRule="exact"/>
              <w:rPr>
                <w:sz w:val="20"/>
                <w:szCs w:val="20"/>
                <w:color w:val="auto"/>
              </w:rPr>
            </w:pPr>
            <w:r>
              <w:rPr>
                <w:rFonts w:ascii="Arial" w:cs="Arial" w:eastAsia="Arial" w:hAnsi="Arial"/>
                <w:sz w:val="18"/>
                <w:szCs w:val="18"/>
                <w:b w:val="1"/>
                <w:bCs w:val="1"/>
                <w:color w:val="auto"/>
                <w:w w:val="88"/>
              </w:rPr>
              <w:t>Dec. 31,</w:t>
            </w:r>
          </w:p>
        </w:tc>
        <w:tc>
          <w:tcPr>
            <w:tcW w:w="80" w:type="dxa"/>
            <w:vAlign w:val="bottom"/>
            <w:tcBorders>
              <w:top w:val="single" w:sz="8" w:color="auto"/>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jc w:val="center"/>
              <w:ind w:right="110"/>
              <w:spacing w:after="0" w:line="198" w:lineRule="exact"/>
              <w:rPr>
                <w:sz w:val="20"/>
                <w:szCs w:val="20"/>
                <w:color w:val="auto"/>
              </w:rPr>
            </w:pPr>
            <w:r>
              <w:rPr>
                <w:rFonts w:ascii="Arial" w:cs="Arial" w:eastAsia="Arial" w:hAnsi="Arial"/>
                <w:sz w:val="18"/>
                <w:szCs w:val="18"/>
                <w:b w:val="1"/>
                <w:bCs w:val="1"/>
                <w:color w:val="auto"/>
                <w:w w:val="88"/>
              </w:rPr>
              <w:t>Dec. 31,</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314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89"/>
              </w:rPr>
              <w:t>2007</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b w:val="1"/>
                <w:bCs w:val="1"/>
                <w:color w:val="auto"/>
                <w:w w:val="89"/>
              </w:rPr>
              <w:t>2007</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center"/>
              <w:ind w:right="150"/>
              <w:spacing w:after="0"/>
              <w:rPr>
                <w:sz w:val="20"/>
                <w:szCs w:val="20"/>
                <w:color w:val="auto"/>
              </w:rPr>
            </w:pPr>
            <w:r>
              <w:rPr>
                <w:rFonts w:ascii="Arial" w:cs="Arial" w:eastAsia="Arial" w:hAnsi="Arial"/>
                <w:sz w:val="18"/>
                <w:szCs w:val="18"/>
                <w:b w:val="1"/>
                <w:bCs w:val="1"/>
                <w:color w:val="auto"/>
                <w:w w:val="89"/>
              </w:rPr>
              <w:t>2006</w:t>
            </w:r>
          </w:p>
        </w:tc>
        <w:tc>
          <w:tcPr>
            <w:tcW w:w="2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b w:val="1"/>
                <w:bCs w:val="1"/>
                <w:color w:val="auto"/>
                <w:w w:val="89"/>
              </w:rPr>
              <w:t>2007</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center"/>
              <w:ind w:right="110"/>
              <w:spacing w:after="0"/>
              <w:rPr>
                <w:sz w:val="20"/>
                <w:szCs w:val="20"/>
                <w:color w:val="auto"/>
              </w:rPr>
            </w:pPr>
            <w:r>
              <w:rPr>
                <w:rFonts w:ascii="Arial" w:cs="Arial" w:eastAsia="Arial" w:hAnsi="Arial"/>
                <w:sz w:val="18"/>
                <w:szCs w:val="18"/>
                <w:b w:val="1"/>
                <w:bCs w:val="1"/>
                <w:color w:val="auto"/>
                <w:w w:val="89"/>
              </w:rPr>
              <w:t>2006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14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140" w:type="dxa"/>
            <w:vAlign w:val="bottom"/>
          </w:tcPr>
          <w:p>
            <w:pPr>
              <w:spacing w:after="0"/>
              <w:rPr>
                <w:sz w:val="20"/>
                <w:szCs w:val="20"/>
                <w:color w:val="auto"/>
              </w:rPr>
            </w:pPr>
            <w:r>
              <w:rPr>
                <w:rFonts w:ascii="Arial" w:cs="Arial" w:eastAsia="Arial" w:hAnsi="Arial"/>
                <w:sz w:val="18"/>
                <w:szCs w:val="18"/>
                <w:color w:val="auto"/>
              </w:rPr>
              <w:t>Semiconductor*</w:t>
            </w:r>
          </w:p>
        </w:tc>
        <w:tc>
          <w:tcPr>
            <w:tcW w:w="168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118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3,475</w:t>
            </w:r>
          </w:p>
        </w:tc>
        <w:tc>
          <w:tcPr>
            <w:tcW w:w="2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3,461</w:t>
            </w:r>
          </w:p>
        </w:tc>
        <w:tc>
          <w:tcPr>
            <w:tcW w:w="3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3,385</w:t>
            </w:r>
          </w:p>
        </w:tc>
        <w:tc>
          <w:tcPr>
            <w:tcW w:w="18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110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13,309</w:t>
            </w:r>
          </w:p>
        </w:tc>
        <w:tc>
          <w:tcPr>
            <w:tcW w:w="2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13,730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40" w:type="dxa"/>
            <w:vAlign w:val="bottom"/>
            <w:shd w:val="clear" w:color="auto" w:fill="CCEEFF"/>
          </w:tcPr>
          <w:p>
            <w:pPr>
              <w:spacing w:after="0"/>
              <w:rPr>
                <w:sz w:val="20"/>
                <w:szCs w:val="20"/>
                <w:color w:val="auto"/>
              </w:rPr>
            </w:pPr>
            <w:r>
              <w:rPr>
                <w:rFonts w:ascii="Arial" w:cs="Arial" w:eastAsia="Arial" w:hAnsi="Arial"/>
                <w:sz w:val="18"/>
                <w:szCs w:val="18"/>
                <w:color w:val="auto"/>
              </w:rPr>
              <w:t>Education Technology</w:t>
            </w:r>
          </w:p>
        </w:tc>
        <w:tc>
          <w:tcPr>
            <w:tcW w:w="1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81</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202</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526</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525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140" w:type="dxa"/>
            <w:vAlign w:val="bottom"/>
            <w:shd w:val="clear" w:color="auto" w:fill="CCEEFF"/>
          </w:tcPr>
          <w:p>
            <w:pPr>
              <w:spacing w:after="0"/>
              <w:rPr>
                <w:sz w:val="2"/>
                <w:szCs w:val="2"/>
                <w:color w:val="auto"/>
              </w:rPr>
            </w:pPr>
          </w:p>
        </w:tc>
        <w:tc>
          <w:tcPr>
            <w:tcW w:w="154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140" w:type="dxa"/>
            <w:vAlign w:val="bottom"/>
          </w:tcPr>
          <w:p>
            <w:pPr>
              <w:spacing w:after="0"/>
              <w:rPr>
                <w:sz w:val="20"/>
                <w:szCs w:val="20"/>
                <w:color w:val="auto"/>
              </w:rPr>
            </w:pPr>
            <w:r>
              <w:rPr>
                <w:rFonts w:ascii="Arial" w:cs="Arial" w:eastAsia="Arial" w:hAnsi="Arial"/>
                <w:sz w:val="18"/>
                <w:szCs w:val="18"/>
                <w:color w:val="auto"/>
              </w:rPr>
              <w:t>Total net revenue</w:t>
            </w:r>
          </w:p>
        </w:tc>
        <w:tc>
          <w:tcPr>
            <w:tcW w:w="154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118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3,556</w:t>
            </w:r>
          </w:p>
        </w:tc>
        <w:tc>
          <w:tcPr>
            <w:tcW w:w="2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3,663</w:t>
            </w:r>
          </w:p>
        </w:tc>
        <w:tc>
          <w:tcPr>
            <w:tcW w:w="3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3,463</w:t>
            </w:r>
          </w:p>
        </w:tc>
        <w:tc>
          <w:tcPr>
            <w:tcW w:w="18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110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13,835</w:t>
            </w:r>
          </w:p>
        </w:tc>
        <w:tc>
          <w:tcPr>
            <w:tcW w:w="2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14,255</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14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60" w:type="dxa"/>
            <w:vAlign w:val="bottom"/>
            <w:gridSpan w:val="2"/>
            <w:shd w:val="clear" w:color="auto" w:fill="CCEEFF"/>
          </w:tcPr>
          <w:p>
            <w:pPr>
              <w:spacing w:after="0"/>
              <w:rPr>
                <w:sz w:val="18"/>
                <w:szCs w:val="18"/>
                <w:color w:val="auto"/>
              </w:rPr>
            </w:pPr>
          </w:p>
        </w:tc>
        <w:tc>
          <w:tcPr>
            <w:tcW w:w="1140" w:type="dxa"/>
            <w:vAlign w:val="bottom"/>
            <w:gridSpan w:val="2"/>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684"/>
        </w:trPr>
        <w:tc>
          <w:tcPr>
            <w:tcW w:w="20" w:type="dxa"/>
            <w:vAlign w:val="bottom"/>
          </w:tcPr>
          <w:p>
            <w:pPr>
              <w:spacing w:after="0"/>
              <w:rPr>
                <w:sz w:val="24"/>
                <w:szCs w:val="24"/>
                <w:color w:val="auto"/>
              </w:rPr>
            </w:pPr>
          </w:p>
        </w:tc>
        <w:tc>
          <w:tcPr>
            <w:tcW w:w="314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560" w:type="dxa"/>
            <w:vAlign w:val="bottom"/>
            <w:gridSpan w:val="6"/>
          </w:tcPr>
          <w:p>
            <w:pPr>
              <w:jc w:val="right"/>
              <w:ind w:right="860"/>
              <w:spacing w:after="0"/>
              <w:rPr>
                <w:sz w:val="20"/>
                <w:szCs w:val="20"/>
                <w:color w:val="auto"/>
              </w:rPr>
            </w:pPr>
            <w:r>
              <w:rPr>
                <w:rFonts w:ascii="Arial" w:cs="Arial" w:eastAsia="Arial" w:hAnsi="Arial"/>
                <w:sz w:val="18"/>
                <w:szCs w:val="18"/>
                <w:b w:val="1"/>
                <w:bCs w:val="1"/>
                <w:color w:val="auto"/>
                <w:w w:val="89"/>
              </w:rPr>
              <w:t>Segment Profit (Loss)</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14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560" w:type="dxa"/>
            <w:vAlign w:val="bottom"/>
            <w:gridSpan w:val="6"/>
          </w:tcPr>
          <w:p>
            <w:pPr>
              <w:jc w:val="right"/>
              <w:ind w:right="920"/>
              <w:spacing w:after="0"/>
              <w:rPr>
                <w:sz w:val="20"/>
                <w:szCs w:val="20"/>
                <w:color w:val="auto"/>
              </w:rPr>
            </w:pPr>
            <w:r>
              <w:rPr>
                <w:rFonts w:ascii="Arial" w:cs="Arial" w:eastAsia="Arial" w:hAnsi="Arial"/>
                <w:sz w:val="18"/>
                <w:szCs w:val="18"/>
                <w:b w:val="1"/>
                <w:bCs w:val="1"/>
                <w:color w:val="auto"/>
                <w:w w:val="98"/>
              </w:rPr>
              <w:t>(Millions of dollars)</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709"/>
        </w:trPr>
        <w:tc>
          <w:tcPr>
            <w:tcW w:w="20" w:type="dxa"/>
            <w:vAlign w:val="bottom"/>
          </w:tcPr>
          <w:p>
            <w:pPr>
              <w:spacing w:after="0"/>
              <w:rPr>
                <w:sz w:val="24"/>
                <w:szCs w:val="24"/>
                <w:color w:val="auto"/>
              </w:rPr>
            </w:pPr>
          </w:p>
        </w:tc>
        <w:tc>
          <w:tcPr>
            <w:tcW w:w="314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60" w:type="dxa"/>
            <w:vAlign w:val="bottom"/>
            <w:gridSpan w:val="8"/>
          </w:tcPr>
          <w:p>
            <w:pPr>
              <w:jc w:val="right"/>
              <w:ind w:right="60"/>
              <w:spacing w:after="0"/>
              <w:rPr>
                <w:sz w:val="20"/>
                <w:szCs w:val="20"/>
                <w:color w:val="auto"/>
              </w:rPr>
            </w:pPr>
            <w:r>
              <w:rPr>
                <w:rFonts w:ascii="Arial" w:cs="Arial" w:eastAsia="Arial" w:hAnsi="Arial"/>
                <w:sz w:val="18"/>
                <w:szCs w:val="18"/>
                <w:b w:val="1"/>
                <w:bCs w:val="1"/>
                <w:color w:val="auto"/>
              </w:rPr>
              <w:t>For Three Months Ended</w:t>
            </w:r>
          </w:p>
        </w:tc>
        <w:tc>
          <w:tcPr>
            <w:tcW w:w="9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20" w:type="dxa"/>
            <w:vAlign w:val="bottom"/>
            <w:gridSpan w:val="6"/>
          </w:tcPr>
          <w:p>
            <w:pPr>
              <w:jc w:val="right"/>
              <w:ind w:right="700"/>
              <w:spacing w:after="0"/>
              <w:rPr>
                <w:sz w:val="20"/>
                <w:szCs w:val="20"/>
                <w:color w:val="auto"/>
              </w:rPr>
            </w:pPr>
            <w:r>
              <w:rPr>
                <w:rFonts w:ascii="Arial" w:cs="Arial" w:eastAsia="Arial" w:hAnsi="Arial"/>
                <w:sz w:val="18"/>
                <w:szCs w:val="18"/>
                <w:b w:val="1"/>
                <w:bCs w:val="1"/>
                <w:color w:val="auto"/>
              </w:rPr>
              <w:t>For Years Ended</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14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180" w:type="dxa"/>
            <w:vAlign w:val="bottom"/>
            <w:tcBorders>
              <w:top w:val="single" w:sz="8" w:color="auto"/>
            </w:tcBorders>
            <w:gridSpan w:val="2"/>
          </w:tcPr>
          <w:p>
            <w:pPr>
              <w:jc w:val="center"/>
              <w:ind w:right="280"/>
              <w:spacing w:after="0" w:line="198" w:lineRule="exact"/>
              <w:rPr>
                <w:sz w:val="20"/>
                <w:szCs w:val="20"/>
                <w:color w:val="auto"/>
              </w:rPr>
            </w:pPr>
            <w:r>
              <w:rPr>
                <w:rFonts w:ascii="Arial" w:cs="Arial" w:eastAsia="Arial" w:hAnsi="Arial"/>
                <w:sz w:val="18"/>
                <w:szCs w:val="18"/>
                <w:b w:val="1"/>
                <w:bCs w:val="1"/>
                <w:color w:val="auto"/>
                <w:w w:val="91"/>
              </w:rPr>
              <w:t>Dec. 31,</w:t>
            </w:r>
          </w:p>
        </w:tc>
        <w:tc>
          <w:tcPr>
            <w:tcW w:w="100" w:type="dxa"/>
            <w:vAlign w:val="bottom"/>
            <w:tcBorders>
              <w:top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gridSpan w:val="2"/>
          </w:tcPr>
          <w:p>
            <w:pPr>
              <w:jc w:val="center"/>
              <w:ind w:right="300"/>
              <w:spacing w:after="0" w:line="198" w:lineRule="exact"/>
              <w:rPr>
                <w:sz w:val="20"/>
                <w:szCs w:val="20"/>
                <w:color w:val="auto"/>
              </w:rPr>
            </w:pPr>
            <w:r>
              <w:rPr>
                <w:rFonts w:ascii="Arial" w:cs="Arial" w:eastAsia="Arial" w:hAnsi="Arial"/>
                <w:sz w:val="18"/>
                <w:szCs w:val="18"/>
                <w:b w:val="1"/>
                <w:bCs w:val="1"/>
                <w:color w:val="auto"/>
                <w:w w:val="89"/>
              </w:rPr>
              <w:t>Sept. 30,</w:t>
            </w:r>
          </w:p>
        </w:tc>
        <w:tc>
          <w:tcPr>
            <w:tcW w:w="8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jc w:val="center"/>
              <w:ind w:right="150"/>
              <w:spacing w:after="0" w:line="198" w:lineRule="exact"/>
              <w:rPr>
                <w:sz w:val="20"/>
                <w:szCs w:val="20"/>
                <w:color w:val="auto"/>
              </w:rPr>
            </w:pPr>
            <w:r>
              <w:rPr>
                <w:rFonts w:ascii="Arial" w:cs="Arial" w:eastAsia="Arial" w:hAnsi="Arial"/>
                <w:sz w:val="18"/>
                <w:szCs w:val="18"/>
                <w:b w:val="1"/>
                <w:bCs w:val="1"/>
                <w:color w:val="auto"/>
                <w:w w:val="88"/>
              </w:rPr>
              <w:t>Dec. 31,</w:t>
            </w:r>
          </w:p>
        </w:tc>
        <w:tc>
          <w:tcPr>
            <w:tcW w:w="20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gridSpan w:val="2"/>
          </w:tcPr>
          <w:p>
            <w:pPr>
              <w:jc w:val="center"/>
              <w:ind w:right="300"/>
              <w:spacing w:after="0" w:line="198" w:lineRule="exact"/>
              <w:rPr>
                <w:sz w:val="20"/>
                <w:szCs w:val="20"/>
                <w:color w:val="auto"/>
              </w:rPr>
            </w:pPr>
            <w:r>
              <w:rPr>
                <w:rFonts w:ascii="Arial" w:cs="Arial" w:eastAsia="Arial" w:hAnsi="Arial"/>
                <w:sz w:val="18"/>
                <w:szCs w:val="18"/>
                <w:b w:val="1"/>
                <w:bCs w:val="1"/>
                <w:color w:val="auto"/>
                <w:w w:val="88"/>
              </w:rPr>
              <w:t>Dec. 31,</w:t>
            </w:r>
          </w:p>
        </w:tc>
        <w:tc>
          <w:tcPr>
            <w:tcW w:w="80" w:type="dxa"/>
            <w:vAlign w:val="bottom"/>
            <w:tcBorders>
              <w:top w:val="single" w:sz="8" w:color="auto"/>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jc w:val="center"/>
              <w:ind w:right="110"/>
              <w:spacing w:after="0" w:line="198" w:lineRule="exact"/>
              <w:rPr>
                <w:sz w:val="20"/>
                <w:szCs w:val="20"/>
                <w:color w:val="auto"/>
              </w:rPr>
            </w:pPr>
            <w:r>
              <w:rPr>
                <w:rFonts w:ascii="Arial" w:cs="Arial" w:eastAsia="Arial" w:hAnsi="Arial"/>
                <w:sz w:val="18"/>
                <w:szCs w:val="18"/>
                <w:b w:val="1"/>
                <w:bCs w:val="1"/>
                <w:color w:val="auto"/>
                <w:w w:val="88"/>
              </w:rPr>
              <w:t>Dec. 31,</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314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89"/>
              </w:rPr>
              <w:t>2007</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b w:val="1"/>
                <w:bCs w:val="1"/>
                <w:color w:val="auto"/>
                <w:w w:val="89"/>
              </w:rPr>
              <w:t>2007</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center"/>
              <w:ind w:right="150"/>
              <w:spacing w:after="0"/>
              <w:rPr>
                <w:sz w:val="20"/>
                <w:szCs w:val="20"/>
                <w:color w:val="auto"/>
              </w:rPr>
            </w:pPr>
            <w:r>
              <w:rPr>
                <w:rFonts w:ascii="Arial" w:cs="Arial" w:eastAsia="Arial" w:hAnsi="Arial"/>
                <w:sz w:val="18"/>
                <w:szCs w:val="18"/>
                <w:b w:val="1"/>
                <w:bCs w:val="1"/>
                <w:color w:val="auto"/>
                <w:w w:val="89"/>
              </w:rPr>
              <w:t>2006</w:t>
            </w:r>
          </w:p>
        </w:tc>
        <w:tc>
          <w:tcPr>
            <w:tcW w:w="2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b w:val="1"/>
                <w:bCs w:val="1"/>
                <w:color w:val="auto"/>
                <w:w w:val="89"/>
              </w:rPr>
              <w:t>2007</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center"/>
              <w:ind w:right="110"/>
              <w:spacing w:after="0"/>
              <w:rPr>
                <w:sz w:val="20"/>
                <w:szCs w:val="20"/>
                <w:color w:val="auto"/>
              </w:rPr>
            </w:pPr>
            <w:r>
              <w:rPr>
                <w:rFonts w:ascii="Arial" w:cs="Arial" w:eastAsia="Arial" w:hAnsi="Arial"/>
                <w:sz w:val="18"/>
                <w:szCs w:val="18"/>
                <w:b w:val="1"/>
                <w:bCs w:val="1"/>
                <w:color w:val="auto"/>
                <w:w w:val="89"/>
              </w:rPr>
              <w:t>2006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14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spacing w:after="0"/>
              <w:rPr>
                <w:sz w:val="18"/>
                <w:szCs w:val="18"/>
                <w:color w:val="auto"/>
              </w:rPr>
            </w:pPr>
          </w:p>
        </w:tc>
        <w:tc>
          <w:tcPr>
            <w:tcW w:w="1180" w:type="dxa"/>
            <w:vAlign w:val="bottom"/>
            <w:gridSpan w:val="2"/>
            <w:shd w:val="clear" w:color="auto" w:fill="CCEEFF"/>
          </w:tcPr>
          <w:p>
            <w:pPr>
              <w:spacing w:after="0"/>
              <w:rPr>
                <w:sz w:val="18"/>
                <w:szCs w:val="18"/>
                <w:color w:val="auto"/>
              </w:rPr>
            </w:pPr>
          </w:p>
        </w:tc>
        <w:tc>
          <w:tcPr>
            <w:tcW w:w="260" w:type="dxa"/>
            <w:vAlign w:val="bottom"/>
            <w:gridSpan w:val="2"/>
            <w:shd w:val="clear" w:color="auto" w:fill="CCEEFF"/>
          </w:tcPr>
          <w:p>
            <w:pPr>
              <w:spacing w:after="0"/>
              <w:rPr>
                <w:sz w:val="18"/>
                <w:szCs w:val="18"/>
                <w:color w:val="auto"/>
              </w:rPr>
            </w:pPr>
          </w:p>
        </w:tc>
        <w:tc>
          <w:tcPr>
            <w:tcW w:w="1120" w:type="dxa"/>
            <w:vAlign w:val="bottom"/>
            <w:gridSpan w:val="2"/>
            <w:shd w:val="clear" w:color="auto" w:fill="CCEEFF"/>
          </w:tcPr>
          <w:p>
            <w:pPr>
              <w:spacing w:after="0"/>
              <w:rPr>
                <w:sz w:val="18"/>
                <w:szCs w:val="18"/>
                <w:color w:val="auto"/>
              </w:rPr>
            </w:pPr>
          </w:p>
        </w:tc>
        <w:tc>
          <w:tcPr>
            <w:tcW w:w="300" w:type="dxa"/>
            <w:vAlign w:val="bottom"/>
            <w:gridSpan w:val="2"/>
            <w:shd w:val="clear" w:color="auto" w:fill="CCEEFF"/>
          </w:tcPr>
          <w:p>
            <w:pPr>
              <w:spacing w:after="0"/>
              <w:rPr>
                <w:sz w:val="18"/>
                <w:szCs w:val="18"/>
                <w:color w:val="auto"/>
              </w:rPr>
            </w:pPr>
          </w:p>
        </w:tc>
        <w:tc>
          <w:tcPr>
            <w:tcW w:w="1120" w:type="dxa"/>
            <w:vAlign w:val="bottom"/>
            <w:gridSpan w:val="2"/>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spacing w:after="0"/>
              <w:rPr>
                <w:sz w:val="18"/>
                <w:szCs w:val="18"/>
                <w:color w:val="auto"/>
              </w:rPr>
            </w:pPr>
          </w:p>
        </w:tc>
        <w:tc>
          <w:tcPr>
            <w:tcW w:w="260" w:type="dxa"/>
            <w:vAlign w:val="bottom"/>
            <w:gridSpan w:val="2"/>
            <w:shd w:val="clear" w:color="auto" w:fill="CCEEFF"/>
          </w:tcPr>
          <w:p>
            <w:pPr>
              <w:spacing w:after="0"/>
              <w:rPr>
                <w:sz w:val="18"/>
                <w:szCs w:val="18"/>
                <w:color w:val="auto"/>
              </w:rPr>
            </w:pPr>
          </w:p>
        </w:tc>
        <w:tc>
          <w:tcPr>
            <w:tcW w:w="106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140" w:type="dxa"/>
            <w:vAlign w:val="bottom"/>
          </w:tcPr>
          <w:p>
            <w:pPr>
              <w:spacing w:after="0"/>
              <w:rPr>
                <w:sz w:val="20"/>
                <w:szCs w:val="20"/>
                <w:color w:val="auto"/>
              </w:rPr>
            </w:pPr>
            <w:r>
              <w:rPr>
                <w:rFonts w:ascii="Arial" w:cs="Arial" w:eastAsia="Arial" w:hAnsi="Arial"/>
                <w:sz w:val="18"/>
                <w:szCs w:val="18"/>
                <w:color w:val="auto"/>
              </w:rPr>
              <w:t>Semiconductor*</w:t>
            </w:r>
          </w:p>
        </w:tc>
        <w:tc>
          <w:tcPr>
            <w:tcW w:w="168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118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1,117</w:t>
            </w:r>
          </w:p>
        </w:tc>
        <w:tc>
          <w:tcPr>
            <w:tcW w:w="2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1,031</w:t>
            </w:r>
          </w:p>
        </w:tc>
        <w:tc>
          <w:tcPr>
            <w:tcW w:w="3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908</w:t>
            </w:r>
          </w:p>
        </w:tc>
        <w:tc>
          <w:tcPr>
            <w:tcW w:w="18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110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3,883</w:t>
            </w:r>
          </w:p>
        </w:tc>
        <w:tc>
          <w:tcPr>
            <w:tcW w:w="2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3,831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40" w:type="dxa"/>
            <w:vAlign w:val="bottom"/>
            <w:shd w:val="clear" w:color="auto" w:fill="CCEEFF"/>
          </w:tcPr>
          <w:p>
            <w:pPr>
              <w:spacing w:after="0"/>
              <w:rPr>
                <w:sz w:val="20"/>
                <w:szCs w:val="20"/>
                <w:color w:val="auto"/>
              </w:rPr>
            </w:pPr>
            <w:r>
              <w:rPr>
                <w:rFonts w:ascii="Arial" w:cs="Arial" w:eastAsia="Arial" w:hAnsi="Arial"/>
                <w:sz w:val="18"/>
                <w:szCs w:val="18"/>
                <w:color w:val="auto"/>
              </w:rPr>
              <w:t>Education Technology</w:t>
            </w:r>
          </w:p>
        </w:tc>
        <w:tc>
          <w:tcPr>
            <w:tcW w:w="1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19</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99</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208</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40" w:type="dxa"/>
            <w:vAlign w:val="bottom"/>
          </w:tcPr>
          <w:p>
            <w:pPr>
              <w:spacing w:after="0"/>
              <w:rPr>
                <w:sz w:val="20"/>
                <w:szCs w:val="20"/>
                <w:color w:val="auto"/>
              </w:rPr>
            </w:pPr>
            <w:r>
              <w:rPr>
                <w:rFonts w:ascii="Arial" w:cs="Arial" w:eastAsia="Arial" w:hAnsi="Arial"/>
                <w:sz w:val="18"/>
                <w:szCs w:val="18"/>
                <w:color w:val="auto"/>
              </w:rPr>
              <w:t>Corporate**</w:t>
            </w:r>
          </w:p>
        </w:tc>
        <w:tc>
          <w:tcPr>
            <w:tcW w:w="1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(140)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(117)</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(160)</w:t>
            </w:r>
          </w:p>
        </w:tc>
        <w:tc>
          <w:tcPr>
            <w:tcW w:w="180" w:type="dxa"/>
            <w:vAlign w:val="bottom"/>
          </w:tcPr>
          <w:p>
            <w:pPr>
              <w:spacing w:after="0"/>
              <w:rPr>
                <w:sz w:val="18"/>
                <w:szCs w:val="18"/>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(594)</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(664)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14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vMerge w:val="continue"/>
          </w:tcPr>
          <w:p>
            <w:pPr>
              <w:spacing w:after="0"/>
              <w:rPr>
                <w:sz w:val="20"/>
                <w:szCs w:val="20"/>
                <w:color w:val="auto"/>
              </w:rPr>
            </w:pPr>
          </w:p>
        </w:tc>
        <w:tc>
          <w:tcPr>
            <w:tcW w:w="3140" w:type="dxa"/>
            <w:vAlign w:val="bottom"/>
            <w:shd w:val="clear" w:color="auto" w:fill="CCEEFF"/>
          </w:tcPr>
          <w:p>
            <w:pPr>
              <w:spacing w:after="0"/>
              <w:rPr>
                <w:sz w:val="20"/>
                <w:szCs w:val="20"/>
                <w:color w:val="auto"/>
              </w:rPr>
            </w:pPr>
            <w:r>
              <w:rPr>
                <w:rFonts w:ascii="Arial" w:cs="Arial" w:eastAsia="Arial" w:hAnsi="Arial"/>
                <w:sz w:val="18"/>
                <w:szCs w:val="18"/>
                <w:color w:val="auto"/>
              </w:rPr>
              <w:t>Profit from operations</w:t>
            </w:r>
          </w:p>
        </w:tc>
        <w:tc>
          <w:tcPr>
            <w:tcW w:w="154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996</w:t>
            </w:r>
          </w:p>
        </w:tc>
        <w:tc>
          <w:tcPr>
            <w:tcW w:w="2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1,013</w:t>
            </w:r>
          </w:p>
        </w:tc>
        <w:tc>
          <w:tcPr>
            <w:tcW w:w="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767</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3,497</w:t>
            </w:r>
          </w:p>
        </w:tc>
        <w:tc>
          <w:tcPr>
            <w:tcW w:w="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3,367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140" w:type="dxa"/>
            <w:vAlign w:val="bottom"/>
            <w:tcBorders>
              <w:top w:val="single" w:sz="8" w:color="CCEEFF"/>
            </w:tcBorders>
            <w:shd w:val="clear" w:color="auto" w:fill="CCEEFF"/>
          </w:tcPr>
          <w:p>
            <w:pPr>
              <w:spacing w:after="0" w:line="20" w:lineRule="exact"/>
              <w:rPr>
                <w:sz w:val="1"/>
                <w:szCs w:val="1"/>
                <w:color w:val="auto"/>
              </w:rPr>
            </w:pPr>
          </w:p>
        </w:tc>
        <w:tc>
          <w:tcPr>
            <w:tcW w:w="15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360" w:hanging="352"/>
        <w:spacing w:after="0"/>
        <w:tabs>
          <w:tab w:leader="none" w:pos="360" w:val="left"/>
        </w:tabs>
        <w:numPr>
          <w:ilvl w:val="0"/>
          <w:numId w:val="8"/>
        </w:numPr>
        <w:rPr>
          <w:rFonts w:ascii="Arial" w:cs="Arial" w:eastAsia="Arial" w:hAnsi="Arial"/>
          <w:sz w:val="18"/>
          <w:szCs w:val="18"/>
          <w:color w:val="auto"/>
        </w:rPr>
      </w:pPr>
      <w:r>
        <w:rPr>
          <w:rFonts w:ascii="Arial" w:cs="Arial" w:eastAsia="Arial" w:hAnsi="Arial"/>
          <w:sz w:val="18"/>
          <w:szCs w:val="18"/>
          <w:color w:val="auto"/>
        </w:rPr>
        <w:t>Semiconductor revenue for the year ended December 31, 2006 includes a $70 million benefit from a royalty settlement in the second</w:t>
      </w:r>
    </w:p>
    <w:p>
      <w:pPr>
        <w:spacing w:after="0" w:line="23" w:lineRule="exact"/>
        <w:rPr>
          <w:sz w:val="20"/>
          <w:szCs w:val="20"/>
          <w:color w:val="auto"/>
        </w:rPr>
      </w:pPr>
    </w:p>
    <w:p>
      <w:pPr>
        <w:ind w:left="340" w:right="240"/>
        <w:spacing w:after="0" w:line="253" w:lineRule="auto"/>
        <w:rPr>
          <w:sz w:val="20"/>
          <w:szCs w:val="20"/>
          <w:color w:val="auto"/>
        </w:rPr>
      </w:pPr>
      <w:r>
        <w:rPr>
          <w:rFonts w:ascii="Arial" w:cs="Arial" w:eastAsia="Arial" w:hAnsi="Arial"/>
          <w:sz w:val="18"/>
          <w:szCs w:val="18"/>
          <w:color w:val="auto"/>
        </w:rPr>
        <w:t>quarter. Semiconductor profit from operations includes a benefit of $60 million from the royalty settlement. Semiconductor profit from operations also includes a benefit in the second quarter of 2006 of $57 million from a $77 million net sales tax refund that was due to the settlement of an audit of Texas sales taxes paid on various purchases over a nine-year period. The $57 million effect on profit from operations is reflected as $31 million in cost of revenue, $21 million in R&amp;D and $5 million in SG&amp;A. The remaining $20 million of the net sales tax refund is reflected in Other income (expense) net.</w:t>
      </w:r>
    </w:p>
    <w:p>
      <w:pPr>
        <w:spacing w:after="0" w:line="191" w:lineRule="exact"/>
        <w:rPr>
          <w:sz w:val="20"/>
          <w:szCs w:val="20"/>
          <w:color w:val="auto"/>
        </w:rPr>
      </w:pPr>
    </w:p>
    <w:p>
      <w:pPr>
        <w:ind w:left="340" w:right="400" w:hanging="332"/>
        <w:spacing w:after="0" w:line="277" w:lineRule="auto"/>
        <w:tabs>
          <w:tab w:leader="none" w:pos="331" w:val="left"/>
        </w:tabs>
        <w:numPr>
          <w:ilvl w:val="0"/>
          <w:numId w:val="9"/>
        </w:numPr>
        <w:rPr>
          <w:rFonts w:ascii="Arial" w:cs="Arial" w:eastAsia="Arial" w:hAnsi="Arial"/>
          <w:sz w:val="18"/>
          <w:szCs w:val="18"/>
          <w:color w:val="auto"/>
        </w:rPr>
      </w:pPr>
      <w:r>
        <w:rPr>
          <w:rFonts w:ascii="Arial" w:cs="Arial" w:eastAsia="Arial" w:hAnsi="Arial"/>
          <w:sz w:val="18"/>
          <w:szCs w:val="18"/>
          <w:color w:val="auto"/>
        </w:rPr>
        <w:t>Corporate includes a gain on the sale of an asset of $39 million in the third quarter of 2007 in cost of revenue. Corporate also includes the following stock-based compensation expense:</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140" w:type="dxa"/>
            <w:vAlign w:val="bottom"/>
            <w:shd w:val="clear" w:color="auto" w:fill="CCEEFF"/>
          </w:tcPr>
          <w:p>
            <w:pPr>
              <w:spacing w:after="0"/>
              <w:rPr>
                <w:sz w:val="20"/>
                <w:szCs w:val="20"/>
                <w:color w:val="auto"/>
              </w:rPr>
            </w:pPr>
            <w:r>
              <w:rPr>
                <w:rFonts w:ascii="Arial" w:cs="Arial" w:eastAsia="Arial" w:hAnsi="Arial"/>
                <w:sz w:val="18"/>
                <w:szCs w:val="18"/>
                <w:color w:val="auto"/>
              </w:rPr>
              <w:t>COR</w:t>
            </w:r>
          </w:p>
        </w:tc>
        <w:tc>
          <w:tcPr>
            <w:tcW w:w="2080" w:type="dxa"/>
            <w:vAlign w:val="bottom"/>
            <w:gridSpan w:val="2"/>
            <w:shd w:val="clear" w:color="auto" w:fill="CCEEFF"/>
          </w:tcPr>
          <w:p>
            <w:pPr>
              <w:jc w:val="right"/>
              <w:ind w:right="350"/>
              <w:spacing w:after="0"/>
              <w:rPr>
                <w:sz w:val="20"/>
                <w:szCs w:val="20"/>
                <w:color w:val="auto"/>
              </w:rPr>
            </w:pPr>
            <w:r>
              <w:rPr>
                <w:rFonts w:ascii="Arial" w:cs="Arial" w:eastAsia="Arial" w:hAnsi="Arial"/>
                <w:sz w:val="18"/>
                <w:szCs w:val="18"/>
                <w:b w:val="1"/>
                <w:bCs w:val="1"/>
                <w:color w:val="auto"/>
              </w:rPr>
              <w:t>$</w:t>
            </w: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13</w:t>
            </w:r>
          </w:p>
        </w:tc>
        <w:tc>
          <w:tcPr>
            <w:tcW w:w="6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w:t>
            </w:r>
          </w:p>
        </w:tc>
        <w:tc>
          <w:tcPr>
            <w:tcW w:w="6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6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b w:val="1"/>
                <w:bCs w:val="1"/>
                <w:color w:val="auto"/>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53</w:t>
            </w:r>
          </w:p>
        </w:tc>
        <w:tc>
          <w:tcPr>
            <w:tcW w:w="6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40" w:type="dxa"/>
            <w:vAlign w:val="bottom"/>
          </w:tcPr>
          <w:p>
            <w:pPr>
              <w:spacing w:after="0"/>
              <w:rPr>
                <w:sz w:val="20"/>
                <w:szCs w:val="20"/>
                <w:color w:val="auto"/>
              </w:rPr>
            </w:pPr>
            <w:r>
              <w:rPr>
                <w:rFonts w:ascii="Arial" w:cs="Arial" w:eastAsia="Arial" w:hAnsi="Arial"/>
                <w:sz w:val="18"/>
                <w:szCs w:val="18"/>
                <w:color w:val="auto"/>
              </w:rPr>
              <w:t>R&amp;D</w:t>
            </w:r>
          </w:p>
        </w:tc>
        <w:tc>
          <w:tcPr>
            <w:tcW w:w="15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20</w:t>
            </w: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20</w:t>
            </w: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24</w:t>
            </w:r>
          </w:p>
        </w:tc>
        <w:tc>
          <w:tcPr>
            <w:tcW w:w="2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83</w:t>
            </w: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101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40" w:type="dxa"/>
            <w:vAlign w:val="bottom"/>
            <w:shd w:val="clear" w:color="auto" w:fill="CCEEFF"/>
          </w:tcPr>
          <w:p>
            <w:pPr>
              <w:spacing w:after="0"/>
              <w:rPr>
                <w:sz w:val="20"/>
                <w:szCs w:val="20"/>
                <w:color w:val="auto"/>
              </w:rPr>
            </w:pPr>
            <w:r>
              <w:rPr>
                <w:rFonts w:ascii="Arial" w:cs="Arial" w:eastAsia="Arial" w:hAnsi="Arial"/>
                <w:sz w:val="18"/>
                <w:szCs w:val="18"/>
                <w:color w:val="auto"/>
              </w:rPr>
              <w:t>SG&amp;A</w:t>
            </w:r>
          </w:p>
        </w:tc>
        <w:tc>
          <w:tcPr>
            <w:tcW w:w="15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34</w:t>
            </w: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w:t>
            </w: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2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144</w:t>
            </w: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140" w:type="dxa"/>
            <w:vAlign w:val="bottom"/>
            <w:shd w:val="clear" w:color="auto" w:fill="CCEEFF"/>
          </w:tcPr>
          <w:p>
            <w:pPr>
              <w:spacing w:after="0"/>
              <w:rPr>
                <w:sz w:val="2"/>
                <w:szCs w:val="2"/>
                <w:color w:val="auto"/>
              </w:rPr>
            </w:pPr>
          </w:p>
        </w:tc>
        <w:tc>
          <w:tcPr>
            <w:tcW w:w="1540" w:type="dxa"/>
            <w:vAlign w:val="bottom"/>
            <w:shd w:val="clear" w:color="auto" w:fill="CCEEFF"/>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140" w:type="dxa"/>
            <w:vAlign w:val="bottom"/>
          </w:tcPr>
          <w:p>
            <w:pPr>
              <w:spacing w:after="0"/>
              <w:rPr>
                <w:sz w:val="20"/>
                <w:szCs w:val="20"/>
                <w:color w:val="auto"/>
              </w:rPr>
            </w:pPr>
            <w:r>
              <w:rPr>
                <w:rFonts w:ascii="Arial" w:cs="Arial" w:eastAsia="Arial" w:hAnsi="Arial"/>
                <w:sz w:val="18"/>
                <w:szCs w:val="18"/>
                <w:color w:val="auto"/>
              </w:rPr>
              <w:t>Profit from operations</w:t>
            </w:r>
          </w:p>
        </w:tc>
        <w:tc>
          <w:tcPr>
            <w:tcW w:w="1540" w:type="dxa"/>
            <w:vAlign w:val="bottom"/>
          </w:tcPr>
          <w:p>
            <w:pPr>
              <w:spacing w:after="0"/>
              <w:rPr>
                <w:sz w:val="18"/>
                <w:szCs w:val="18"/>
                <w:color w:val="auto"/>
              </w:rPr>
            </w:pPr>
          </w:p>
        </w:tc>
        <w:tc>
          <w:tcPr>
            <w:tcW w:w="540" w:type="dxa"/>
            <w:vAlign w:val="bottom"/>
          </w:tcPr>
          <w:p>
            <w:pPr>
              <w:jc w:val="right"/>
              <w:ind w:right="350"/>
              <w:spacing w:after="0"/>
              <w:rPr>
                <w:sz w:val="20"/>
                <w:szCs w:val="20"/>
                <w:color w:val="auto"/>
              </w:rPr>
            </w:pPr>
            <w:r>
              <w:rPr>
                <w:rFonts w:ascii="Arial" w:cs="Arial" w:eastAsia="Arial" w:hAnsi="Arial"/>
                <w:sz w:val="18"/>
                <w:szCs w:val="18"/>
                <w:b w:val="1"/>
                <w:bCs w:val="1"/>
                <w:color w:val="auto"/>
                <w:w w:val="79"/>
              </w:rPr>
              <w:t>$</w:t>
            </w:r>
          </w:p>
        </w:tc>
        <w:tc>
          <w:tcPr>
            <w:tcW w:w="76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67</w:t>
            </w:r>
          </w:p>
        </w:tc>
        <w:tc>
          <w:tcPr>
            <w:tcW w:w="64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66</w:t>
            </w:r>
          </w:p>
        </w:tc>
        <w:tc>
          <w:tcPr>
            <w:tcW w:w="64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78</w:t>
            </w:r>
          </w:p>
        </w:tc>
        <w:tc>
          <w:tcPr>
            <w:tcW w:w="68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rPr>
              <w:t>$</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280</w:t>
            </w:r>
          </w:p>
        </w:tc>
        <w:tc>
          <w:tcPr>
            <w:tcW w:w="60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332</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14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64"/>
        </w:trPr>
        <w:tc>
          <w:tcPr>
            <w:tcW w:w="20" w:type="dxa"/>
            <w:vAlign w:val="bottom"/>
          </w:tcPr>
          <w:p>
            <w:pPr>
              <w:spacing w:after="0"/>
              <w:rPr>
                <w:sz w:val="24"/>
                <w:szCs w:val="24"/>
                <w:color w:val="auto"/>
              </w:rPr>
            </w:pPr>
          </w:p>
        </w:tc>
        <w:tc>
          <w:tcPr>
            <w:tcW w:w="3140" w:type="dxa"/>
            <w:vAlign w:val="bottom"/>
            <w:tcBorders>
              <w:bottom w:val="single" w:sz="8" w:color="808080"/>
            </w:tcBorders>
          </w:tcPr>
          <w:p>
            <w:pPr>
              <w:spacing w:after="0"/>
              <w:rPr>
                <w:sz w:val="24"/>
                <w:szCs w:val="24"/>
                <w:color w:val="auto"/>
              </w:rPr>
            </w:pPr>
          </w:p>
        </w:tc>
        <w:tc>
          <w:tcPr>
            <w:tcW w:w="1540" w:type="dxa"/>
            <w:vAlign w:val="bottom"/>
            <w:tcBorders>
              <w:bottom w:val="single" w:sz="8" w:color="808080"/>
            </w:tcBorders>
          </w:tcPr>
          <w:p>
            <w:pPr>
              <w:spacing w:after="0"/>
              <w:rPr>
                <w:sz w:val="24"/>
                <w:szCs w:val="24"/>
                <w:color w:val="auto"/>
              </w:rPr>
            </w:pPr>
          </w:p>
        </w:tc>
        <w:tc>
          <w:tcPr>
            <w:tcW w:w="540" w:type="dxa"/>
            <w:vAlign w:val="bottom"/>
            <w:tcBorders>
              <w:bottom w:val="single" w:sz="8" w:color="808080"/>
            </w:tcBorders>
          </w:tcPr>
          <w:p>
            <w:pPr>
              <w:spacing w:after="0"/>
              <w:rPr>
                <w:sz w:val="24"/>
                <w:szCs w:val="24"/>
                <w:color w:val="auto"/>
              </w:rPr>
            </w:pPr>
          </w:p>
        </w:tc>
        <w:tc>
          <w:tcPr>
            <w:tcW w:w="620" w:type="dxa"/>
            <w:vAlign w:val="bottom"/>
            <w:tcBorders>
              <w:bottom w:val="single" w:sz="8" w:color="808080"/>
            </w:tcBorders>
          </w:tcPr>
          <w:p>
            <w:pPr>
              <w:spacing w:after="0"/>
              <w:rPr>
                <w:sz w:val="24"/>
                <w:szCs w:val="24"/>
                <w:color w:val="auto"/>
              </w:rPr>
            </w:pPr>
          </w:p>
        </w:tc>
        <w:tc>
          <w:tcPr>
            <w:tcW w:w="140" w:type="dxa"/>
            <w:vAlign w:val="bottom"/>
            <w:tcBorders>
              <w:bottom w:val="single" w:sz="8" w:color="808080"/>
            </w:tcBorders>
          </w:tcPr>
          <w:p>
            <w:pPr>
              <w:spacing w:after="0"/>
              <w:rPr>
                <w:sz w:val="24"/>
                <w:szCs w:val="24"/>
                <w:color w:val="auto"/>
              </w:rPr>
            </w:pPr>
          </w:p>
        </w:tc>
        <w:tc>
          <w:tcPr>
            <w:tcW w:w="120" w:type="dxa"/>
            <w:vAlign w:val="bottom"/>
            <w:tcBorders>
              <w:bottom w:val="single" w:sz="8" w:color="808080"/>
            </w:tcBorders>
          </w:tcPr>
          <w:p>
            <w:pPr>
              <w:spacing w:after="0"/>
              <w:rPr>
                <w:sz w:val="24"/>
                <w:szCs w:val="24"/>
                <w:color w:val="auto"/>
              </w:rPr>
            </w:pPr>
          </w:p>
        </w:tc>
        <w:tc>
          <w:tcPr>
            <w:tcW w:w="520" w:type="dxa"/>
            <w:vAlign w:val="bottom"/>
            <w:tcBorders>
              <w:bottom w:val="single" w:sz="8" w:color="808080"/>
            </w:tcBorders>
          </w:tcPr>
          <w:p>
            <w:pPr>
              <w:spacing w:after="0"/>
              <w:rPr>
                <w:sz w:val="24"/>
                <w:szCs w:val="24"/>
                <w:color w:val="auto"/>
              </w:rPr>
            </w:pPr>
          </w:p>
        </w:tc>
        <w:tc>
          <w:tcPr>
            <w:tcW w:w="620" w:type="dxa"/>
            <w:vAlign w:val="bottom"/>
            <w:tcBorders>
              <w:bottom w:val="single" w:sz="8" w:color="808080"/>
            </w:tcBorders>
          </w:tcPr>
          <w:p>
            <w:pPr>
              <w:spacing w:after="0"/>
              <w:rPr>
                <w:sz w:val="24"/>
                <w:szCs w:val="24"/>
                <w:color w:val="auto"/>
              </w:rPr>
            </w:pPr>
          </w:p>
        </w:tc>
        <w:tc>
          <w:tcPr>
            <w:tcW w:w="100" w:type="dxa"/>
            <w:vAlign w:val="bottom"/>
            <w:tcBorders>
              <w:bottom w:val="single" w:sz="8" w:color="808080"/>
            </w:tcBorders>
          </w:tcPr>
          <w:p>
            <w:pPr>
              <w:spacing w:after="0"/>
              <w:rPr>
                <w:sz w:val="24"/>
                <w:szCs w:val="24"/>
                <w:color w:val="auto"/>
              </w:rPr>
            </w:pPr>
          </w:p>
        </w:tc>
        <w:tc>
          <w:tcPr>
            <w:tcW w:w="120" w:type="dxa"/>
            <w:vAlign w:val="bottom"/>
            <w:tcBorders>
              <w:bottom w:val="single" w:sz="8" w:color="808080"/>
            </w:tcBorders>
          </w:tcPr>
          <w:p>
            <w:pPr>
              <w:spacing w:after="0"/>
              <w:rPr>
                <w:sz w:val="24"/>
                <w:szCs w:val="24"/>
                <w:color w:val="auto"/>
              </w:rPr>
            </w:pPr>
          </w:p>
        </w:tc>
        <w:tc>
          <w:tcPr>
            <w:tcW w:w="520" w:type="dxa"/>
            <w:vAlign w:val="bottom"/>
            <w:tcBorders>
              <w:bottom w:val="single" w:sz="8" w:color="808080"/>
            </w:tcBorders>
          </w:tcPr>
          <w:p>
            <w:pPr>
              <w:spacing w:after="0"/>
              <w:rPr>
                <w:sz w:val="24"/>
                <w:szCs w:val="24"/>
                <w:color w:val="auto"/>
              </w:rPr>
            </w:pPr>
          </w:p>
        </w:tc>
        <w:tc>
          <w:tcPr>
            <w:tcW w:w="620" w:type="dxa"/>
            <w:vAlign w:val="bottom"/>
            <w:tcBorders>
              <w:bottom w:val="single" w:sz="8" w:color="808080"/>
            </w:tcBorders>
          </w:tcPr>
          <w:p>
            <w:pPr>
              <w:spacing w:after="0"/>
              <w:rPr>
                <w:sz w:val="24"/>
                <w:szCs w:val="24"/>
                <w:color w:val="auto"/>
              </w:rPr>
            </w:pPr>
          </w:p>
        </w:tc>
        <w:tc>
          <w:tcPr>
            <w:tcW w:w="200" w:type="dxa"/>
            <w:vAlign w:val="bottom"/>
            <w:tcBorders>
              <w:bottom w:val="single" w:sz="8" w:color="808080"/>
            </w:tcBorders>
          </w:tcPr>
          <w:p>
            <w:pPr>
              <w:spacing w:after="0"/>
              <w:rPr>
                <w:sz w:val="24"/>
                <w:szCs w:val="24"/>
                <w:color w:val="auto"/>
              </w:rPr>
            </w:pPr>
          </w:p>
        </w:tc>
        <w:tc>
          <w:tcPr>
            <w:tcW w:w="480" w:type="dxa"/>
            <w:vAlign w:val="bottom"/>
            <w:tcBorders>
              <w:bottom w:val="single" w:sz="8" w:color="808080"/>
            </w:tcBorders>
          </w:tcPr>
          <w:p>
            <w:pPr>
              <w:spacing w:after="0"/>
              <w:rPr>
                <w:sz w:val="24"/>
                <w:szCs w:val="24"/>
                <w:color w:val="auto"/>
              </w:rPr>
            </w:pPr>
          </w:p>
        </w:tc>
        <w:tc>
          <w:tcPr>
            <w:tcW w:w="660" w:type="dxa"/>
            <w:vAlign w:val="bottom"/>
            <w:tcBorders>
              <w:bottom w:val="single" w:sz="8" w:color="808080"/>
            </w:tcBorders>
          </w:tcPr>
          <w:p>
            <w:pPr>
              <w:spacing w:after="0"/>
              <w:rPr>
                <w:sz w:val="24"/>
                <w:szCs w:val="24"/>
                <w:color w:val="auto"/>
              </w:rPr>
            </w:pPr>
          </w:p>
        </w:tc>
        <w:tc>
          <w:tcPr>
            <w:tcW w:w="100" w:type="dxa"/>
            <w:vAlign w:val="bottom"/>
            <w:tcBorders>
              <w:bottom w:val="single" w:sz="8" w:color="808080"/>
            </w:tcBorders>
          </w:tcPr>
          <w:p>
            <w:pPr>
              <w:spacing w:after="0"/>
              <w:rPr>
                <w:sz w:val="24"/>
                <w:szCs w:val="24"/>
                <w:color w:val="auto"/>
              </w:rPr>
            </w:pPr>
          </w:p>
        </w:tc>
        <w:tc>
          <w:tcPr>
            <w:tcW w:w="120" w:type="dxa"/>
            <w:vAlign w:val="bottom"/>
            <w:tcBorders>
              <w:bottom w:val="single" w:sz="8" w:color="808080"/>
            </w:tcBorders>
          </w:tcPr>
          <w:p>
            <w:pPr>
              <w:spacing w:after="0"/>
              <w:rPr>
                <w:sz w:val="24"/>
                <w:szCs w:val="24"/>
                <w:color w:val="auto"/>
              </w:rPr>
            </w:pPr>
          </w:p>
        </w:tc>
        <w:tc>
          <w:tcPr>
            <w:tcW w:w="480" w:type="dxa"/>
            <w:vAlign w:val="bottom"/>
            <w:tcBorders>
              <w:bottom w:val="single" w:sz="8" w:color="808080"/>
            </w:tcBorders>
          </w:tcPr>
          <w:p>
            <w:pPr>
              <w:spacing w:after="0"/>
              <w:rPr>
                <w:sz w:val="24"/>
                <w:szCs w:val="24"/>
                <w:color w:val="auto"/>
              </w:rPr>
            </w:pPr>
          </w:p>
        </w:tc>
        <w:tc>
          <w:tcPr>
            <w:tcW w:w="660" w:type="dxa"/>
            <w:vAlign w:val="bottom"/>
            <w:tcBorders>
              <w:bottom w:val="single" w:sz="8" w:color="808080"/>
            </w:tcBorders>
          </w:tcPr>
          <w:p>
            <w:pPr>
              <w:spacing w:after="0"/>
              <w:rPr>
                <w:sz w:val="24"/>
                <w:szCs w:val="24"/>
                <w:color w:val="auto"/>
              </w:rPr>
            </w:pPr>
          </w:p>
        </w:tc>
        <w:tc>
          <w:tcPr>
            <w:tcW w:w="10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850" w:right="23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color w:val="auto"/>
        </w:rPr>
        <w:t>Semiconductor Segment</w:t>
      </w:r>
    </w:p>
    <w:p>
      <w:pPr>
        <w:spacing w:after="0" w:line="256" w:lineRule="exact"/>
        <w:rPr>
          <w:sz w:val="20"/>
          <w:szCs w:val="20"/>
          <w:color w:val="auto"/>
        </w:rPr>
      </w:pPr>
    </w:p>
    <w:p>
      <w:pPr>
        <w:ind w:left="340" w:hanging="143"/>
        <w:spacing w:after="0" w:line="277" w:lineRule="auto"/>
        <w:tabs>
          <w:tab w:leader="none" w:pos="3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For the fourth quarter, revenue was $3.48 billion, about even with the prior quarter. Compared with the same quarter a year ago, revenue increased 3 percent because demand was higher for TI’s digital signal processing and analog products.</w:t>
      </w:r>
    </w:p>
    <w:p>
      <w:pPr>
        <w:spacing w:after="0" w:line="197" w:lineRule="exact"/>
        <w:rPr>
          <w:rFonts w:ascii="Arial" w:cs="Arial" w:eastAsia="Arial" w:hAnsi="Arial"/>
          <w:sz w:val="18"/>
          <w:szCs w:val="18"/>
          <w:color w:val="auto"/>
        </w:rPr>
      </w:pPr>
    </w:p>
    <w:p>
      <w:pPr>
        <w:jc w:val="both"/>
        <w:ind w:left="340" w:hanging="143"/>
        <w:spacing w:after="0" w:line="264" w:lineRule="auto"/>
        <w:tabs>
          <w:tab w:leader="none" w:pos="3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For the year, revenue was $13.31 billion, a decrease of $421 million, or 3 percent, because revenue was lower for RISC microprocessors, semiconductors used in cell phone applications and DLP products. Combined, the declines in these areas more than offset strong growth from high-performance analog products.</w:t>
      </w:r>
    </w:p>
    <w:p>
      <w:pPr>
        <w:spacing w:after="0" w:line="208" w:lineRule="exact"/>
        <w:rPr>
          <w:rFonts w:ascii="Arial" w:cs="Arial" w:eastAsia="Arial" w:hAnsi="Arial"/>
          <w:sz w:val="18"/>
          <w:szCs w:val="18"/>
          <w:color w:val="auto"/>
        </w:rPr>
      </w:pPr>
    </w:p>
    <w:p>
      <w:pPr>
        <w:ind w:left="340" w:hanging="143"/>
        <w:spacing w:after="0"/>
        <w:tabs>
          <w:tab w:leader="none" w:pos="3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For analog products:</w:t>
      </w:r>
    </w:p>
    <w:p>
      <w:pPr>
        <w:spacing w:after="0" w:line="23" w:lineRule="exact"/>
        <w:rPr>
          <w:rFonts w:ascii="Arial" w:cs="Arial" w:eastAsia="Arial" w:hAnsi="Arial"/>
          <w:sz w:val="18"/>
          <w:szCs w:val="18"/>
          <w:color w:val="auto"/>
        </w:rPr>
      </w:pPr>
    </w:p>
    <w:p>
      <w:pPr>
        <w:jc w:val="both"/>
        <w:ind w:left="980" w:hanging="198"/>
        <w:spacing w:after="0" w:line="237" w:lineRule="auto"/>
        <w:tabs>
          <w:tab w:leader="none" w:pos="980" w:val="left"/>
        </w:tabs>
        <w:numPr>
          <w:ilvl w:val="1"/>
          <w:numId w:val="10"/>
        </w:numPr>
        <w:rPr>
          <w:rFonts w:ascii="Arial" w:cs="Arial" w:eastAsia="Arial" w:hAnsi="Arial"/>
          <w:sz w:val="22"/>
          <w:szCs w:val="22"/>
          <w:color w:val="auto"/>
        </w:rPr>
      </w:pPr>
      <w:r>
        <w:rPr>
          <w:rFonts w:ascii="Arial" w:cs="Arial" w:eastAsia="Arial" w:hAnsi="Arial"/>
          <w:sz w:val="18"/>
          <w:szCs w:val="18"/>
          <w:color w:val="auto"/>
        </w:rPr>
        <w:t>Fourth quarter revenue was $1.37 billion. This was down 2 percent from the prior quarter primarily due to the divestiture of a DSL product line. Revenue was up 4 percent compared with the same quarter a year ago due to stronger demand for high-performance analog products. Revenue from high-performance analog products increased 1 percent from the prior quarter and 12 percent from the same quarter a year ago.</w:t>
      </w:r>
    </w:p>
    <w:p>
      <w:pPr>
        <w:spacing w:after="0" w:line="1" w:lineRule="exact"/>
        <w:rPr>
          <w:rFonts w:ascii="Arial" w:cs="Arial" w:eastAsia="Arial" w:hAnsi="Arial"/>
          <w:sz w:val="22"/>
          <w:szCs w:val="22"/>
          <w:color w:val="auto"/>
        </w:rPr>
      </w:pPr>
    </w:p>
    <w:p>
      <w:pPr>
        <w:jc w:val="both"/>
        <w:ind w:left="980" w:hanging="198"/>
        <w:spacing w:after="0" w:line="233" w:lineRule="auto"/>
        <w:tabs>
          <w:tab w:leader="none" w:pos="980" w:val="left"/>
        </w:tabs>
        <w:numPr>
          <w:ilvl w:val="1"/>
          <w:numId w:val="10"/>
        </w:numPr>
        <w:rPr>
          <w:rFonts w:ascii="Arial" w:cs="Arial" w:eastAsia="Arial" w:hAnsi="Arial"/>
          <w:sz w:val="22"/>
          <w:szCs w:val="22"/>
          <w:color w:val="auto"/>
        </w:rPr>
      </w:pPr>
      <w:r>
        <w:rPr>
          <w:rFonts w:ascii="Arial" w:cs="Arial" w:eastAsia="Arial" w:hAnsi="Arial"/>
          <w:sz w:val="18"/>
          <w:szCs w:val="18"/>
          <w:color w:val="auto"/>
        </w:rPr>
        <w:t>Annual revenue was $5.29 billion. This was an increase of 1 percent due to strong demand for high-performance analog products that was mostly offset by lower revenue from custom products sold into cell phone applications. Revenue from high-performance analog products grew 9 percent.</w:t>
      </w:r>
    </w:p>
    <w:p>
      <w:pPr>
        <w:spacing w:after="0" w:line="229" w:lineRule="exact"/>
        <w:rPr>
          <w:rFonts w:ascii="Arial" w:cs="Arial" w:eastAsia="Arial" w:hAnsi="Arial"/>
          <w:sz w:val="22"/>
          <w:szCs w:val="22"/>
          <w:color w:val="auto"/>
        </w:rPr>
      </w:pPr>
    </w:p>
    <w:p>
      <w:pPr>
        <w:ind w:left="340" w:hanging="143"/>
        <w:spacing w:after="0"/>
        <w:tabs>
          <w:tab w:leader="none" w:pos="3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For digital signal processing products:</w:t>
      </w:r>
    </w:p>
    <w:p>
      <w:pPr>
        <w:spacing w:after="0" w:line="23" w:lineRule="exact"/>
        <w:rPr>
          <w:rFonts w:ascii="Arial" w:cs="Arial" w:eastAsia="Arial" w:hAnsi="Arial"/>
          <w:sz w:val="18"/>
          <w:szCs w:val="18"/>
          <w:color w:val="auto"/>
        </w:rPr>
      </w:pPr>
    </w:p>
    <w:p>
      <w:pPr>
        <w:ind w:left="980" w:right="20" w:hanging="198"/>
        <w:spacing w:after="0" w:line="257" w:lineRule="auto"/>
        <w:tabs>
          <w:tab w:leader="none" w:pos="980" w:val="left"/>
        </w:tabs>
        <w:numPr>
          <w:ilvl w:val="1"/>
          <w:numId w:val="10"/>
        </w:numPr>
        <w:rPr>
          <w:rFonts w:ascii="Arial" w:cs="Arial" w:eastAsia="Arial" w:hAnsi="Arial"/>
          <w:sz w:val="19"/>
          <w:szCs w:val="19"/>
          <w:color w:val="auto"/>
        </w:rPr>
      </w:pPr>
      <w:r>
        <w:rPr>
          <w:rFonts w:ascii="Arial" w:cs="Arial" w:eastAsia="Arial" w:hAnsi="Arial"/>
          <w:sz w:val="16"/>
          <w:szCs w:val="16"/>
          <w:color w:val="auto"/>
        </w:rPr>
        <w:t>Fourth quarter revenue was $1.36 billion. This was an increase of 4 percent from the prior quarter due to demand for products used in cell phone applications and an increase of 12 percent from the same quarter a year ago primarily due to products used in cell phone applications.</w:t>
      </w:r>
    </w:p>
    <w:p>
      <w:pPr>
        <w:spacing w:after="0" w:line="1" w:lineRule="exact"/>
        <w:rPr>
          <w:rFonts w:ascii="Arial" w:cs="Arial" w:eastAsia="Arial" w:hAnsi="Arial"/>
          <w:sz w:val="19"/>
          <w:szCs w:val="19"/>
          <w:color w:val="auto"/>
        </w:rPr>
      </w:pPr>
    </w:p>
    <w:p>
      <w:pPr>
        <w:ind w:left="980" w:hanging="198"/>
        <w:spacing w:after="0" w:line="225" w:lineRule="auto"/>
        <w:tabs>
          <w:tab w:leader="none" w:pos="980" w:val="left"/>
        </w:tabs>
        <w:numPr>
          <w:ilvl w:val="1"/>
          <w:numId w:val="10"/>
        </w:numPr>
        <w:rPr>
          <w:rFonts w:ascii="Arial" w:cs="Arial" w:eastAsia="Arial" w:hAnsi="Arial"/>
          <w:sz w:val="22"/>
          <w:szCs w:val="22"/>
          <w:color w:val="auto"/>
        </w:rPr>
      </w:pPr>
      <w:r>
        <w:rPr>
          <w:rFonts w:ascii="Arial" w:cs="Arial" w:eastAsia="Arial" w:hAnsi="Arial"/>
          <w:sz w:val="18"/>
          <w:szCs w:val="18"/>
          <w:color w:val="auto"/>
        </w:rPr>
        <w:t>Annual revenue was $5.07 billion, a decrease of 2 percent due to the divestiture of a DSL product line and declines across a broad range of markets, including cell phone applications.</w:t>
      </w:r>
    </w:p>
    <w:p>
      <w:pPr>
        <w:spacing w:after="0" w:line="229" w:lineRule="exact"/>
        <w:rPr>
          <w:rFonts w:ascii="Arial" w:cs="Arial" w:eastAsia="Arial" w:hAnsi="Arial"/>
          <w:sz w:val="22"/>
          <w:szCs w:val="22"/>
          <w:color w:val="auto"/>
        </w:rPr>
      </w:pPr>
    </w:p>
    <w:p>
      <w:pPr>
        <w:ind w:left="340" w:hanging="143"/>
        <w:spacing w:after="0"/>
        <w:tabs>
          <w:tab w:leader="none" w:pos="3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For remaining product lines:</w:t>
      </w:r>
    </w:p>
    <w:p>
      <w:pPr>
        <w:spacing w:after="0" w:line="23" w:lineRule="exact"/>
        <w:rPr>
          <w:rFonts w:ascii="Arial" w:cs="Arial" w:eastAsia="Arial" w:hAnsi="Arial"/>
          <w:sz w:val="18"/>
          <w:szCs w:val="18"/>
          <w:color w:val="auto"/>
        </w:rPr>
      </w:pPr>
    </w:p>
    <w:p>
      <w:pPr>
        <w:jc w:val="both"/>
        <w:ind w:left="980" w:hanging="198"/>
        <w:spacing w:after="0" w:line="237" w:lineRule="auto"/>
        <w:tabs>
          <w:tab w:leader="none" w:pos="980" w:val="left"/>
        </w:tabs>
        <w:numPr>
          <w:ilvl w:val="1"/>
          <w:numId w:val="10"/>
        </w:numPr>
        <w:rPr>
          <w:rFonts w:ascii="Arial" w:cs="Arial" w:eastAsia="Arial" w:hAnsi="Arial"/>
          <w:sz w:val="22"/>
          <w:szCs w:val="22"/>
          <w:color w:val="auto"/>
        </w:rPr>
      </w:pPr>
      <w:r>
        <w:rPr>
          <w:rFonts w:ascii="Arial" w:cs="Arial" w:eastAsia="Arial" w:hAnsi="Arial"/>
          <w:sz w:val="18"/>
          <w:szCs w:val="18"/>
          <w:color w:val="auto"/>
        </w:rPr>
        <w:t>Fourth quarter revenue was $739 million. This was down 2 percent compared with the prior quarter as a decline in DLP revenue more than offset gains in microcontroller revenue and royalties. Revenue from standard logic products and RISC microprocessors was about even. Compared with the same quarter a year ago, revenue decreased 14 percent due to declines in DLP revenue, royalties and RISC microprocessor revenue. Revenue from microcontrollers and standard logic products grew from a year ago.</w:t>
      </w:r>
    </w:p>
    <w:p>
      <w:pPr>
        <w:spacing w:after="0" w:line="1" w:lineRule="exact"/>
        <w:rPr>
          <w:rFonts w:ascii="Arial" w:cs="Arial" w:eastAsia="Arial" w:hAnsi="Arial"/>
          <w:sz w:val="22"/>
          <w:szCs w:val="22"/>
          <w:color w:val="auto"/>
        </w:rPr>
      </w:pPr>
    </w:p>
    <w:p>
      <w:pPr>
        <w:ind w:left="980" w:right="20" w:hanging="198"/>
        <w:spacing w:after="0" w:line="225" w:lineRule="auto"/>
        <w:tabs>
          <w:tab w:leader="none" w:pos="980" w:val="left"/>
        </w:tabs>
        <w:numPr>
          <w:ilvl w:val="1"/>
          <w:numId w:val="10"/>
        </w:numPr>
        <w:rPr>
          <w:rFonts w:ascii="Arial" w:cs="Arial" w:eastAsia="Arial" w:hAnsi="Arial"/>
          <w:sz w:val="22"/>
          <w:szCs w:val="22"/>
          <w:color w:val="auto"/>
        </w:rPr>
      </w:pPr>
      <w:r>
        <w:rPr>
          <w:rFonts w:ascii="Arial" w:cs="Arial" w:eastAsia="Arial" w:hAnsi="Arial"/>
          <w:sz w:val="18"/>
          <w:szCs w:val="18"/>
          <w:color w:val="auto"/>
        </w:rPr>
        <w:t>Annual revenue was $2.95 billion, down 12 percent from the prior year due to lower demand for RISC microprocessors and DLP products. Revenue from microcontrollers and royalties increased, while standard logic revenue was about even.</w:t>
      </w:r>
    </w:p>
    <w:p>
      <w:pPr>
        <w:spacing w:after="0" w:line="229" w:lineRule="exact"/>
        <w:rPr>
          <w:rFonts w:ascii="Arial" w:cs="Arial" w:eastAsia="Arial" w:hAnsi="Arial"/>
          <w:sz w:val="22"/>
          <w:szCs w:val="22"/>
          <w:color w:val="auto"/>
        </w:rPr>
      </w:pPr>
    </w:p>
    <w:p>
      <w:pPr>
        <w:jc w:val="both"/>
        <w:ind w:left="340" w:hanging="143"/>
        <w:spacing w:after="0" w:line="264" w:lineRule="auto"/>
        <w:tabs>
          <w:tab w:leader="none" w:pos="3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Gross profit for the fourth quarter was $1.90 billion, or 54.6 percent of revenue. This was up in both comparisons, $55 million from the prior quarter and $165 million from the year-ago quarter. The higher gross profit was a result of a greater percentage of revenue from more-profitable analog and digital signal processing products, and lower manufacturing costs.</w:t>
      </w:r>
    </w:p>
    <w:p>
      <w:pPr>
        <w:spacing w:after="0" w:line="208" w:lineRule="exact"/>
        <w:rPr>
          <w:rFonts w:ascii="Arial" w:cs="Arial" w:eastAsia="Arial" w:hAnsi="Arial"/>
          <w:sz w:val="18"/>
          <w:szCs w:val="18"/>
          <w:color w:val="auto"/>
        </w:rPr>
      </w:pPr>
    </w:p>
    <w:p>
      <w:pPr>
        <w:ind w:left="340" w:hanging="143"/>
        <w:spacing w:after="0" w:line="308" w:lineRule="auto"/>
        <w:tabs>
          <w:tab w:leader="none" w:pos="340" w:val="left"/>
        </w:tabs>
        <w:numPr>
          <w:ilvl w:val="0"/>
          <w:numId w:val="10"/>
        </w:numPr>
        <w:rPr>
          <w:rFonts w:ascii="Arial" w:cs="Arial" w:eastAsia="Arial" w:hAnsi="Arial"/>
          <w:sz w:val="17"/>
          <w:szCs w:val="17"/>
          <w:color w:val="auto"/>
        </w:rPr>
      </w:pPr>
      <w:r>
        <w:rPr>
          <w:rFonts w:ascii="Arial" w:cs="Arial" w:eastAsia="Arial" w:hAnsi="Arial"/>
          <w:sz w:val="17"/>
          <w:szCs w:val="17"/>
          <w:color w:val="auto"/>
        </w:rPr>
        <w:t>Gross profit for the year was $7.08 billion, or 53.2 percent of revenue. This was an increase of $30 million from the prior year because a greater percentage of revenue came from more-profitable analog and digital signal processing products, and manufacturing costs were lower.</w:t>
      </w:r>
    </w:p>
    <w:p>
      <w:pPr>
        <w:spacing w:after="0" w:line="173" w:lineRule="exact"/>
        <w:rPr>
          <w:rFonts w:ascii="Arial" w:cs="Arial" w:eastAsia="Arial" w:hAnsi="Arial"/>
          <w:sz w:val="17"/>
          <w:szCs w:val="17"/>
          <w:color w:val="auto"/>
        </w:rPr>
      </w:pPr>
    </w:p>
    <w:p>
      <w:pPr>
        <w:ind w:left="340" w:hanging="143"/>
        <w:spacing w:after="0" w:line="277" w:lineRule="auto"/>
        <w:tabs>
          <w:tab w:leader="none" w:pos="3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Operating profit for the fourth quarter was $1.12 billion, or 32.1 percent of revenue. This was an increase of $86 million from the prior quarter and $209 million from the same quarter a year ago due to higher gross profit and lower R&amp;D expense.</w:t>
      </w:r>
    </w:p>
    <w:p>
      <w:pPr>
        <w:spacing w:after="0" w:line="197" w:lineRule="exact"/>
        <w:rPr>
          <w:rFonts w:ascii="Arial" w:cs="Arial" w:eastAsia="Arial" w:hAnsi="Arial"/>
          <w:sz w:val="18"/>
          <w:szCs w:val="18"/>
          <w:color w:val="auto"/>
        </w:rPr>
      </w:pPr>
    </w:p>
    <w:p>
      <w:pPr>
        <w:ind w:left="340" w:hanging="143"/>
        <w:spacing w:after="0" w:line="277" w:lineRule="auto"/>
        <w:tabs>
          <w:tab w:leader="none" w:pos="3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Annual operating profit was $3.88 billion, or 29.2 percent of revenue. This was an increase of $52 million due to higher gross profit and lower R&amp;D expense.</w:t>
      </w:r>
    </w:p>
    <w:p>
      <w:pPr>
        <w:spacing w:after="0" w:line="197" w:lineRule="exact"/>
        <w:rPr>
          <w:rFonts w:ascii="Arial" w:cs="Arial" w:eastAsia="Arial" w:hAnsi="Arial"/>
          <w:sz w:val="18"/>
          <w:szCs w:val="18"/>
          <w:color w:val="auto"/>
        </w:rPr>
      </w:pPr>
    </w:p>
    <w:p>
      <w:pPr>
        <w:ind w:left="340" w:hanging="143"/>
        <w:spacing w:after="0" w:line="277" w:lineRule="auto"/>
        <w:tabs>
          <w:tab w:leader="none" w:pos="3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Orders in the fourth quarter were $3.40 billion. This was about even with the prior quarter and up 13 percent from the year-ago quarter primarily due to higher demand for digital signal processing products, as well as for analog products.</w:t>
      </w:r>
    </w:p>
    <w:p>
      <w:pPr>
        <w:spacing w:after="0" w:line="197" w:lineRule="exact"/>
        <w:rPr>
          <w:rFonts w:ascii="Arial" w:cs="Arial" w:eastAsia="Arial" w:hAnsi="Arial"/>
          <w:sz w:val="18"/>
          <w:szCs w:val="18"/>
          <w:color w:val="auto"/>
        </w:rPr>
      </w:pPr>
    </w:p>
    <w:p>
      <w:pPr>
        <w:ind w:left="340" w:hanging="143"/>
        <w:spacing w:after="0" w:line="277" w:lineRule="auto"/>
        <w:tabs>
          <w:tab w:leader="none" w:pos="3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Orders for the year were $13.16 billion. This was a decrease of $329 million from the prior year due to lower demand across a broad range of semiconductor products.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201295</wp:posOffset>
            </wp:positionV>
            <wp:extent cx="7250430" cy="215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color w:val="auto"/>
        </w:rPr>
        <w:t>Semiconductor Highlights</w:t>
      </w:r>
    </w:p>
    <w:p>
      <w:pPr>
        <w:spacing w:after="0" w:line="256" w:lineRule="exact"/>
        <w:rPr>
          <w:sz w:val="20"/>
          <w:szCs w:val="20"/>
          <w:color w:val="auto"/>
        </w:rPr>
      </w:pPr>
    </w:p>
    <w:p>
      <w:pPr>
        <w:ind w:left="340" w:hanging="143"/>
        <w:spacing w:after="0"/>
        <w:tabs>
          <w:tab w:leader="none" w:pos="3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TI introduced a next-generation power management chip to maximize energy efficiency in multi-kilowatt systems.</w:t>
      </w:r>
    </w:p>
    <w:p>
      <w:pPr>
        <w:spacing w:after="0" w:line="252" w:lineRule="exact"/>
        <w:rPr>
          <w:rFonts w:ascii="Arial" w:cs="Arial" w:eastAsia="Arial" w:hAnsi="Arial"/>
          <w:sz w:val="18"/>
          <w:szCs w:val="18"/>
          <w:color w:val="auto"/>
        </w:rPr>
      </w:pPr>
    </w:p>
    <w:p>
      <w:pPr>
        <w:ind w:left="340" w:hanging="143"/>
        <w:spacing w:after="0" w:line="277" w:lineRule="auto"/>
        <w:tabs>
          <w:tab w:leader="none" w:pos="3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TI delivered the industry’s first sub-1 GHz radio frequency (RF) system-on-chip solution with an integrated USB controller, enabling a fast, easy bridge between PCs and RF networks.</w:t>
      </w:r>
    </w:p>
    <w:p>
      <w:pPr>
        <w:spacing w:after="0" w:line="201" w:lineRule="exact"/>
        <w:rPr>
          <w:rFonts w:ascii="Arial" w:cs="Arial" w:eastAsia="Arial" w:hAnsi="Arial"/>
          <w:sz w:val="18"/>
          <w:szCs w:val="18"/>
          <w:color w:val="auto"/>
        </w:rPr>
      </w:pPr>
    </w:p>
    <w:p>
      <w:pPr>
        <w:ind w:left="340" w:right="20" w:hanging="143"/>
        <w:spacing w:after="0" w:line="186" w:lineRule="auto"/>
        <w:tabs>
          <w:tab w:leader="none" w:pos="340" w:val="left"/>
        </w:tabs>
        <w:numPr>
          <w:ilvl w:val="0"/>
          <w:numId w:val="11"/>
        </w:numPr>
        <w:rPr>
          <w:rFonts w:ascii="Arial" w:cs="Arial" w:eastAsia="Arial" w:hAnsi="Arial"/>
          <w:sz w:val="36"/>
          <w:szCs w:val="36"/>
          <w:color w:val="auto"/>
          <w:vertAlign w:val="superscript"/>
        </w:rPr>
      </w:pPr>
      <w:r>
        <w:rPr>
          <w:rFonts w:ascii="Arial" w:cs="Arial" w:eastAsia="Arial" w:hAnsi="Arial"/>
          <w:sz w:val="18"/>
          <w:szCs w:val="18"/>
          <w:color w:val="auto"/>
        </w:rPr>
        <w:t>TI announced that Samsung Electronics Co., Ltd. would use TI’s OMAP</w:t>
      </w:r>
      <w:r>
        <w:rPr>
          <w:rFonts w:ascii="Arial" w:cs="Arial" w:eastAsia="Arial" w:hAnsi="Arial"/>
          <w:sz w:val="30"/>
          <w:szCs w:val="30"/>
          <w:color w:val="auto"/>
          <w:vertAlign w:val="superscript"/>
        </w:rPr>
        <w:t>TM</w:t>
      </w:r>
      <w:r>
        <w:rPr>
          <w:rFonts w:ascii="Arial" w:cs="Arial" w:eastAsia="Arial" w:hAnsi="Arial"/>
          <w:sz w:val="18"/>
          <w:szCs w:val="18"/>
          <w:color w:val="auto"/>
        </w:rPr>
        <w:t xml:space="preserve"> applications processor and Bluetooth</w:t>
      </w:r>
      <w:r>
        <w:rPr>
          <w:rFonts w:ascii="Arial" w:cs="Arial" w:eastAsia="Arial" w:hAnsi="Arial"/>
          <w:sz w:val="30"/>
          <w:szCs w:val="30"/>
          <w:color w:val="auto"/>
          <w:vertAlign w:val="superscript"/>
        </w:rPr>
        <w:t>®</w:t>
      </w:r>
      <w:r>
        <w:rPr>
          <w:rFonts w:ascii="Arial" w:cs="Arial" w:eastAsia="Arial" w:hAnsi="Arial"/>
          <w:sz w:val="18"/>
          <w:szCs w:val="18"/>
          <w:color w:val="auto"/>
        </w:rPr>
        <w:t xml:space="preserve"> products in its next-generation smartphones.</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Education Technology Segment</w:t>
      </w:r>
    </w:p>
    <w:p>
      <w:pPr>
        <w:spacing w:after="0" w:line="256" w:lineRule="exact"/>
        <w:rPr>
          <w:sz w:val="20"/>
          <w:szCs w:val="20"/>
          <w:color w:val="auto"/>
        </w:rPr>
      </w:pPr>
    </w:p>
    <w:p>
      <w:pPr>
        <w:ind w:left="340" w:hanging="143"/>
        <w:spacing w:after="0" w:line="308" w:lineRule="auto"/>
        <w:tabs>
          <w:tab w:leader="none" w:pos="340" w:val="left"/>
        </w:tabs>
        <w:numPr>
          <w:ilvl w:val="0"/>
          <w:numId w:val="12"/>
        </w:numPr>
        <w:rPr>
          <w:rFonts w:ascii="Arial" w:cs="Arial" w:eastAsia="Arial" w:hAnsi="Arial"/>
          <w:sz w:val="17"/>
          <w:szCs w:val="17"/>
          <w:color w:val="auto"/>
        </w:rPr>
      </w:pPr>
      <w:r>
        <w:rPr>
          <w:rFonts w:ascii="Arial" w:cs="Arial" w:eastAsia="Arial" w:hAnsi="Arial"/>
          <w:sz w:val="17"/>
          <w:szCs w:val="17"/>
          <w:color w:val="auto"/>
        </w:rPr>
        <w:t>Revenue in the fourth quarter was $81 million. This was a decrease of $121 million from the prior quarter as graphing calculator sales declined with the end of the back-to-school season. It was an increase of $3 million from the year-ago quarter due to higher demand for graphing calculators.</w:t>
      </w:r>
    </w:p>
    <w:p>
      <w:pPr>
        <w:spacing w:after="0" w:line="173" w:lineRule="exact"/>
        <w:rPr>
          <w:rFonts w:ascii="Arial" w:cs="Arial" w:eastAsia="Arial" w:hAnsi="Arial"/>
          <w:sz w:val="17"/>
          <w:szCs w:val="17"/>
          <w:color w:val="auto"/>
        </w:rPr>
      </w:pPr>
    </w:p>
    <w:p>
      <w:pPr>
        <w:ind w:left="340" w:hanging="143"/>
        <w:spacing w:after="0"/>
        <w:tabs>
          <w:tab w:leader="none" w:pos="3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Annual revenue was $526 million. This was about even with the prior year.</w:t>
      </w:r>
    </w:p>
    <w:p>
      <w:pPr>
        <w:spacing w:after="0" w:line="252" w:lineRule="exact"/>
        <w:rPr>
          <w:rFonts w:ascii="Arial" w:cs="Arial" w:eastAsia="Arial" w:hAnsi="Arial"/>
          <w:sz w:val="18"/>
          <w:szCs w:val="18"/>
          <w:color w:val="auto"/>
        </w:rPr>
      </w:pPr>
    </w:p>
    <w:p>
      <w:pPr>
        <w:ind w:left="340" w:hanging="143"/>
        <w:spacing w:after="0" w:line="308" w:lineRule="auto"/>
        <w:tabs>
          <w:tab w:leader="none" w:pos="340" w:val="left"/>
        </w:tabs>
        <w:numPr>
          <w:ilvl w:val="0"/>
          <w:numId w:val="12"/>
        </w:numPr>
        <w:rPr>
          <w:rFonts w:ascii="Arial" w:cs="Arial" w:eastAsia="Arial" w:hAnsi="Arial"/>
          <w:sz w:val="17"/>
          <w:szCs w:val="17"/>
          <w:color w:val="auto"/>
        </w:rPr>
      </w:pPr>
      <w:r>
        <w:rPr>
          <w:rFonts w:ascii="Arial" w:cs="Arial" w:eastAsia="Arial" w:hAnsi="Arial"/>
          <w:sz w:val="17"/>
          <w:szCs w:val="17"/>
          <w:color w:val="auto"/>
        </w:rPr>
        <w:t>Gross profit in the fourth quarter was $50 million, or 62.1 percent of revenue. This was a decrease of $85 million from the prior quarter due to seasonally lower revenue and an increase of $5 million from the year-ago quarter primarily due to lower product costs, as well as higher revenue.</w:t>
      </w:r>
    </w:p>
    <w:p>
      <w:pPr>
        <w:spacing w:after="0" w:line="173" w:lineRule="exact"/>
        <w:rPr>
          <w:rFonts w:ascii="Arial" w:cs="Arial" w:eastAsia="Arial" w:hAnsi="Arial"/>
          <w:sz w:val="17"/>
          <w:szCs w:val="17"/>
          <w:color w:val="auto"/>
        </w:rPr>
      </w:pPr>
    </w:p>
    <w:p>
      <w:pPr>
        <w:ind w:left="340" w:hanging="143"/>
        <w:spacing w:after="0" w:line="277" w:lineRule="auto"/>
        <w:tabs>
          <w:tab w:leader="none" w:pos="3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Gross profit for the year was $340 million, or 64.6 percent of revenue. This was an increase of $19 million, or 3.5 percentage points of gross margin, due to lower product costs.</w:t>
      </w:r>
    </w:p>
    <w:p>
      <w:pPr>
        <w:spacing w:after="0" w:line="197" w:lineRule="exact"/>
        <w:rPr>
          <w:rFonts w:ascii="Arial" w:cs="Arial" w:eastAsia="Arial" w:hAnsi="Arial"/>
          <w:sz w:val="18"/>
          <w:szCs w:val="18"/>
          <w:color w:val="auto"/>
        </w:rPr>
      </w:pPr>
    </w:p>
    <w:p>
      <w:pPr>
        <w:ind w:left="340" w:right="20" w:hanging="143"/>
        <w:spacing w:after="0" w:line="342" w:lineRule="auto"/>
        <w:tabs>
          <w:tab w:leader="none" w:pos="340" w:val="left"/>
        </w:tabs>
        <w:numPr>
          <w:ilvl w:val="0"/>
          <w:numId w:val="12"/>
        </w:numPr>
        <w:rPr>
          <w:rFonts w:ascii="Arial" w:cs="Arial" w:eastAsia="Arial" w:hAnsi="Arial"/>
          <w:sz w:val="16"/>
          <w:szCs w:val="16"/>
          <w:color w:val="auto"/>
        </w:rPr>
      </w:pPr>
      <w:r>
        <w:rPr>
          <w:rFonts w:ascii="Arial" w:cs="Arial" w:eastAsia="Arial" w:hAnsi="Arial"/>
          <w:sz w:val="16"/>
          <w:szCs w:val="16"/>
          <w:color w:val="auto"/>
        </w:rPr>
        <w:t>Operating profit in the fourth quarter was $19 million, or 23.6 percent of revenue. This was a decrease of $80 million compared with the prior quarter due to less gross profit. Operating profit was even compared with the year-ago quarter as greater gross profit was offset by higher operating expenses.</w:t>
      </w:r>
    </w:p>
    <w:p>
      <w:pPr>
        <w:spacing w:after="0" w:line="150" w:lineRule="exact"/>
        <w:rPr>
          <w:rFonts w:ascii="Arial" w:cs="Arial" w:eastAsia="Arial" w:hAnsi="Arial"/>
          <w:sz w:val="16"/>
          <w:szCs w:val="16"/>
          <w:color w:val="auto"/>
        </w:rPr>
      </w:pPr>
    </w:p>
    <w:p>
      <w:pPr>
        <w:ind w:left="340" w:hanging="143"/>
        <w:spacing w:after="0"/>
        <w:tabs>
          <w:tab w:leader="none" w:pos="340" w:val="left"/>
        </w:tabs>
        <w:numPr>
          <w:ilvl w:val="0"/>
          <w:numId w:val="12"/>
        </w:numPr>
        <w:rPr>
          <w:rFonts w:ascii="Arial" w:cs="Arial" w:eastAsia="Arial" w:hAnsi="Arial"/>
          <w:sz w:val="16"/>
          <w:szCs w:val="16"/>
          <w:color w:val="auto"/>
        </w:rPr>
      </w:pPr>
      <w:r>
        <w:rPr>
          <w:rFonts w:ascii="Arial" w:cs="Arial" w:eastAsia="Arial" w:hAnsi="Arial"/>
          <w:sz w:val="16"/>
          <w:szCs w:val="16"/>
          <w:color w:val="auto"/>
        </w:rPr>
        <w:t>Annual operating profit was $208 million, or 39.4 percent of revenue. This was an increase of $8 million from the prior year due to greater gross profit.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404495</wp:posOffset>
            </wp:positionV>
            <wp:extent cx="7250430" cy="215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10" w:name="page11"/>
    <w:bookmarkEnd w:id="10"/>
    <w:p>
      <w:pPr>
        <w:jc w:val="center"/>
        <w:ind w:right="-19"/>
        <w:spacing w:after="0"/>
        <w:rPr>
          <w:sz w:val="20"/>
          <w:szCs w:val="20"/>
          <w:color w:val="auto"/>
        </w:rPr>
      </w:pPr>
      <w:r>
        <w:rPr>
          <w:rFonts w:ascii="Arial" w:cs="Arial" w:eastAsia="Arial" w:hAnsi="Arial"/>
          <w:sz w:val="18"/>
          <w:szCs w:val="18"/>
          <w:color w:val="auto"/>
        </w:rPr>
        <w:t>#  #  #</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Safe Harbor Statement</w:t>
      </w:r>
    </w:p>
    <w:p>
      <w:pPr>
        <w:spacing w:after="0" w:line="27"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“Safe Harbor” Statement under the Private Securities Litigation Reform Act of 1995: This release includes forward-looking statements intended to qualify for the safe harbor from liability established by the Private Securities Litigation Reform Act of 1995. These forward-looking statements generally can be identified by phrases such as TI or its management “believes,” “expects,” “anticipates,” “foresees,” “forecasts,” “estimates” or other words or phrases of similar import. Similarly, statements in this release that describe our business strategy, outlook, objectives, plans, intentions or goals also are forward-looking statements. All such forward-looking statements are subject to certain risks and uncertainties that could cause actual results to differ materially from those in forward-looking statements.</w:t>
      </w:r>
    </w:p>
    <w:p>
      <w:pPr>
        <w:spacing w:after="0" w:line="221" w:lineRule="exact"/>
        <w:rPr>
          <w:sz w:val="20"/>
          <w:szCs w:val="20"/>
          <w:color w:val="auto"/>
        </w:rPr>
      </w:pPr>
    </w:p>
    <w:p>
      <w:pPr>
        <w:ind w:right="660"/>
        <w:spacing w:after="0" w:line="277" w:lineRule="auto"/>
        <w:rPr>
          <w:sz w:val="20"/>
          <w:szCs w:val="20"/>
          <w:color w:val="auto"/>
        </w:rPr>
      </w:pPr>
      <w:r>
        <w:rPr>
          <w:rFonts w:ascii="Arial" w:cs="Arial" w:eastAsia="Arial" w:hAnsi="Arial"/>
          <w:sz w:val="18"/>
          <w:szCs w:val="18"/>
          <w:color w:val="auto"/>
        </w:rPr>
        <w:t>We urge you to carefully consider the following important factors that could cause actual results to differ materially from the expectations of TI or its management:</w:t>
      </w:r>
    </w:p>
    <w:p>
      <w:pPr>
        <w:spacing w:after="0" w:line="197" w:lineRule="exact"/>
        <w:rPr>
          <w:sz w:val="20"/>
          <w:szCs w:val="20"/>
          <w:color w:val="auto"/>
        </w:rPr>
      </w:pPr>
    </w:p>
    <w:p>
      <w:pPr>
        <w:ind w:left="340" w:right="20" w:hanging="143"/>
        <w:spacing w:after="0" w:line="258" w:lineRule="auto"/>
        <w:tabs>
          <w:tab w:leader="none" w:pos="3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Market demand for semiconductors, particularly for analog chips and digital signal processors in key markets such as communications, entertainment electronics and computing;</w:t>
      </w:r>
    </w:p>
    <w:p>
      <w:pPr>
        <w:spacing w:after="0" w:line="1" w:lineRule="exact"/>
        <w:rPr>
          <w:rFonts w:ascii="Arial" w:cs="Arial" w:eastAsia="Arial" w:hAnsi="Arial"/>
          <w:sz w:val="18"/>
          <w:szCs w:val="18"/>
          <w:color w:val="auto"/>
        </w:rPr>
      </w:pPr>
    </w:p>
    <w:p>
      <w:pPr>
        <w:ind w:left="340" w:right="20" w:hanging="143"/>
        <w:spacing w:after="0" w:line="250" w:lineRule="auto"/>
        <w:tabs>
          <w:tab w:leader="none" w:pos="3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TI’s ability to maintain or improve profit margins, including its ability to utilize its manufacturing facilities at sufficient levels to cover its fixed operating costs, in an intensely competitive and cyclical industry;</w:t>
      </w:r>
    </w:p>
    <w:p>
      <w:pPr>
        <w:ind w:left="340" w:hanging="143"/>
        <w:spacing w:after="0"/>
        <w:tabs>
          <w:tab w:leader="none" w:pos="3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TI’s ability to develop, manufacture and market innovative products in a rapidly changing technological environment;</w:t>
      </w:r>
    </w:p>
    <w:p>
      <w:pPr>
        <w:spacing w:after="0" w:line="9" w:lineRule="exact"/>
        <w:rPr>
          <w:rFonts w:ascii="Arial" w:cs="Arial" w:eastAsia="Arial" w:hAnsi="Arial"/>
          <w:sz w:val="18"/>
          <w:szCs w:val="18"/>
          <w:color w:val="auto"/>
        </w:rPr>
      </w:pPr>
    </w:p>
    <w:p>
      <w:pPr>
        <w:ind w:left="340" w:hanging="143"/>
        <w:spacing w:after="0"/>
        <w:tabs>
          <w:tab w:leader="none" w:pos="3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TI’s ability to compete in products and prices in an intensely competitive industry;</w:t>
      </w:r>
    </w:p>
    <w:p>
      <w:pPr>
        <w:spacing w:after="0" w:line="9" w:lineRule="exact"/>
        <w:rPr>
          <w:rFonts w:ascii="Arial" w:cs="Arial" w:eastAsia="Arial" w:hAnsi="Arial"/>
          <w:sz w:val="18"/>
          <w:szCs w:val="18"/>
          <w:color w:val="auto"/>
        </w:rPr>
      </w:pPr>
    </w:p>
    <w:p>
      <w:pPr>
        <w:ind w:left="340" w:hanging="143"/>
        <w:spacing w:after="0"/>
        <w:tabs>
          <w:tab w:leader="none" w:pos="3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TI’s ability to maintain and enforce a strong intellectual property portfolio and obtain needed licenses from third parties;</w:t>
      </w:r>
    </w:p>
    <w:p>
      <w:pPr>
        <w:spacing w:after="0" w:line="9" w:lineRule="exact"/>
        <w:rPr>
          <w:rFonts w:ascii="Arial" w:cs="Arial" w:eastAsia="Arial" w:hAnsi="Arial"/>
          <w:sz w:val="18"/>
          <w:szCs w:val="18"/>
          <w:color w:val="auto"/>
        </w:rPr>
      </w:pPr>
    </w:p>
    <w:p>
      <w:pPr>
        <w:ind w:left="340" w:hanging="143"/>
        <w:spacing w:after="0"/>
        <w:tabs>
          <w:tab w:leader="none" w:pos="3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Expiration of license agreements between TI and its patent licensees, and market conditions reducing royalty payments to TI;</w:t>
      </w:r>
    </w:p>
    <w:p>
      <w:pPr>
        <w:spacing w:after="0" w:line="9" w:lineRule="exact"/>
        <w:rPr>
          <w:rFonts w:ascii="Arial" w:cs="Arial" w:eastAsia="Arial" w:hAnsi="Arial"/>
          <w:sz w:val="18"/>
          <w:szCs w:val="18"/>
          <w:color w:val="auto"/>
        </w:rPr>
      </w:pPr>
    </w:p>
    <w:p>
      <w:pPr>
        <w:ind w:left="340" w:hanging="143"/>
        <w:spacing w:after="0" w:line="250" w:lineRule="auto"/>
        <w:tabs>
          <w:tab w:leader="none" w:pos="3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Economic, social and political conditions in the countries in which TI, its customers or its suppliers operate, including security risks, health conditions, possible disruptions in transportation networks and fluctuations in foreign currency exchange rates;</w:t>
      </w:r>
    </w:p>
    <w:p>
      <w:pPr>
        <w:ind w:left="340" w:hanging="143"/>
        <w:spacing w:after="0"/>
        <w:tabs>
          <w:tab w:leader="none" w:pos="3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Natural events such as severe weather and earthquakes in the locations in which TI, its customers or its suppliers operate;</w:t>
      </w:r>
    </w:p>
    <w:p>
      <w:pPr>
        <w:spacing w:after="0" w:line="9" w:lineRule="exact"/>
        <w:rPr>
          <w:rFonts w:ascii="Arial" w:cs="Arial" w:eastAsia="Arial" w:hAnsi="Arial"/>
          <w:sz w:val="18"/>
          <w:szCs w:val="18"/>
          <w:color w:val="auto"/>
        </w:rPr>
      </w:pPr>
    </w:p>
    <w:p>
      <w:pPr>
        <w:ind w:left="340" w:hanging="143"/>
        <w:spacing w:after="0"/>
        <w:tabs>
          <w:tab w:leader="none" w:pos="3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Availability and cost of raw materials, utilities, manufacturing equipment, third-party manufacturing services and manufacturing technology;</w:t>
      </w:r>
    </w:p>
    <w:p>
      <w:pPr>
        <w:spacing w:after="0" w:line="9" w:lineRule="exact"/>
        <w:rPr>
          <w:rFonts w:ascii="Arial" w:cs="Arial" w:eastAsia="Arial" w:hAnsi="Arial"/>
          <w:sz w:val="18"/>
          <w:szCs w:val="18"/>
          <w:color w:val="auto"/>
        </w:rPr>
      </w:pPr>
    </w:p>
    <w:p>
      <w:pPr>
        <w:ind w:left="340" w:hanging="143"/>
        <w:spacing w:after="0" w:line="250" w:lineRule="auto"/>
        <w:tabs>
          <w:tab w:leader="none" w:pos="3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Changes in the tax rate applicable to TI as the result of changes in tax law, the jurisdictions in which profits are determined to be earned and taxed, the outcome of tax audits and the ability to realize deferred tax assets;</w:t>
      </w:r>
    </w:p>
    <w:p>
      <w:pPr>
        <w:ind w:left="340" w:hanging="143"/>
        <w:spacing w:after="0"/>
        <w:tabs>
          <w:tab w:leader="none" w:pos="340" w:val="left"/>
        </w:tabs>
        <w:numPr>
          <w:ilvl w:val="0"/>
          <w:numId w:val="13"/>
        </w:numPr>
        <w:rPr>
          <w:rFonts w:ascii="Arial" w:cs="Arial" w:eastAsia="Arial" w:hAnsi="Arial"/>
          <w:sz w:val="17"/>
          <w:szCs w:val="17"/>
          <w:color w:val="auto"/>
        </w:rPr>
      </w:pPr>
      <w:r>
        <w:rPr>
          <w:rFonts w:ascii="Arial" w:cs="Arial" w:eastAsia="Arial" w:hAnsi="Arial"/>
          <w:sz w:val="17"/>
          <w:szCs w:val="17"/>
          <w:color w:val="auto"/>
        </w:rPr>
        <w:t>Losses or curtailments of purchases from key customers and the timing and amount of distributor and other customer inventory adjustments;</w:t>
      </w:r>
    </w:p>
    <w:p>
      <w:pPr>
        <w:spacing w:after="0" w:line="20" w:lineRule="exact"/>
        <w:rPr>
          <w:rFonts w:ascii="Arial" w:cs="Arial" w:eastAsia="Arial" w:hAnsi="Arial"/>
          <w:sz w:val="17"/>
          <w:szCs w:val="17"/>
          <w:color w:val="auto"/>
        </w:rPr>
      </w:pPr>
    </w:p>
    <w:p>
      <w:pPr>
        <w:ind w:left="340" w:hanging="143"/>
        <w:spacing w:after="0"/>
        <w:tabs>
          <w:tab w:leader="none" w:pos="3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Customer demand that differs from company forecasts;</w:t>
      </w:r>
    </w:p>
    <w:p>
      <w:pPr>
        <w:spacing w:after="0" w:line="9" w:lineRule="exact"/>
        <w:rPr>
          <w:rFonts w:ascii="Arial" w:cs="Arial" w:eastAsia="Arial" w:hAnsi="Arial"/>
          <w:sz w:val="18"/>
          <w:szCs w:val="18"/>
          <w:color w:val="auto"/>
        </w:rPr>
      </w:pPr>
    </w:p>
    <w:p>
      <w:pPr>
        <w:ind w:left="340" w:hanging="143"/>
        <w:spacing w:after="0"/>
        <w:tabs>
          <w:tab w:leader="none" w:pos="3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financial impact of inadequate or excess TI inventories to meet demand that differs from projections;</w:t>
      </w:r>
    </w:p>
    <w:p>
      <w:pPr>
        <w:spacing w:after="0" w:line="9" w:lineRule="exact"/>
        <w:rPr>
          <w:rFonts w:ascii="Arial" w:cs="Arial" w:eastAsia="Arial" w:hAnsi="Arial"/>
          <w:sz w:val="18"/>
          <w:szCs w:val="18"/>
          <w:color w:val="auto"/>
        </w:rPr>
      </w:pPr>
    </w:p>
    <w:p>
      <w:pPr>
        <w:ind w:left="340" w:hanging="143"/>
        <w:spacing w:after="0"/>
        <w:tabs>
          <w:tab w:leader="none" w:pos="3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Product liability or warranty claims, or recalls by TI customers for a product containing a TI part;</w:t>
      </w:r>
    </w:p>
    <w:p>
      <w:pPr>
        <w:spacing w:after="0" w:line="9" w:lineRule="exact"/>
        <w:rPr>
          <w:rFonts w:ascii="Arial" w:cs="Arial" w:eastAsia="Arial" w:hAnsi="Arial"/>
          <w:sz w:val="18"/>
          <w:szCs w:val="18"/>
          <w:color w:val="auto"/>
        </w:rPr>
      </w:pPr>
    </w:p>
    <w:p>
      <w:pPr>
        <w:ind w:left="340" w:hanging="143"/>
        <w:spacing w:after="0"/>
        <w:tabs>
          <w:tab w:leader="none" w:pos="3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TI’s ability to recruit and retain skilled personnel; and</w:t>
      </w:r>
    </w:p>
    <w:p>
      <w:pPr>
        <w:spacing w:after="0" w:line="9" w:lineRule="exact"/>
        <w:rPr>
          <w:rFonts w:ascii="Arial" w:cs="Arial" w:eastAsia="Arial" w:hAnsi="Arial"/>
          <w:sz w:val="18"/>
          <w:szCs w:val="18"/>
          <w:color w:val="auto"/>
        </w:rPr>
      </w:pPr>
    </w:p>
    <w:p>
      <w:pPr>
        <w:ind w:left="340" w:hanging="143"/>
        <w:spacing w:after="0" w:line="261" w:lineRule="auto"/>
        <w:tabs>
          <w:tab w:leader="none" w:pos="3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Timely implementation of new manufacturing technologies, installation of manufacturing equipment and the ability to obtain needed third-party foundry and assembly/test subcontract services.</w:t>
      </w:r>
    </w:p>
    <w:p>
      <w:pPr>
        <w:spacing w:after="0" w:line="211"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For a more detailed discussion of these factors, see the text under the heading “Risk Factors” in Item 1A of our most recent Form 10-K. The forward-looking statements included in this release are made only as of the date of publication, and we undertake no obligation to update the forward-looking statements to reflect subsequent events or circumstances.</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Texas Instruments</w:t>
      </w:r>
    </w:p>
    <w:p>
      <w:pPr>
        <w:spacing w:after="0" w:line="27" w:lineRule="exact"/>
        <w:rPr>
          <w:sz w:val="20"/>
          <w:szCs w:val="20"/>
          <w:color w:val="auto"/>
        </w:rPr>
      </w:pPr>
    </w:p>
    <w:p>
      <w:pPr>
        <w:jc w:val="both"/>
        <w:ind w:right="20"/>
        <w:spacing w:after="0" w:line="255" w:lineRule="auto"/>
        <w:rPr>
          <w:sz w:val="20"/>
          <w:szCs w:val="20"/>
          <w:color w:val="auto"/>
        </w:rPr>
      </w:pPr>
      <w:r>
        <w:rPr>
          <w:rFonts w:ascii="Arial" w:cs="Arial" w:eastAsia="Arial" w:hAnsi="Arial"/>
          <w:sz w:val="18"/>
          <w:szCs w:val="18"/>
          <w:color w:val="auto"/>
        </w:rPr>
        <w:t>Texas Instruments (NYSE: TXN) helps customers solve problems and develop new electronics that make the world smarter, healthier, safer, greener and more fun. A global semiconductor company, TI innovates through manufacturing, design and sales operations in more than 25 countries. For more information, go to www.ti.com.</w:t>
      </w:r>
    </w:p>
    <w:p>
      <w:pPr>
        <w:spacing w:after="0" w:line="21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TI Trademarks:</w:t>
      </w:r>
    </w:p>
    <w:p>
      <w:pPr>
        <w:spacing w:after="0" w:line="23" w:lineRule="exact"/>
        <w:rPr>
          <w:sz w:val="20"/>
          <w:szCs w:val="20"/>
          <w:color w:val="auto"/>
        </w:rPr>
      </w:pPr>
    </w:p>
    <w:p>
      <w:pPr>
        <w:ind w:left="820"/>
        <w:spacing w:after="0"/>
        <w:rPr>
          <w:sz w:val="20"/>
          <w:szCs w:val="20"/>
          <w:color w:val="auto"/>
        </w:rPr>
      </w:pPr>
      <w:r>
        <w:rPr>
          <w:rFonts w:ascii="Arial" w:cs="Arial" w:eastAsia="Arial" w:hAnsi="Arial"/>
          <w:sz w:val="18"/>
          <w:szCs w:val="18"/>
          <w:color w:val="auto"/>
        </w:rPr>
        <w:t>DLP</w:t>
      </w:r>
    </w:p>
    <w:p>
      <w:pPr>
        <w:spacing w:after="0" w:line="9" w:lineRule="exact"/>
        <w:rPr>
          <w:sz w:val="20"/>
          <w:szCs w:val="20"/>
          <w:color w:val="auto"/>
        </w:rPr>
      </w:pPr>
    </w:p>
    <w:p>
      <w:pPr>
        <w:ind w:left="820"/>
        <w:spacing w:after="0"/>
        <w:rPr>
          <w:sz w:val="20"/>
          <w:szCs w:val="20"/>
          <w:color w:val="auto"/>
        </w:rPr>
      </w:pPr>
      <w:r>
        <w:rPr>
          <w:rFonts w:ascii="Arial" w:cs="Arial" w:eastAsia="Arial" w:hAnsi="Arial"/>
          <w:sz w:val="18"/>
          <w:szCs w:val="18"/>
          <w:color w:val="auto"/>
        </w:rPr>
        <w:t>OMAP</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Other trademarks are the property of their respective owners.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389890</wp:posOffset>
            </wp:positionV>
            <wp:extent cx="7250430" cy="215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611" w:right="239" w:bottom="1440" w:gutter="0" w:footer="0" w:header="0"/>
        </w:sectPr>
      </w:pPr>
    </w:p>
    <w:bookmarkStart w:id="11" w:name="page12"/>
    <w:bookmarkEnd w:id="11"/>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1B71EFB"/>
    <w:multiLevelType w:val="hybridMultilevel"/>
    <w:lvl w:ilvl="0">
      <w:lvlJc w:val="left"/>
      <w:lvlText w:val="☐"/>
      <w:numFmt w:val="bullet"/>
      <w:start w:val="1"/>
    </w:lvl>
  </w:abstractNum>
  <w:abstractNum w:abstractNumId="1">
    <w:nsid w:val="79E2A9E3"/>
    <w:multiLevelType w:val="hybridMultilevel"/>
    <w:lvl w:ilvl="0">
      <w:lvlJc w:val="left"/>
      <w:lvlText w:val="·"/>
      <w:numFmt w:val="bullet"/>
      <w:start w:val="1"/>
    </w:lvl>
  </w:abstractNum>
  <w:abstractNum w:abstractNumId="2">
    <w:nsid w:val="7545E146"/>
    <w:multiLevelType w:val="hybridMultilevel"/>
    <w:lvl w:ilvl="0">
      <w:lvlJc w:val="left"/>
      <w:lvlText w:val="·"/>
      <w:numFmt w:val="bullet"/>
      <w:start w:val="1"/>
    </w:lvl>
  </w:abstractNum>
  <w:abstractNum w:abstractNumId="3">
    <w:nsid w:val="515F007C"/>
    <w:multiLevelType w:val="hybridMultilevel"/>
    <w:lvl w:ilvl="0">
      <w:lvlJc w:val="left"/>
      <w:lvlText w:val="·"/>
      <w:numFmt w:val="bullet"/>
      <w:start w:val="1"/>
    </w:lvl>
    <w:lvl w:ilvl="1">
      <w:lvlJc w:val="left"/>
      <w:lvlText w:val="·"/>
      <w:numFmt w:val="bullet"/>
      <w:start w:val="1"/>
    </w:lvl>
  </w:abstractNum>
  <w:abstractNum w:abstractNumId="4">
    <w:nsid w:val="5BD062C2"/>
    <w:multiLevelType w:val="hybridMultilevel"/>
    <w:lvl w:ilvl="0">
      <w:lvlJc w:val="left"/>
      <w:lvlText w:val="·"/>
      <w:numFmt w:val="bullet"/>
      <w:start w:val="1"/>
    </w:lvl>
  </w:abstractNum>
  <w:abstractNum w:abstractNumId="5">
    <w:nsid w:val="12200854"/>
    <w:multiLevelType w:val="hybridMultilevel"/>
    <w:lvl w:ilvl="0">
      <w:lvlJc w:val="left"/>
      <w:lvlText w:val="·"/>
      <w:numFmt w:val="bullet"/>
      <w:start w:val="1"/>
    </w:lvl>
  </w:abstractNum>
  <w:abstractNum w:abstractNumId="6">
    <w:nsid w:val="4DB127F8"/>
    <w:multiLevelType w:val="hybridMultilevel"/>
    <w:lvl w:ilvl="0">
      <w:lvlJc w:val="left"/>
      <w:lvlText w:val="·"/>
      <w:numFmt w:val="bullet"/>
      <w:start w:val="1"/>
    </w:lvl>
  </w:abstractNum>
  <w:abstractNum w:abstractNumId="7">
    <w:nsid w:val="216231B"/>
    <w:multiLevelType w:val="hybridMultilevel"/>
    <w:lvl w:ilvl="0">
      <w:lvlJc w:val="left"/>
      <w:lvlText w:val="*"/>
      <w:numFmt w:val="bullet"/>
      <w:start w:val="1"/>
    </w:lvl>
  </w:abstractNum>
  <w:abstractNum w:abstractNumId="8">
    <w:nsid w:val="1F16E9E8"/>
    <w:multiLevelType w:val="hybridMultilevel"/>
    <w:lvl w:ilvl="0">
      <w:lvlJc w:val="left"/>
      <w:lvlText w:val="**"/>
      <w:numFmt w:val="bullet"/>
      <w:start w:val="1"/>
    </w:lvl>
  </w:abstractNum>
  <w:abstractNum w:abstractNumId="9">
    <w:nsid w:val="1190CDE7"/>
    <w:multiLevelType w:val="hybridMultilevel"/>
    <w:lvl w:ilvl="0">
      <w:lvlJc w:val="left"/>
      <w:lvlText w:val="·"/>
      <w:numFmt w:val="bullet"/>
      <w:start w:val="1"/>
    </w:lvl>
    <w:lvl w:ilvl="1">
      <w:lvlJc w:val="left"/>
      <w:lvlText w:val="·"/>
      <w:numFmt w:val="bullet"/>
      <w:start w:val="1"/>
    </w:lvl>
  </w:abstractNum>
  <w:abstractNum w:abstractNumId="10">
    <w:nsid w:val="66EF438D"/>
    <w:multiLevelType w:val="hybridMultilevel"/>
    <w:lvl w:ilvl="0">
      <w:lvlJc w:val="left"/>
      <w:lvlText w:val="·"/>
      <w:numFmt w:val="bullet"/>
      <w:start w:val="1"/>
    </w:lvl>
  </w:abstractNum>
  <w:abstractNum w:abstractNumId="11">
    <w:nsid w:val="140E0F76"/>
    <w:multiLevelType w:val="hybridMultilevel"/>
    <w:lvl w:ilvl="0">
      <w:lvlJc w:val="left"/>
      <w:lvlText w:val="·"/>
      <w:numFmt w:val="bullet"/>
      <w:start w:val="1"/>
    </w:lvl>
  </w:abstractNum>
  <w:abstractNum w:abstractNumId="12">
    <w:nsid w:val="3352255A"/>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2019-12-11T14:41:24Z</dcterms:created>
  <dcterms:modified xsi:type="dcterms:W3CDTF">2019-12-11T14:41:24Z</dcterms:modified>
</cp:coreProperties>
</file>