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333-165045</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May 16, 2011</w:t>
            </w:r>
          </w:p>
        </w:tc>
      </w:tr>
      <w:tr>
        <w:trPr>
          <w:trHeight w:val="228"/>
        </w:trPr>
        <w:tc>
          <w:tcPr>
            <w:tcW w:w="3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May 16, 2011</w:t>
            </w:r>
          </w:p>
        </w:tc>
      </w:tr>
      <w:tr>
        <w:trPr>
          <w:trHeight w:val="365"/>
        </w:trPr>
        <w:tc>
          <w:tcPr>
            <w:tcW w:w="3200" w:type="dxa"/>
            <w:vAlign w:val="bottom"/>
          </w:tcPr>
          <w:p>
            <w:pPr>
              <w:spacing w:after="0"/>
              <w:rPr>
                <w:sz w:val="24"/>
                <w:szCs w:val="24"/>
                <w:color w:val="auto"/>
              </w:rPr>
            </w:pPr>
          </w:p>
        </w:tc>
        <w:tc>
          <w:tcPr>
            <w:tcW w:w="8220" w:type="dxa"/>
            <w:vAlign w:val="bottom"/>
            <w:gridSpan w:val="3"/>
          </w:tcPr>
          <w:p>
            <w:pPr>
              <w:jc w:val="center"/>
              <w:ind w:right="3112"/>
              <w:spacing w:after="0"/>
              <w:rPr>
                <w:sz w:val="20"/>
                <w:szCs w:val="20"/>
                <w:color w:val="auto"/>
              </w:rPr>
            </w:pPr>
            <w:r>
              <w:rPr>
                <w:rFonts w:ascii="Arial" w:cs="Arial" w:eastAsia="Arial" w:hAnsi="Arial"/>
                <w:sz w:val="18"/>
                <w:szCs w:val="18"/>
                <w:b w:val="1"/>
                <w:bCs w:val="1"/>
                <w:color w:val="auto"/>
                <w:w w:val="97"/>
              </w:rPr>
              <w:t>TEXAS INSTRUMENTS INCORPORATED</w:t>
            </w:r>
          </w:p>
        </w:tc>
      </w:tr>
      <w:tr>
        <w:trPr>
          <w:trHeight w:val="284"/>
        </w:trPr>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760" w:type="dxa"/>
            <w:vAlign w:val="bottom"/>
            <w:gridSpan w:val="2"/>
          </w:tcPr>
          <w:p>
            <w:pPr>
              <w:jc w:val="center"/>
              <w:ind w:right="4552"/>
              <w:spacing w:after="0"/>
              <w:rPr>
                <w:sz w:val="20"/>
                <w:szCs w:val="20"/>
                <w:color w:val="auto"/>
              </w:rPr>
            </w:pPr>
            <w:r>
              <w:rPr>
                <w:rFonts w:ascii="Arial" w:cs="Arial" w:eastAsia="Arial" w:hAnsi="Arial"/>
                <w:sz w:val="18"/>
                <w:szCs w:val="18"/>
                <w:b w:val="1"/>
                <w:bCs w:val="1"/>
                <w:color w:val="auto"/>
                <w:w w:val="87"/>
              </w:rPr>
              <w:t>Pricing Term Sheet</w:t>
            </w:r>
          </w:p>
        </w:tc>
      </w:tr>
      <w:tr>
        <w:trPr>
          <w:trHeight w:val="245"/>
        </w:trPr>
        <w:tc>
          <w:tcPr>
            <w:tcW w:w="3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760" w:type="dxa"/>
            <w:vAlign w:val="bottom"/>
            <w:gridSpan w:val="2"/>
          </w:tcPr>
          <w:p>
            <w:pPr>
              <w:jc w:val="center"/>
              <w:ind w:right="4572"/>
              <w:spacing w:after="0"/>
              <w:rPr>
                <w:sz w:val="20"/>
                <w:szCs w:val="20"/>
                <w:color w:val="auto"/>
              </w:rPr>
            </w:pPr>
            <w:r>
              <w:rPr>
                <w:rFonts w:ascii="Arial" w:cs="Arial" w:eastAsia="Arial" w:hAnsi="Arial"/>
                <w:sz w:val="18"/>
                <w:szCs w:val="18"/>
                <w:color w:val="auto"/>
                <w:w w:val="87"/>
              </w:rPr>
              <w:t>Floating Rate Notes due 2013</w:t>
            </w: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383"/>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Texas Instruments Incorporated (“TI”)</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Principal Amount:</w:t>
            </w:r>
          </w:p>
        </w:tc>
        <w:tc>
          <w:tcPr>
            <w:tcW w:w="3560" w:type="dxa"/>
            <w:vAlign w:val="bottom"/>
            <w:gridSpan w:val="2"/>
          </w:tcPr>
          <w:p>
            <w:pPr>
              <w:ind w:left="1140"/>
              <w:spacing w:after="0"/>
              <w:rPr>
                <w:sz w:val="20"/>
                <w:szCs w:val="20"/>
                <w:color w:val="auto"/>
              </w:rPr>
            </w:pPr>
            <w:r>
              <w:rPr>
                <w:rFonts w:ascii="Arial" w:cs="Arial" w:eastAsia="Arial" w:hAnsi="Arial"/>
                <w:sz w:val="18"/>
                <w:szCs w:val="18"/>
                <w:color w:val="auto"/>
              </w:rPr>
              <w:t>$1,000,000,000</w:t>
            </w:r>
          </w:p>
        </w:tc>
        <w:tc>
          <w:tcPr>
            <w:tcW w:w="466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Maturity:</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May 15, 2013</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Coupon:</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Three-month USD LIBOR plus 0.18%</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Price to Public:</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100% of principal amount</w:t>
            </w:r>
          </w:p>
        </w:tc>
      </w:tr>
      <w:tr>
        <w:trPr>
          <w:trHeight w:val="291"/>
        </w:trPr>
        <w:tc>
          <w:tcPr>
            <w:tcW w:w="3200" w:type="dxa"/>
            <w:vAlign w:val="bottom"/>
          </w:tcPr>
          <w:p>
            <w:pPr>
              <w:spacing w:after="0"/>
              <w:rPr>
                <w:sz w:val="20"/>
                <w:szCs w:val="20"/>
                <w:color w:val="auto"/>
              </w:rPr>
            </w:pPr>
            <w:r>
              <w:rPr>
                <w:rFonts w:ascii="Arial" w:cs="Arial" w:eastAsia="Arial" w:hAnsi="Arial"/>
                <w:sz w:val="18"/>
                <w:szCs w:val="18"/>
                <w:color w:val="auto"/>
              </w:rPr>
              <w:t>Interest:</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w w:val="90"/>
              </w:rPr>
              <w:t>Interest will be payable quarterly in arrears on February 15, May 15, August 15 and November 15,</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w w:val="90"/>
              </w:rPr>
              <w:t>commencing on August 15, 2011. Interest will be determined as set forth under “Description of the</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w w:val="91"/>
              </w:rPr>
              <w:t>Notes—Interest on Floating Rate Notes” in the preliminary prospectus supplement dated May 16,</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2011 to the prospectus dated February 24, 2010, and reset quarterly. The initial Interest</w:t>
            </w:r>
          </w:p>
        </w:tc>
      </w:tr>
      <w:tr>
        <w:trPr>
          <w:trHeight w:val="222"/>
        </w:trPr>
        <w:tc>
          <w:tcPr>
            <w:tcW w:w="3200" w:type="dxa"/>
            <w:vAlign w:val="bottom"/>
          </w:tcPr>
          <w:p>
            <w:pPr>
              <w:spacing w:after="0"/>
              <w:rPr>
                <w:sz w:val="19"/>
                <w:szCs w:val="19"/>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Determination Date will be May 19, 2011.</w:t>
            </w:r>
          </w:p>
        </w:tc>
      </w:tr>
      <w:tr>
        <w:trPr>
          <w:trHeight w:val="284"/>
        </w:trPr>
        <w:tc>
          <w:tcPr>
            <w:tcW w:w="3200" w:type="dxa"/>
            <w:vAlign w:val="bottom"/>
          </w:tcPr>
          <w:p>
            <w:pPr>
              <w:spacing w:after="0"/>
              <w:rPr>
                <w:sz w:val="20"/>
                <w:szCs w:val="20"/>
                <w:color w:val="auto"/>
              </w:rPr>
            </w:pPr>
            <w:r>
              <w:rPr>
                <w:rFonts w:ascii="Arial" w:cs="Arial" w:eastAsia="Arial" w:hAnsi="Arial"/>
                <w:sz w:val="18"/>
                <w:szCs w:val="18"/>
                <w:color w:val="auto"/>
              </w:rPr>
              <w:t>Day Count Convention:</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Actual Days Elapsed/360</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560" w:type="dxa"/>
            <w:vAlign w:val="bottom"/>
            <w:gridSpan w:val="2"/>
          </w:tcPr>
          <w:p>
            <w:pPr>
              <w:ind w:left="1140"/>
              <w:spacing w:after="0"/>
              <w:rPr>
                <w:sz w:val="20"/>
                <w:szCs w:val="20"/>
                <w:color w:val="auto"/>
              </w:rPr>
            </w:pPr>
            <w:r>
              <w:rPr>
                <w:rFonts w:ascii="Arial" w:cs="Arial" w:eastAsia="Arial" w:hAnsi="Arial"/>
                <w:sz w:val="18"/>
                <w:szCs w:val="18"/>
                <w:color w:val="auto"/>
              </w:rPr>
              <w:t>$998,500,000</w:t>
            </w:r>
          </w:p>
        </w:tc>
        <w:tc>
          <w:tcPr>
            <w:tcW w:w="466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Trade Date:</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May 16, 2011</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Settlement Date:</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May 23, 2011 (T+5)</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Denominations:</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$2,000 and multiples of $1,000 thereafter</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CUSIP/ISIN:</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882508 AS3 / US882508AS30</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Ratings:</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Moody’s: A1</w:t>
            </w:r>
          </w:p>
        </w:tc>
      </w:tr>
      <w:tr>
        <w:trPr>
          <w:trHeight w:val="297"/>
        </w:trPr>
        <w:tc>
          <w:tcPr>
            <w:tcW w:w="3200" w:type="dxa"/>
            <w:vAlign w:val="bottom"/>
          </w:tcPr>
          <w:p>
            <w:pPr>
              <w:spacing w:after="0"/>
              <w:rPr>
                <w:sz w:val="24"/>
                <w:szCs w:val="24"/>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S&amp;P: A+</w:t>
            </w:r>
          </w:p>
        </w:tc>
      </w:tr>
      <w:tr>
        <w:trPr>
          <w:trHeight w:val="284"/>
        </w:trPr>
        <w:tc>
          <w:tcPr>
            <w:tcW w:w="32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Morgan Stanley &amp; Co. Incorporated</w:t>
            </w:r>
          </w:p>
        </w:tc>
      </w:tr>
      <w:tr>
        <w:trPr>
          <w:trHeight w:val="223"/>
        </w:trPr>
        <w:tc>
          <w:tcPr>
            <w:tcW w:w="3200" w:type="dxa"/>
            <w:vAlign w:val="bottom"/>
          </w:tcPr>
          <w:p>
            <w:pPr>
              <w:spacing w:after="0"/>
              <w:rPr>
                <w:sz w:val="19"/>
                <w:szCs w:val="19"/>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J.P. Morgan Securities LLC</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760" w:type="dxa"/>
            <w:vAlign w:val="bottom"/>
            <w:gridSpan w:val="2"/>
          </w:tcPr>
          <w:p>
            <w:pPr>
              <w:jc w:val="right"/>
              <w:ind w:right="5132"/>
              <w:spacing w:after="0"/>
              <w:rPr>
                <w:sz w:val="20"/>
                <w:szCs w:val="20"/>
                <w:color w:val="auto"/>
              </w:rPr>
            </w:pPr>
            <w:r>
              <w:rPr>
                <w:rFonts w:ascii="Arial" w:cs="Arial" w:eastAsia="Arial" w:hAnsi="Arial"/>
                <w:sz w:val="18"/>
                <w:szCs w:val="18"/>
                <w:color w:val="auto"/>
              </w:rPr>
              <w:t>Incorporated</w:t>
            </w:r>
          </w:p>
        </w:tc>
      </w:tr>
      <w:tr>
        <w:trPr>
          <w:trHeight w:val="222"/>
        </w:trPr>
        <w:tc>
          <w:tcPr>
            <w:tcW w:w="3200" w:type="dxa"/>
            <w:vAlign w:val="bottom"/>
          </w:tcPr>
          <w:p>
            <w:pPr>
              <w:spacing w:after="0"/>
              <w:rPr>
                <w:sz w:val="19"/>
                <w:szCs w:val="19"/>
                <w:color w:val="auto"/>
              </w:rPr>
            </w:pPr>
          </w:p>
        </w:tc>
        <w:tc>
          <w:tcPr>
            <w:tcW w:w="8220" w:type="dxa"/>
            <w:vAlign w:val="bottom"/>
            <w:gridSpan w:val="3"/>
          </w:tcPr>
          <w:p>
            <w:pPr>
              <w:ind w:left="1140"/>
              <w:spacing w:after="0"/>
              <w:rPr>
                <w:sz w:val="20"/>
                <w:szCs w:val="20"/>
                <w:color w:val="auto"/>
              </w:rPr>
            </w:pPr>
            <w:r>
              <w:rPr>
                <w:rFonts w:ascii="Arial" w:cs="Arial" w:eastAsia="Arial" w:hAnsi="Arial"/>
                <w:sz w:val="18"/>
                <w:szCs w:val="18"/>
                <w:color w:val="auto"/>
              </w:rPr>
              <w:t>Citigroup Global Markets Inc.</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0.</w:t>
            </w:r>
            <w:r>
              <w:rPr>
                <w:rFonts w:ascii="Arial" w:cs="Arial" w:eastAsia="Arial" w:hAnsi="Arial"/>
                <w:sz w:val="18"/>
                <w:szCs w:val="18"/>
                <w:u w:val="single" w:color="auto"/>
                <w:color w:val="auto"/>
                <w:w w:val="85"/>
              </w:rPr>
              <w:t>875%</w:t>
            </w:r>
            <w:r>
              <w:rPr>
                <w:rFonts w:ascii="Arial" w:cs="Arial" w:eastAsia="Arial" w:hAnsi="Arial"/>
                <w:sz w:val="18"/>
                <w:szCs w:val="18"/>
                <w:color w:val="auto"/>
                <w:w w:val="85"/>
              </w:rPr>
              <w:t xml:space="preserve"> Notes due 2013</w:t>
            </w:r>
          </w:p>
        </w:tc>
        <w:tc>
          <w:tcPr>
            <w:tcW w:w="4860" w:type="dxa"/>
            <w:vAlign w:val="bottom"/>
          </w:tcPr>
          <w:p>
            <w:pPr>
              <w:spacing w:after="0"/>
              <w:rPr>
                <w:sz w:val="17"/>
                <w:szCs w:val="17"/>
                <w:color w:val="auto"/>
              </w:rPr>
            </w:pPr>
          </w:p>
        </w:tc>
      </w:tr>
      <w:tr>
        <w:trPr>
          <w:trHeight w:val="383"/>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Texas Instruments Incorporated (“TI”)</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$500,000,000</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15, 2013</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0.875%</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99.953% of principal amount</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15 and November 15, commencing November 15, 2011</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980"/>
              <w:spacing w:after="0"/>
              <w:rPr>
                <w:sz w:val="20"/>
                <w:szCs w:val="20"/>
                <w:color w:val="auto"/>
              </w:rPr>
            </w:pPr>
            <w:r>
              <w:rPr>
                <w:rFonts w:ascii="Arial" w:cs="Arial" w:eastAsia="Arial" w:hAnsi="Arial"/>
                <w:sz w:val="18"/>
                <w:szCs w:val="18"/>
                <w:color w:val="auto"/>
                <w:w w:val="94"/>
              </w:rPr>
              <w:t>30/360</w:t>
            </w:r>
          </w:p>
        </w:tc>
        <w:tc>
          <w:tcPr>
            <w:tcW w:w="16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$499,015,000</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0.625% due April 30, 2013</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37.5 basis points</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0.899%</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0.524%</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Make-Whole Call:</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At any time at a discount rate of Treasury plus 5 basis points</w:t>
            </w:r>
          </w:p>
        </w:tc>
      </w:tr>
      <w:tr>
        <w:trPr>
          <w:trHeight w:val="291"/>
        </w:trPr>
        <w:tc>
          <w:tcPr>
            <w:tcW w:w="336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w w:val="90"/>
              </w:rPr>
              <w:t>At 101%, if TI’s merger with National Semiconductor Corporation has not closed by April 30, 2012,</w:t>
            </w:r>
          </w:p>
        </w:tc>
      </w:tr>
      <w:tr>
        <w:trPr>
          <w:trHeight w:val="222"/>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or such earlier date as the merger agreement is terminated</w:t>
            </w: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16, 2011</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23, 2011 (T+5)</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Denominations: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$2,000 and multiples of $1,000 thereafter</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CUSIP/ISIN:</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882508 AP9 / US882508AP90</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Moody’s: A1</w:t>
            </w:r>
          </w:p>
        </w:tc>
      </w:tr>
      <w:tr>
        <w:trPr>
          <w:trHeight w:val="297"/>
        </w:trPr>
        <w:tc>
          <w:tcPr>
            <w:tcW w:w="3360" w:type="dxa"/>
            <w:vAlign w:val="bottom"/>
          </w:tcPr>
          <w:p>
            <w:pPr>
              <w:spacing w:after="0"/>
              <w:rPr>
                <w:sz w:val="24"/>
                <w:szCs w:val="24"/>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S&amp;P: A+</w:t>
            </w: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Morgan Stanley &amp; Co. Incorporated</w:t>
            </w:r>
          </w:p>
        </w:tc>
      </w:tr>
      <w:tr>
        <w:trPr>
          <w:trHeight w:val="223"/>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60" w:type="dxa"/>
            <w:vAlign w:val="bottom"/>
          </w:tcPr>
          <w:p>
            <w:pPr>
              <w:spacing w:after="0"/>
              <w:rPr>
                <w:sz w:val="18"/>
                <w:szCs w:val="18"/>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Incorporated</w:t>
            </w:r>
          </w:p>
        </w:tc>
      </w:tr>
      <w:tr>
        <w:trPr>
          <w:trHeight w:val="222"/>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Citigroup Global Markets Inc.</w:t>
            </w:r>
          </w:p>
        </w:tc>
      </w:tr>
    </w:tbl>
    <w:p>
      <w:pPr>
        <w:sectPr>
          <w:pgSz w:w="11900" w:h="16838" w:orient="portrait"/>
          <w:cols w:equalWidth="0" w:num="1">
            <w:col w:w="11420"/>
          </w:cols>
          <w:pgMar w:left="240" w:top="257"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375%</w:t>
            </w:r>
            <w:r>
              <w:rPr>
                <w:rFonts w:ascii="Arial" w:cs="Arial" w:eastAsia="Arial" w:hAnsi="Arial"/>
                <w:sz w:val="18"/>
                <w:szCs w:val="18"/>
                <w:color w:val="auto"/>
                <w:w w:val="85"/>
              </w:rPr>
              <w:t xml:space="preserve"> Notes due 2014</w:t>
            </w:r>
          </w:p>
        </w:tc>
        <w:tc>
          <w:tcPr>
            <w:tcW w:w="4860" w:type="dxa"/>
            <w:vAlign w:val="bottom"/>
          </w:tcPr>
          <w:p>
            <w:pPr>
              <w:spacing w:after="0"/>
              <w:rPr>
                <w:sz w:val="17"/>
                <w:szCs w:val="17"/>
                <w:color w:val="auto"/>
              </w:rPr>
            </w:pPr>
          </w:p>
        </w:tc>
      </w:tr>
      <w:tr>
        <w:trPr>
          <w:trHeight w:val="383"/>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Texas Instruments Incorporated (“TI”)</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$1,000,000,000</w:t>
            </w:r>
          </w:p>
        </w:tc>
        <w:tc>
          <w:tcPr>
            <w:tcW w:w="4860" w:type="dxa"/>
            <w:vAlign w:val="bottom"/>
          </w:tcPr>
          <w:p>
            <w:pPr>
              <w:spacing w:after="0"/>
              <w:rPr>
                <w:sz w:val="24"/>
                <w:szCs w:val="24"/>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15, 2014</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1.375%</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99.875% of principal amount</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15 and November 15, commencing November 15, 2011</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980"/>
              <w:spacing w:after="0"/>
              <w:rPr>
                <w:sz w:val="20"/>
                <w:szCs w:val="20"/>
                <w:color w:val="auto"/>
              </w:rPr>
            </w:pPr>
            <w:r>
              <w:rPr>
                <w:rFonts w:ascii="Arial" w:cs="Arial" w:eastAsia="Arial" w:hAnsi="Arial"/>
                <w:sz w:val="18"/>
                <w:szCs w:val="18"/>
                <w:color w:val="auto"/>
                <w:w w:val="94"/>
              </w:rPr>
              <w:t>30/360</w:t>
            </w:r>
          </w:p>
        </w:tc>
        <w:tc>
          <w:tcPr>
            <w:tcW w:w="16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$996,250,000</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1.000% due May 15, 2014</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50 basis points</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1.418%</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0.918%</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Make-Whole Call:</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At any time at a discount rate of Treasury plus 7.5 basis points</w:t>
            </w:r>
          </w:p>
        </w:tc>
      </w:tr>
      <w:tr>
        <w:trPr>
          <w:trHeight w:val="291"/>
        </w:trPr>
        <w:tc>
          <w:tcPr>
            <w:tcW w:w="336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w w:val="90"/>
              </w:rPr>
              <w:t>At 101%, if TI’s merger with National Semiconductor Corporation has not closed by April 30, 2012,</w:t>
            </w:r>
          </w:p>
        </w:tc>
      </w:tr>
      <w:tr>
        <w:trPr>
          <w:trHeight w:val="222"/>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or such earlier date as the merger agreement is terminated</w:t>
            </w: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16, 2011</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23, 2011 (T+5)</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Denominations: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$2,000 and multiples of $1,000 thereafter</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CUSIP/ISIN:</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882508 AQ7 / US882508AQ73</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Moody’s: A1</w:t>
            </w:r>
          </w:p>
        </w:tc>
      </w:tr>
      <w:tr>
        <w:trPr>
          <w:trHeight w:val="297"/>
        </w:trPr>
        <w:tc>
          <w:tcPr>
            <w:tcW w:w="3360" w:type="dxa"/>
            <w:vAlign w:val="bottom"/>
          </w:tcPr>
          <w:p>
            <w:pPr>
              <w:spacing w:after="0"/>
              <w:rPr>
                <w:sz w:val="24"/>
                <w:szCs w:val="24"/>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S&amp;P: A+</w:t>
            </w: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Morgan Stanley &amp; Co. Incorporated</w:t>
            </w:r>
          </w:p>
        </w:tc>
      </w:tr>
      <w:tr>
        <w:trPr>
          <w:trHeight w:val="223"/>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60" w:type="dxa"/>
            <w:vAlign w:val="bottom"/>
          </w:tcPr>
          <w:p>
            <w:pPr>
              <w:spacing w:after="0"/>
              <w:rPr>
                <w:sz w:val="18"/>
                <w:szCs w:val="18"/>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Incorporated</w:t>
            </w:r>
          </w:p>
        </w:tc>
      </w:tr>
      <w:tr>
        <w:trPr>
          <w:trHeight w:val="222"/>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Citigroup Global Markets Inc.</w:t>
            </w:r>
          </w:p>
        </w:tc>
      </w:tr>
    </w:tbl>
    <w:p>
      <w:pPr>
        <w:sectPr>
          <w:pgSz w:w="11900" w:h="16838" w:orient="portrait"/>
          <w:cols w:equalWidth="0" w:num="1">
            <w:col w:w="11420"/>
          </w:cols>
          <w:pgMar w:left="240" w:top="257"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2.</w:t>
            </w:r>
            <w:r>
              <w:rPr>
                <w:rFonts w:ascii="Arial" w:cs="Arial" w:eastAsia="Arial" w:hAnsi="Arial"/>
                <w:sz w:val="18"/>
                <w:szCs w:val="18"/>
                <w:u w:val="single" w:color="auto"/>
                <w:color w:val="auto"/>
                <w:w w:val="85"/>
              </w:rPr>
              <w:t>375%</w:t>
            </w:r>
            <w:r>
              <w:rPr>
                <w:rFonts w:ascii="Arial" w:cs="Arial" w:eastAsia="Arial" w:hAnsi="Arial"/>
                <w:sz w:val="18"/>
                <w:szCs w:val="18"/>
                <w:color w:val="auto"/>
                <w:w w:val="85"/>
              </w:rPr>
              <w:t xml:space="preserve"> Notes due 2016</w:t>
            </w:r>
          </w:p>
        </w:tc>
        <w:tc>
          <w:tcPr>
            <w:tcW w:w="4860" w:type="dxa"/>
            <w:vAlign w:val="bottom"/>
          </w:tcPr>
          <w:p>
            <w:pPr>
              <w:spacing w:after="0"/>
              <w:rPr>
                <w:sz w:val="17"/>
                <w:szCs w:val="17"/>
                <w:color w:val="auto"/>
              </w:rPr>
            </w:pPr>
          </w:p>
        </w:tc>
      </w:tr>
      <w:tr>
        <w:trPr>
          <w:trHeight w:val="383"/>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Texas Instruments Incorporated (“TI”)</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$1,000,000,000</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16, 2016</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2.375%</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99.893% of principal amount</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15 and November 15, commencing November 15, 2011</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980"/>
              <w:spacing w:after="0"/>
              <w:rPr>
                <w:sz w:val="20"/>
                <w:szCs w:val="20"/>
                <w:color w:val="auto"/>
              </w:rPr>
            </w:pPr>
            <w:r>
              <w:rPr>
                <w:rFonts w:ascii="Arial" w:cs="Arial" w:eastAsia="Arial" w:hAnsi="Arial"/>
                <w:sz w:val="18"/>
                <w:szCs w:val="18"/>
                <w:color w:val="auto"/>
                <w:w w:val="94"/>
              </w:rPr>
              <w:t>30/360</w:t>
            </w:r>
          </w:p>
        </w:tc>
        <w:tc>
          <w:tcPr>
            <w:tcW w:w="16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$995,430,000</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2.000% due April 30, 2016</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60 basis points</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2.398%</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3200" w:type="dxa"/>
            <w:vAlign w:val="bottom"/>
            <w:gridSpan w:val="2"/>
          </w:tcPr>
          <w:p>
            <w:pPr>
              <w:ind w:left="980"/>
              <w:spacing w:after="0"/>
              <w:rPr>
                <w:sz w:val="20"/>
                <w:szCs w:val="20"/>
                <w:color w:val="auto"/>
              </w:rPr>
            </w:pPr>
            <w:r>
              <w:rPr>
                <w:rFonts w:ascii="Arial" w:cs="Arial" w:eastAsia="Arial" w:hAnsi="Arial"/>
                <w:sz w:val="18"/>
                <w:szCs w:val="18"/>
                <w:color w:val="auto"/>
              </w:rPr>
              <w:t>1.798%</w:t>
            </w:r>
          </w:p>
        </w:tc>
        <w:tc>
          <w:tcPr>
            <w:tcW w:w="48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Make-Whole Call:</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At any time at a discount rate of Treasury plus 10 basis points</w:t>
            </w:r>
          </w:p>
        </w:tc>
      </w:tr>
      <w:tr>
        <w:trPr>
          <w:trHeight w:val="291"/>
        </w:trPr>
        <w:tc>
          <w:tcPr>
            <w:tcW w:w="336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w w:val="90"/>
              </w:rPr>
              <w:t>At 101%, if TI’s merger with National Semiconductor Corporation has not closed by April 30, 2012,</w:t>
            </w:r>
          </w:p>
        </w:tc>
      </w:tr>
      <w:tr>
        <w:trPr>
          <w:trHeight w:val="222"/>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or such earlier date as the merger agreement is terminated</w:t>
            </w: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16, 2011</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May 23, 2011 (T+5)</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Denominations: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$2,000 and multiples of $1,000 thereafter</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CUSIP/ISIN:</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882508 AR5 / US882508AR56</w:t>
            </w:r>
          </w:p>
        </w:tc>
      </w:tr>
      <w:tr>
        <w:trPr>
          <w:trHeight w:val="297"/>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Moody’s: A1</w:t>
            </w:r>
          </w:p>
        </w:tc>
      </w:tr>
      <w:tr>
        <w:trPr>
          <w:trHeight w:val="297"/>
        </w:trPr>
        <w:tc>
          <w:tcPr>
            <w:tcW w:w="3360" w:type="dxa"/>
            <w:vAlign w:val="bottom"/>
          </w:tcPr>
          <w:p>
            <w:pPr>
              <w:spacing w:after="0"/>
              <w:rPr>
                <w:sz w:val="24"/>
                <w:szCs w:val="24"/>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S&amp;P: A+</w:t>
            </w: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Morgan Stanley &amp; Co. Incorporated</w:t>
            </w:r>
          </w:p>
        </w:tc>
      </w:tr>
      <w:tr>
        <w:trPr>
          <w:trHeight w:val="223"/>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60" w:type="dxa"/>
            <w:vAlign w:val="bottom"/>
          </w:tcPr>
          <w:p>
            <w:pPr>
              <w:spacing w:after="0"/>
              <w:rPr>
                <w:sz w:val="18"/>
                <w:szCs w:val="18"/>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Incorporated</w:t>
            </w:r>
          </w:p>
        </w:tc>
      </w:tr>
      <w:tr>
        <w:trPr>
          <w:trHeight w:val="222"/>
        </w:trPr>
        <w:tc>
          <w:tcPr>
            <w:tcW w:w="3360" w:type="dxa"/>
            <w:vAlign w:val="bottom"/>
          </w:tcPr>
          <w:p>
            <w:pPr>
              <w:spacing w:after="0"/>
              <w:rPr>
                <w:sz w:val="19"/>
                <w:szCs w:val="19"/>
                <w:color w:val="auto"/>
              </w:rPr>
            </w:pPr>
          </w:p>
        </w:tc>
        <w:tc>
          <w:tcPr>
            <w:tcW w:w="8060" w:type="dxa"/>
            <w:vAlign w:val="bottom"/>
            <w:gridSpan w:val="3"/>
          </w:tcPr>
          <w:p>
            <w:pPr>
              <w:ind w:left="980"/>
              <w:spacing w:after="0"/>
              <w:rPr>
                <w:sz w:val="20"/>
                <w:szCs w:val="20"/>
                <w:color w:val="auto"/>
              </w:rPr>
            </w:pPr>
            <w:r>
              <w:rPr>
                <w:rFonts w:ascii="Arial" w:cs="Arial" w:eastAsia="Arial" w:hAnsi="Arial"/>
                <w:sz w:val="18"/>
                <w:szCs w:val="18"/>
                <w:color w:val="auto"/>
              </w:rPr>
              <w:t>Citigroup Global Markets Inc.</w:t>
            </w:r>
          </w:p>
        </w:tc>
      </w:tr>
    </w:tbl>
    <w:p>
      <w:pPr>
        <w:sectPr>
          <w:pgSz w:w="11900" w:h="16838" w:orient="portrait"/>
          <w:cols w:equalWidth="0" w:num="1">
            <w:col w:w="11420"/>
          </w:cols>
          <w:pgMar w:left="240" w:top="25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 on or about May 23, 2011,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9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Incorporated at 1-866-718-1649, J.P. Morgan Securities LLC at 1-212-834-4533, Merrill Lynch, Pierce, Fenner &amp; Smith Incorporated at 1-800-294-1322 or Citigroup Global Markets Inc. at 1-877-858-5407.</w:t>
      </w:r>
    </w:p>
    <w:p>
      <w:pPr>
        <w:spacing w:after="0" w:line="100"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2019-12-10T04:00:13Z</dcterms:created>
  <dcterms:modified xsi:type="dcterms:W3CDTF">2019-12-10T04:00:13Z</dcterms:modified>
</cp:coreProperties>
</file>