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333-262523</w:t>
      </w:r>
    </w:p>
    <w:p>
      <w:pPr>
        <w:spacing w:after="0" w:line="103"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PROSPECTUS SUPPLEMENT</w:t>
      </w:r>
    </w:p>
    <w:p>
      <w:pPr>
        <w:spacing w:after="0" w:line="2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Prospectus Dated February 4, 2022)</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$1,600,000,000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100965</wp:posOffset>
            </wp:positionV>
            <wp:extent cx="251206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206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$200,000,000 4.600% Notes due 2028</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$200,000,000 4.900% Notes due 2033</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$1,200,000,000 5.050% Notes due 2063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8" w:lineRule="exact"/>
        <w:rPr>
          <w:sz w:val="24"/>
          <w:szCs w:val="24"/>
          <w:color w:val="auto"/>
        </w:rPr>
      </w:pPr>
    </w:p>
    <w:p>
      <w:pPr>
        <w:ind w:left="120" w:right="20"/>
        <w:spacing w:after="0" w:line="286" w:lineRule="auto"/>
        <w:rPr>
          <w:sz w:val="20"/>
          <w:szCs w:val="20"/>
          <w:color w:val="auto"/>
        </w:rPr>
      </w:pPr>
      <w:r>
        <w:rPr>
          <w:rFonts w:ascii="Arial" w:cs="Arial" w:eastAsia="Arial" w:hAnsi="Arial"/>
          <w:sz w:val="15"/>
          <w:szCs w:val="15"/>
          <w:color w:val="auto"/>
        </w:rPr>
        <w:t>Texas Instruments Incorporated is offering $200,000,000 aggregate principal amount of its 4.600% Notes due 2028 (the “2028 Notes”), $200,000,000 aggregate principal amount of its 4.900% Notes due 2033 (the “2033 Notes”) and $1,200,000,000 aggregate principal amount of its 5.050% Notes due 2063 (the “2063 Notes,” and together with the 2028 Notes and the 2033 Notes, the “Notes”), which will bear interest at the applicable rate per year for each series as set forth above. The 2028 Notes will be a further issuance of, and will form a single series with, the $500,000,000 aggregate principal amount of 4.600% Notes due 2028 issued on November 18, 2022 (the “Existing 2028 Notes”). The 2033 Notes will be a further issuance of, and will form a single series with, the $750,000,000 aggregate principal amount of 4.900% Notes due 2033 issued on March 14, 2023 (the “Existing 2033 Notes”). The 2028 Notes and the 2033 Notes offered hereby will have the same terms (other than issue date, price to public and, in the case of the 2028 Notes, initial interest payment date) and will vote together as a single class, with the same CUSIP number as, and be fungible with, the Existing 2028 Notes and the Existing 2033 Notes, respectively. Upon completion of this offering, we will have $700,000,000 aggregate principal amount of outstanding 2028 Notes and $950,000,000 aggregate principal amount of outstanding 2033 Notes. Interest on the 2028 Notes will be payable semi-annually in arrears on February 15 and August 15 of each year, beginning on August 15, 2023. Interest on the 2033 Notes will be payable semi-annually in arrears on March 14 and September 14 of each year, beginning on September 14, 2023. Interest on the 2063 Notes will be payable semi-annually in arrears on May 18 and November 18 of each year, beginning on November 18, 2023.</w:t>
      </w:r>
    </w:p>
    <w:p>
      <w:pPr>
        <w:spacing w:after="0" w:line="3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2028 Notes will mature on February 15, 2028, the 2033 Notes will mature on March 14, 2033 and the 2063 Notes will mature on May 18, 2063.</w:t>
      </w:r>
    </w:p>
    <w:p>
      <w:pPr>
        <w:spacing w:after="0" w:line="100" w:lineRule="exact"/>
        <w:rPr>
          <w:sz w:val="24"/>
          <w:szCs w:val="24"/>
          <w:color w:val="auto"/>
        </w:rPr>
      </w:pPr>
    </w:p>
    <w:p>
      <w:pPr>
        <w:ind w:left="120" w:right="200"/>
        <w:spacing w:after="0" w:line="293" w:lineRule="auto"/>
        <w:rPr>
          <w:sz w:val="20"/>
          <w:szCs w:val="20"/>
          <w:color w:val="auto"/>
        </w:rPr>
      </w:pPr>
      <w:r>
        <w:rPr>
          <w:rFonts w:ascii="Arial" w:cs="Arial" w:eastAsia="Arial" w:hAnsi="Arial"/>
          <w:sz w:val="16"/>
          <w:szCs w:val="16"/>
          <w:color w:val="auto"/>
        </w:rPr>
        <w:t>We may redeem some or all of the Notes at any time and from time to time at the applicable redemption prices indicated under the caption “Description of the Notes— Optional Redemption.”</w:t>
      </w:r>
    </w:p>
    <w:p>
      <w:pPr>
        <w:spacing w:after="0" w:line="23" w:lineRule="exact"/>
        <w:rPr>
          <w:sz w:val="24"/>
          <w:szCs w:val="24"/>
          <w:color w:val="auto"/>
        </w:rPr>
      </w:pPr>
    </w:p>
    <w:p>
      <w:pPr>
        <w:ind w:left="120" w:right="140"/>
        <w:spacing w:after="0" w:line="293" w:lineRule="auto"/>
        <w:rPr>
          <w:sz w:val="20"/>
          <w:szCs w:val="20"/>
          <w:color w:val="auto"/>
        </w:rPr>
      </w:pPr>
      <w:r>
        <w:rPr>
          <w:rFonts w:ascii="Arial" w:cs="Arial" w:eastAsia="Arial" w:hAnsi="Arial"/>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Investing in the Notes involves risks. See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beginning on page S-5.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p>
      <w:pPr>
        <w:ind w:left="120" w:right="280"/>
        <w:spacing w:after="0" w:line="293"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 2028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Arial" w:cs="Arial" w:eastAsia="Arial" w:hAnsi="Arial"/>
                <w:sz w:val="14"/>
                <w:szCs w:val="14"/>
                <w:b w:val="1"/>
                <w:bCs w:val="1"/>
                <w:color w:val="auto"/>
                <w:w w:val="89"/>
              </w:rPr>
              <w:t>2028 Notes</w:t>
            </w: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 2033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ind w:right="43"/>
              <w:spacing w:after="0"/>
              <w:rPr>
                <w:sz w:val="20"/>
                <w:szCs w:val="20"/>
                <w:color w:val="auto"/>
              </w:rPr>
            </w:pPr>
            <w:r>
              <w:rPr>
                <w:rFonts w:ascii="Arial" w:cs="Arial" w:eastAsia="Arial" w:hAnsi="Arial"/>
                <w:sz w:val="14"/>
                <w:szCs w:val="14"/>
                <w:b w:val="1"/>
                <w:bCs w:val="1"/>
                <w:color w:val="auto"/>
                <w:w w:val="91"/>
              </w:rPr>
              <w:t>2033 Notes</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Per 2063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03"/>
              <w:spacing w:after="0"/>
              <w:rPr>
                <w:sz w:val="20"/>
                <w:szCs w:val="20"/>
                <w:color w:val="auto"/>
              </w:rPr>
            </w:pPr>
            <w:r>
              <w:rPr>
                <w:rFonts w:ascii="Arial" w:cs="Arial" w:eastAsia="Arial" w:hAnsi="Arial"/>
                <w:sz w:val="14"/>
                <w:szCs w:val="14"/>
                <w:b w:val="1"/>
                <w:bCs w:val="1"/>
                <w:color w:val="auto"/>
              </w:rPr>
              <w:t>2063 Notes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Notes</w:t>
            </w:r>
          </w:p>
        </w:tc>
      </w:tr>
      <w:tr>
        <w:trPr>
          <w:trHeight w:val="171"/>
        </w:trPr>
        <w:tc>
          <w:tcPr>
            <w:tcW w:w="36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96"/>
        </w:trPr>
        <w:tc>
          <w:tcPr>
            <w:tcW w:w="3620" w:type="dxa"/>
            <w:vAlign w:val="bottom"/>
            <w:shd w:val="clear" w:color="auto" w:fill="CCEEFF"/>
          </w:tcPr>
          <w:p>
            <w:pPr>
              <w:spacing w:after="0" w:line="195" w:lineRule="exact"/>
              <w:rPr>
                <w:sz w:val="20"/>
                <w:szCs w:val="20"/>
                <w:color w:val="auto"/>
              </w:rPr>
            </w:pPr>
            <w:r>
              <w:rPr>
                <w:rFonts w:ascii="Arial" w:cs="Arial" w:eastAsia="Arial" w:hAnsi="Arial"/>
                <w:sz w:val="15"/>
                <w:szCs w:val="15"/>
                <w:color w:val="auto"/>
              </w:rPr>
              <w:t>Public offering price</w:t>
            </w:r>
            <w:r>
              <w:rPr>
                <w:rFonts w:ascii="Arial" w:cs="Arial" w:eastAsia="Arial" w:hAnsi="Arial"/>
                <w:sz w:val="22"/>
                <w:szCs w:val="22"/>
                <w:color w:val="auto"/>
                <w:vertAlign w:val="superscript"/>
              </w:rPr>
              <w:t>(1) (2)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102.404%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204,808,000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103.751%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207,502,000</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99.167%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1,190,004,000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1,602,314,000</w:t>
            </w:r>
          </w:p>
        </w:tc>
        <w:tc>
          <w:tcPr>
            <w:tcW w:w="40" w:type="dxa"/>
            <w:vAlign w:val="bottom"/>
            <w:shd w:val="clear" w:color="auto" w:fill="CCEEFF"/>
          </w:tcPr>
          <w:p>
            <w:pPr>
              <w:spacing w:after="0"/>
              <w:rPr>
                <w:sz w:val="17"/>
                <w:szCs w:val="17"/>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Underwriting discounts</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0.300%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600,000</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0.350%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700,000</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0.600%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7,200,000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8,500,000</w:t>
            </w:r>
          </w:p>
        </w:tc>
        <w:tc>
          <w:tcPr>
            <w:tcW w:w="40" w:type="dxa"/>
            <w:vAlign w:val="bottom"/>
          </w:tcPr>
          <w:p>
            <w:pPr>
              <w:spacing w:after="0"/>
              <w:rPr>
                <w:sz w:val="17"/>
                <w:szCs w:val="17"/>
                <w:color w:val="auto"/>
              </w:rPr>
            </w:pPr>
          </w:p>
        </w:tc>
      </w:tr>
      <w:tr>
        <w:trPr>
          <w:trHeight w:val="203"/>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102.104%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204,208,000</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103.401%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206,802,000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98.567%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1,182,804,000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1,593,814,000</w:t>
            </w:r>
          </w:p>
        </w:tc>
        <w:tc>
          <w:tcPr>
            <w:tcW w:w="40" w:type="dxa"/>
            <w:vAlign w:val="bottom"/>
            <w:shd w:val="clear" w:color="auto" w:fill="CCEEFF"/>
          </w:tcPr>
          <w:p>
            <w:pPr>
              <w:spacing w:after="0"/>
              <w:rPr>
                <w:sz w:val="17"/>
                <w:szCs w:val="17"/>
                <w:color w:val="auto"/>
              </w:rPr>
            </w:pPr>
          </w:p>
        </w:tc>
      </w:tr>
    </w:tbl>
    <w:p>
      <w:pPr>
        <w:spacing w:after="0" w:line="31" w:lineRule="exact"/>
        <w:rPr>
          <w:sz w:val="24"/>
          <w:szCs w:val="24"/>
          <w:color w:val="auto"/>
        </w:rPr>
      </w:pPr>
    </w:p>
    <w:p>
      <w:pPr>
        <w:ind w:left="560" w:hanging="444"/>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the case of the 2028 Notes, plus accrued interest from February 15, 2023.</w:t>
      </w:r>
    </w:p>
    <w:p>
      <w:pPr>
        <w:spacing w:after="0" w:line="22" w:lineRule="exact"/>
        <w:rPr>
          <w:rFonts w:ascii="Arial" w:cs="Arial" w:eastAsia="Arial" w:hAnsi="Arial"/>
          <w:sz w:val="16"/>
          <w:szCs w:val="16"/>
          <w:color w:val="auto"/>
        </w:rPr>
      </w:pPr>
    </w:p>
    <w:p>
      <w:pPr>
        <w:ind w:left="560" w:hanging="444"/>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the case of the 2033 Notes, plus accrued interest from 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both"/>
        <w:ind w:left="120" w:right="200"/>
        <w:spacing w:after="0" w:line="278" w:lineRule="auto"/>
        <w:rPr>
          <w:sz w:val="20"/>
          <w:szCs w:val="20"/>
          <w:color w:val="auto"/>
        </w:rPr>
      </w:pPr>
      <w:r>
        <w:rPr>
          <w:rFonts w:ascii="Arial" w:cs="Arial" w:eastAsia="Arial" w:hAnsi="Arial"/>
          <w:sz w:val="16"/>
          <w:szCs w:val="16"/>
          <w:color w:val="auto"/>
        </w:rPr>
        <w:t>Interest on the 2028 Notes offered hereby will accrue from, and including, February 15, 2023 to, but excluding, the date of delivery. Interest on the 2033 Notes offered hereby will accrue from, and including, March 14, 2023 to, but excluding, the date of delivery. Interest on the 2063 Notes will accrue from May 18, 2023 to the date of delivery.</w:t>
      </w:r>
    </w:p>
    <w:p>
      <w:pPr>
        <w:spacing w:after="0" w:line="36" w:lineRule="exact"/>
        <w:rPr>
          <w:sz w:val="24"/>
          <w:szCs w:val="24"/>
          <w:color w:val="auto"/>
        </w:rPr>
      </w:pPr>
    </w:p>
    <w:p>
      <w:pPr>
        <w:ind w:left="120" w:right="20"/>
        <w:spacing w:after="0" w:line="278" w:lineRule="auto"/>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 participants, including Euroclear Bank S.A./N.V. and Clearstream Banking, S.A., on or about May 18, 2023, which is the fifth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Joint Book-Running Managers</w:t>
      </w:r>
    </w:p>
    <w:p>
      <w:pPr>
        <w:sectPr>
          <w:pgSz w:w="11900" w:h="16838" w:orient="portrait"/>
          <w:cols w:equalWidth="0" w:num="1">
            <w:col w:w="11140"/>
          </w:cols>
          <w:pgMar w:left="320" w:top="230" w:right="439" w:bottom="1440" w:gutter="0" w:footer="0" w:header="0"/>
        </w:sectPr>
      </w:pPr>
    </w:p>
    <w:p>
      <w:pPr>
        <w:spacing w:after="0" w:line="86"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2620"/>
        <w:spacing w:after="0"/>
        <w:rPr>
          <w:sz w:val="20"/>
          <w:szCs w:val="20"/>
          <w:color w:val="auto"/>
        </w:rPr>
      </w:pPr>
      <w:r>
        <w:rPr>
          <w:rFonts w:ascii="Arial" w:cs="Arial" w:eastAsia="Arial" w:hAnsi="Arial"/>
          <w:sz w:val="23"/>
          <w:szCs w:val="23"/>
          <w:b w:val="1"/>
          <w:bCs w:val="1"/>
          <w:color w:val="auto"/>
        </w:rPr>
        <w:t>Morgan Stanley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US Bancorp</w:t>
      </w:r>
    </w:p>
    <w:p>
      <w:pPr>
        <w:spacing w:after="0" w:line="123" w:lineRule="exact"/>
        <w:rPr>
          <w:sz w:val="24"/>
          <w:szCs w:val="24"/>
          <w:color w:val="auto"/>
        </w:rPr>
      </w:pPr>
    </w:p>
    <w:p>
      <w:pPr>
        <w:sectPr>
          <w:pgSz w:w="11900" w:h="16838" w:orient="portrait"/>
          <w:cols w:equalWidth="0" w:num="3">
            <w:col w:w="4040" w:space="720"/>
            <w:col w:w="4340" w:space="720"/>
            <w:col w:w="132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May 11, 2023</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3"/>
          </w:tcPr>
          <w:p>
            <w:pPr>
              <w:jc w:val="center"/>
              <w:ind w:right="4431"/>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520" w:type="dxa"/>
            <w:vAlign w:val="bottom"/>
            <w:gridSpan w:val="11"/>
            <w:vMerge w:val="restart"/>
          </w:tcPr>
          <w:p>
            <w:pPr>
              <w:spacing w:after="0"/>
              <w:rPr>
                <w:sz w:val="20"/>
                <w:szCs w:val="20"/>
                <w:color w:val="auto"/>
              </w:rPr>
            </w:pPr>
            <w:r>
              <w:rPr>
                <w:rFonts w:ascii="Arial" w:cs="Arial" w:eastAsia="Arial" w:hAnsi="Arial"/>
                <w:sz w:val="18"/>
                <w:szCs w:val="18"/>
                <w:color w:val="0000EE"/>
                <w:w w:val="93"/>
              </w:rPr>
              <w:t>Notice Regarding Forward-Looking Statements</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20" w:type="dxa"/>
            <w:vAlign w:val="bottom"/>
            <w:gridSpan w:val="11"/>
            <w:vMerge w:val="continue"/>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Summary</w:t>
            </w:r>
          </w:p>
        </w:tc>
        <w:tc>
          <w:tcPr>
            <w:tcW w:w="282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Risk Factors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Capitalization</w:t>
            </w:r>
          </w:p>
        </w:tc>
        <w:tc>
          <w:tcPr>
            <w:tcW w:w="23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176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Material U.S. Federal Income Tax Consequences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Underwriting</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00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Arial" w:cs="Arial" w:eastAsia="Arial" w:hAnsi="Arial"/>
                <w:sz w:val="18"/>
                <w:szCs w:val="18"/>
                <w:color w:val="0000EE"/>
              </w:rPr>
              <w:t>Experts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6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40" w:type="dxa"/>
            <w:vAlign w:val="bottom"/>
          </w:tcPr>
          <w:p>
            <w:pPr>
              <w:jc w:val="right"/>
              <w:ind w:right="4950"/>
              <w:spacing w:after="0"/>
              <w:rPr>
                <w:sz w:val="20"/>
                <w:szCs w:val="20"/>
                <w:color w:val="auto"/>
              </w:rPr>
            </w:pPr>
            <w:r>
              <w:rPr>
                <w:rFonts w:ascii="Arial" w:cs="Arial" w:eastAsia="Arial" w:hAnsi="Arial"/>
                <w:sz w:val="18"/>
                <w:szCs w:val="18"/>
                <w:b w:val="1"/>
                <w:bCs w:val="1"/>
                <w:color w:val="auto"/>
              </w:rPr>
              <w:t>Prospectus</w:t>
            </w:r>
          </w:p>
        </w:tc>
      </w:tr>
      <w:tr>
        <w:trPr>
          <w:trHeight w:val="418"/>
        </w:trPr>
        <w:tc>
          <w:tcPr>
            <w:tcW w:w="3420" w:type="dxa"/>
            <w:vAlign w:val="bottom"/>
            <w:gridSpan w:val="13"/>
          </w:tcPr>
          <w:p>
            <w:pPr>
              <w:spacing w:after="0"/>
              <w:rPr>
                <w:sz w:val="20"/>
                <w:szCs w:val="20"/>
                <w:color w:val="auto"/>
              </w:rPr>
            </w:pPr>
            <w:r>
              <w:rPr>
                <w:rFonts w:ascii="Arial" w:cs="Arial" w:eastAsia="Arial" w:hAnsi="Arial"/>
                <w:sz w:val="18"/>
                <w:szCs w:val="18"/>
                <w:color w:val="0000EE"/>
              </w:rPr>
              <w:t>The Company</w:t>
            </w:r>
          </w:p>
        </w:tc>
        <w:tc>
          <w:tcPr>
            <w:tcW w:w="7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1840" w:type="dxa"/>
            <w:vAlign w:val="bottom"/>
            <w:gridSpan w:val="5"/>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560" w:type="dxa"/>
            <w:vAlign w:val="bottom"/>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4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Notice Regarding Forward-Looking Statements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240" w:type="dxa"/>
            <w:vAlign w:val="bottom"/>
            <w:gridSpan w:val="2"/>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1700" w:type="dxa"/>
            <w:vAlign w:val="bottom"/>
            <w:gridSpan w:val="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Units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1960" w:type="dxa"/>
            <w:vAlign w:val="bottom"/>
            <w:gridSpan w:val="7"/>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Plan of Distribution</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1900" w:type="dxa"/>
            <w:vAlign w:val="bottom"/>
            <w:gridSpan w:val="6"/>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420" w:type="dxa"/>
            <w:vAlign w:val="bottom"/>
            <w:gridSpan w:val="13"/>
          </w:tcPr>
          <w:p>
            <w:pPr>
              <w:spacing w:after="0" w:line="196" w:lineRule="exact"/>
              <w:rPr>
                <w:sz w:val="20"/>
                <w:szCs w:val="20"/>
                <w:color w:val="auto"/>
              </w:rPr>
            </w:pPr>
            <w:r>
              <w:rPr>
                <w:rFonts w:ascii="Arial" w:cs="Arial" w:eastAsia="Arial" w:hAnsi="Arial"/>
                <w:sz w:val="18"/>
                <w:szCs w:val="18"/>
                <w:color w:val="0000EE"/>
              </w:rPr>
              <w:t>Experts</w:t>
            </w: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100" w:right="66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100" w:right="70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100" w:right="34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75" w:lineRule="exact"/>
        <w:rPr>
          <w:rFonts w:ascii="Arial" w:cs="Arial" w:eastAsia="Arial" w:hAnsi="Arial"/>
          <w:sz w:val="18"/>
          <w:szCs w:val="18"/>
          <w:color w:val="auto"/>
        </w:rPr>
      </w:pPr>
    </w:p>
    <w:p>
      <w:pPr>
        <w:ind w:left="1100" w:right="520" w:hanging="433"/>
        <w:spacing w:after="0" w:line="263"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100" w:right="78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30"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100" w:right="180" w:hanging="433"/>
        <w:spacing w:after="0" w:line="342" w:lineRule="auto"/>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00" w:right="10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67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60"/>
          </w:cols>
          <w:pgMar w:left="320" w:top="675"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00"/>
          </w:cols>
          <w:pgMar w:left="320" w:top="675"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1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860"/>
          </w:cols>
          <w:pgMar w:left="320" w:top="675" w:right="7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53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8535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30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Issuer</w:t>
            </w:r>
          </w:p>
        </w:tc>
        <w:tc>
          <w:tcPr>
            <w:tcW w:w="7980" w:type="dxa"/>
            <w:vAlign w:val="bottom"/>
          </w:tcPr>
          <w:p>
            <w:pPr>
              <w:ind w:left="118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04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80" w:type="dxa"/>
            <w:vAlign w:val="bottom"/>
          </w:tcPr>
          <w:p>
            <w:pPr>
              <w:ind w:left="1180"/>
              <w:spacing w:after="0"/>
              <w:rPr>
                <w:sz w:val="20"/>
                <w:szCs w:val="20"/>
                <w:color w:val="auto"/>
              </w:rPr>
            </w:pPr>
            <w:r>
              <w:rPr>
                <w:rFonts w:ascii="Arial" w:cs="Arial" w:eastAsia="Arial" w:hAnsi="Arial"/>
                <w:sz w:val="18"/>
                <w:szCs w:val="18"/>
                <w:color w:val="auto"/>
              </w:rPr>
              <w:t>$200,000,000 aggregate principal amount of the 4.600% Notes due 2028.</w:t>
            </w:r>
          </w:p>
        </w:tc>
      </w:tr>
      <w:tr>
        <w:trPr>
          <w:trHeight w:val="473"/>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$200,000,000 aggregate principal amount of the 4.900% Notes due 2033.</w:t>
            </w:r>
          </w:p>
        </w:tc>
      </w:tr>
      <w:tr>
        <w:trPr>
          <w:trHeight w:val="459"/>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$1,200,000,000 aggregate principal amount of the 5.050% Notes due 2063.</w:t>
            </w:r>
          </w:p>
        </w:tc>
      </w:tr>
      <w:tr>
        <w:trPr>
          <w:trHeight w:val="445"/>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The 2028 Notes will be a further issuance of, and will form a single series with,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6"/>
              </w:rPr>
              <w:t>Existing 2028 Notes. The 2033 Notes will be a further issuance of, and will form a single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5"/>
              </w:rPr>
              <w:t>series with, the Existing 2033 Notes. The 2028 Notes and the 2033 Notes offered hereby</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3"/>
              </w:rPr>
              <w:t>will have the same terms (other than issue date, price to public and, in the case of the 2028</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Notes, initial interest payment date) and will vote together as a single class, with the same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CUSIP number as, and be fungible with, the Existing 2028 Notes and the Existing 2033</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Notes, respectively.</w:t>
            </w:r>
          </w:p>
        </w:tc>
      </w:tr>
      <w:tr>
        <w:trPr>
          <w:trHeight w:val="459"/>
        </w:trPr>
        <w:tc>
          <w:tcPr>
            <w:tcW w:w="304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80" w:type="dxa"/>
            <w:vAlign w:val="bottom"/>
          </w:tcPr>
          <w:p>
            <w:pPr>
              <w:ind w:left="1180"/>
              <w:spacing w:after="0"/>
              <w:rPr>
                <w:sz w:val="20"/>
                <w:szCs w:val="20"/>
                <w:color w:val="auto"/>
              </w:rPr>
            </w:pPr>
            <w:r>
              <w:rPr>
                <w:rFonts w:ascii="Arial" w:cs="Arial" w:eastAsia="Arial" w:hAnsi="Arial"/>
                <w:sz w:val="18"/>
                <w:szCs w:val="18"/>
                <w:color w:val="auto"/>
              </w:rPr>
              <w:t>February 15, 2028 for the 4.600% Notes due 2028.</w:t>
            </w:r>
          </w:p>
        </w:tc>
      </w:tr>
      <w:tr>
        <w:trPr>
          <w:trHeight w:val="486"/>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March 14, 2033 for the 4.900% Notes due 2033.</w:t>
            </w:r>
          </w:p>
        </w:tc>
      </w:tr>
      <w:tr>
        <w:trPr>
          <w:trHeight w:val="459"/>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May 18, 2063 for the 5.050% Notes due 2063.</w:t>
            </w:r>
          </w:p>
        </w:tc>
      </w:tr>
      <w:tr>
        <w:trPr>
          <w:trHeight w:val="459"/>
        </w:trPr>
        <w:tc>
          <w:tcPr>
            <w:tcW w:w="304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980" w:type="dxa"/>
            <w:vAlign w:val="bottom"/>
          </w:tcPr>
          <w:p>
            <w:pPr>
              <w:ind w:left="1180"/>
              <w:spacing w:after="0"/>
              <w:rPr>
                <w:sz w:val="20"/>
                <w:szCs w:val="20"/>
                <w:color w:val="auto"/>
              </w:rPr>
            </w:pPr>
            <w:r>
              <w:rPr>
                <w:rFonts w:ascii="Arial" w:cs="Arial" w:eastAsia="Arial" w:hAnsi="Arial"/>
                <w:sz w:val="18"/>
                <w:szCs w:val="18"/>
                <w:color w:val="auto"/>
              </w:rPr>
              <w:t>May 18, 2023.</w:t>
            </w:r>
          </w:p>
        </w:tc>
      </w:tr>
      <w:tr>
        <w:trPr>
          <w:trHeight w:val="473"/>
        </w:trPr>
        <w:tc>
          <w:tcPr>
            <w:tcW w:w="30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80" w:type="dxa"/>
            <w:vAlign w:val="bottom"/>
          </w:tcPr>
          <w:p>
            <w:pPr>
              <w:ind w:left="1180"/>
              <w:spacing w:after="0"/>
              <w:rPr>
                <w:sz w:val="20"/>
                <w:szCs w:val="20"/>
                <w:color w:val="auto"/>
              </w:rPr>
            </w:pPr>
            <w:r>
              <w:rPr>
                <w:rFonts w:ascii="Arial" w:cs="Arial" w:eastAsia="Arial" w:hAnsi="Arial"/>
                <w:sz w:val="18"/>
                <w:szCs w:val="18"/>
                <w:color w:val="auto"/>
              </w:rPr>
              <w:t>Fixed rate of 4.600% for the 4.600% Notes due 2028.</w:t>
            </w:r>
          </w:p>
        </w:tc>
      </w:tr>
      <w:tr>
        <w:trPr>
          <w:trHeight w:val="473"/>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Fixed rate of 4.900% for the 4.900% Notes due 2033.</w:t>
            </w:r>
          </w:p>
        </w:tc>
      </w:tr>
      <w:tr>
        <w:trPr>
          <w:trHeight w:val="459"/>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Fixed rate of 5.050% for the 5.050% Notes due 2063.</w:t>
            </w:r>
          </w:p>
        </w:tc>
      </w:tr>
      <w:tr>
        <w:trPr>
          <w:trHeight w:val="445"/>
        </w:trPr>
        <w:tc>
          <w:tcPr>
            <w:tcW w:w="30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Each February 15 and August 15, beginning on August 15, 2023, and on the maturity date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for the 2028 Notes. Interest on the 2028 Notes offered hereby will accrue from</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February 15, 2023.</w:t>
            </w:r>
          </w:p>
        </w:tc>
      </w:tr>
      <w:tr>
        <w:trPr>
          <w:trHeight w:val="445"/>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4"/>
              </w:rPr>
              <w:t>Each March 14 and September 14, beginning on September 14, 2023, and on the maturity</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date for the 2033 Notes. Interest on the 2033 Notes offered hereby will accrue from</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March 14, 2023.</w:t>
            </w:r>
          </w:p>
        </w:tc>
      </w:tr>
      <w:tr>
        <w:trPr>
          <w:trHeight w:val="445"/>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w w:val="97"/>
              </w:rPr>
              <w:t>Each May 18 and November 18, beginning on November 18, 2023, and on the maturity</w:t>
            </w:r>
          </w:p>
        </w:tc>
      </w:tr>
      <w:tr>
        <w:trPr>
          <w:trHeight w:val="230"/>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Arial" w:cs="Arial" w:eastAsia="Arial" w:hAnsi="Arial"/>
                <w:sz w:val="18"/>
                <w:szCs w:val="18"/>
                <w:color w:val="auto"/>
              </w:rPr>
              <w:t>date for the 2063 Notes.</w:t>
            </w:r>
          </w:p>
        </w:tc>
      </w:tr>
      <w:tr>
        <w:trPr>
          <w:trHeight w:val="159"/>
        </w:trPr>
        <w:tc>
          <w:tcPr>
            <w:tcW w:w="304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67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0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As of March 31, 2023, Texas Instruments Incorporated had approximately $10.2 billion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6"/>
              </w:rPr>
              <w:t>principal amount of outstanding indebtedness. As of March 31, 2023, Texas Instruments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Incorporated had approximately $14.0 billion of total liabilities on a consolidated basis.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$14.0 billion of consolidated total liabilities, approximately $1.2 billion of liabilities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6"/>
              </w:rPr>
              <w:t>(including trade payables and excluding intercompany debt) were held by subsidiaries of</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Texas Instruments Incorporated to which the Notes will be effectively subordinated.</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for, and registered in the name of, a nominee of The Depository Trust Company, or DTC.</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Except in the limited circumstances described under “Description of the Notes—Book-</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exchanged for interests in global securities.</w:t>
            </w:r>
          </w:p>
        </w:tc>
      </w:tr>
      <w:tr>
        <w:trPr>
          <w:trHeight w:val="459"/>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underwriters or their affiliates.</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Texas Instruments Incorporated may create and issue further notes of a series ranking</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equally and ratably with the Notes of such series offered by this prospectus supplement in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all respects, so that such further notes will be consolidated and form a single series with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Notes of such series offered by this prospectus supplement (and, in the case of the 2028</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Notes and the 2033 Notes, with the Existing 2028 Notes and the Existing 2033 Notes,</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respectively).</w:t>
            </w:r>
          </w:p>
        </w:tc>
      </w:tr>
      <w:tr>
        <w:trPr>
          <w:trHeight w:val="459"/>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None.</w:t>
            </w:r>
          </w:p>
        </w:tc>
      </w:tr>
      <w:tr>
        <w:trPr>
          <w:trHeight w:val="458"/>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Texas Instruments Incorporated may redeem some or all of each series of the Notes at any</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time and from time to time at the applicable redemption prices indicated under the heading</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“Description of the Notes—Optional Redemption.”</w:t>
            </w:r>
          </w:p>
        </w:tc>
      </w:tr>
      <w:tr>
        <w:trPr>
          <w:trHeight w:val="661"/>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The 2063 Notes are a new issue of securities with no established trading market. We do not</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intend to apply for listing of the Notes on</w:t>
            </w:r>
          </w:p>
        </w:tc>
      </w:tr>
      <w:tr>
        <w:trPr>
          <w:trHeight w:val="159"/>
        </w:trPr>
        <w:tc>
          <w:tcPr>
            <w:tcW w:w="3080" w:type="dxa"/>
            <w:vAlign w:val="bottom"/>
            <w:tcBorders>
              <w:left w:val="single" w:sz="8" w:color="auto"/>
              <w:bottom w:val="single" w:sz="8" w:color="auto"/>
            </w:tcBorders>
          </w:tcPr>
          <w:p>
            <w:pPr>
              <w:spacing w:after="0"/>
              <w:rPr>
                <w:sz w:val="13"/>
                <w:szCs w:val="13"/>
                <w:color w:val="auto"/>
              </w:rPr>
            </w:pPr>
          </w:p>
        </w:tc>
        <w:tc>
          <w:tcPr>
            <w:tcW w:w="7940" w:type="dxa"/>
            <w:vAlign w:val="bottom"/>
            <w:tcBorders>
              <w:bottom w:val="single" w:sz="8" w:color="auto"/>
              <w:right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675"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60" w:type="dxa"/>
            <w:vAlign w:val="bottom"/>
            <w:tcBorders>
              <w:top w:val="single" w:sz="8" w:color="auto"/>
              <w:left w:val="single" w:sz="8" w:color="auto"/>
            </w:tcBorders>
          </w:tcPr>
          <w:p>
            <w:pPr>
              <w:spacing w:after="0"/>
              <w:rPr>
                <w:sz w:val="24"/>
                <w:szCs w:val="24"/>
                <w:color w:val="auto"/>
              </w:rPr>
            </w:pPr>
          </w:p>
        </w:tc>
        <w:tc>
          <w:tcPr>
            <w:tcW w:w="836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8"/>
                <w:szCs w:val="18"/>
                <w:color w:val="auto"/>
                <w:w w:val="98"/>
              </w:rPr>
              <w:t>any securities exchange. The underwriters have advised us that they intend to make a</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market in the Notes, but they are not obligated to do so and may discontinue market-</w:t>
            </w:r>
          </w:p>
        </w:tc>
      </w:tr>
      <w:tr>
        <w:trPr>
          <w:trHeight w:val="230"/>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making at any time without notice.</w:t>
            </w:r>
          </w:p>
        </w:tc>
      </w:tr>
      <w:tr>
        <w:trPr>
          <w:trHeight w:val="458"/>
        </w:trPr>
        <w:tc>
          <w:tcPr>
            <w:tcW w:w="2660" w:type="dxa"/>
            <w:vAlign w:val="bottom"/>
            <w:tcBorders>
              <w:left w:val="single" w:sz="8" w:color="auto"/>
            </w:tcBorders>
          </w:tcPr>
          <w:p>
            <w:pPr>
              <w:spacing w:after="0"/>
              <w:rPr>
                <w:sz w:val="24"/>
                <w:szCs w:val="24"/>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9"/>
              </w:rPr>
              <w:t>See “Underwriting” in this prospectus supplement for more information about possible</w:t>
            </w:r>
          </w:p>
        </w:tc>
      </w:tr>
      <w:tr>
        <w:trPr>
          <w:trHeight w:val="230"/>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market-making by the underwriters.</w:t>
            </w:r>
          </w:p>
        </w:tc>
      </w:tr>
      <w:tr>
        <w:trPr>
          <w:trHeight w:val="459"/>
        </w:trPr>
        <w:tc>
          <w:tcPr>
            <w:tcW w:w="26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U.S. Bank Trust Company, National Association.</w:t>
            </w:r>
          </w:p>
        </w:tc>
      </w:tr>
      <w:tr>
        <w:trPr>
          <w:trHeight w:val="458"/>
        </w:trPr>
        <w:tc>
          <w:tcPr>
            <w:tcW w:w="26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6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30"/>
        </w:trPr>
        <w:tc>
          <w:tcPr>
            <w:tcW w:w="26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159"/>
        </w:trPr>
        <w:tc>
          <w:tcPr>
            <w:tcW w:w="266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right w:val="single" w:sz="8" w:color="auto"/>
            </w:tcBorders>
          </w:tcPr>
          <w:p>
            <w:pPr>
              <w:spacing w:after="0"/>
              <w:rPr>
                <w:sz w:val="13"/>
                <w:szCs w:val="13"/>
                <w:color w:val="auto"/>
              </w:rPr>
            </w:pPr>
          </w:p>
        </w:tc>
      </w:tr>
      <w:tr>
        <w:trPr>
          <w:trHeight w:val="361"/>
        </w:trPr>
        <w:tc>
          <w:tcPr>
            <w:tcW w:w="2660" w:type="dxa"/>
            <w:vAlign w:val="bottom"/>
          </w:tcPr>
          <w:p>
            <w:pPr>
              <w:spacing w:after="0"/>
              <w:rPr>
                <w:sz w:val="24"/>
                <w:szCs w:val="24"/>
                <w:color w:val="auto"/>
              </w:rPr>
            </w:pPr>
          </w:p>
        </w:tc>
        <w:tc>
          <w:tcPr>
            <w:tcW w:w="8360" w:type="dxa"/>
            <w:vAlign w:val="bottom"/>
          </w:tcPr>
          <w:p>
            <w:pPr>
              <w:ind w:left="27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675"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2023.</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the 2063 Notes may not develop.</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 is currently no public market for the 2063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72"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2023, we had approximately $14.0 billion of total liabilities on a consolidated basis. Of this amount, subsidiaries of Texas Instruments Incorporated had approximately $1.2 billion of liabilities (including trade payables and excluding intercompany debt) to which the Notes will be effectively subordinated.</w:t>
      </w:r>
    </w:p>
    <w:p>
      <w:pPr>
        <w:spacing w:after="0" w:line="16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675"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On an as adjusted basis after giving effect to this offering, as of March 31, 2023, Texas Instruments Incorporated would have had approximately $11.3 billion principal amount of total long-term indebtedness (including the Notes, but excluding the current portion of long-term indebtedness), all of which would have been unsecured and unsubordinated.</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1100" w:right="5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1100" w:right="160" w:hanging="433"/>
        <w:spacing w:after="0" w:line="25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675"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60"/>
          </w:cols>
          <w:pgMar w:left="320" w:top="675"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anticipate that we will receive net proceeds of approximately $1,592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860"/>
          </w:cols>
          <w:pgMar w:left="320" w:top="675" w:right="7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March 31, 2023.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As of March 31, 2023</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8"/>
              </w:rPr>
              <w:t>Actual</w:t>
            </w:r>
          </w:p>
        </w:tc>
        <w:tc>
          <w:tcPr>
            <w:tcW w:w="300" w:type="dxa"/>
            <w:vAlign w:val="bottom"/>
            <w:tcBorders>
              <w:top w:val="single" w:sz="8" w:color="auto"/>
            </w:tcBorders>
            <w:gridSpan w:val="2"/>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0"/>
                <w:szCs w:val="10"/>
                <w:b w:val="1"/>
                <w:bCs w:val="1"/>
                <w:color w:val="auto"/>
                <w:w w:val="95"/>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7"/>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(In millions, except par value)</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9,545</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11,137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2028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2033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2063 Notes offered hereby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line="216" w:lineRule="exact"/>
              <w:rPr>
                <w:sz w:val="20"/>
                <w:szCs w:val="20"/>
                <w:color w:val="auto"/>
              </w:rPr>
            </w:pPr>
            <w:r>
              <w:rPr>
                <w:rFonts w:ascii="Arial" w:cs="Arial" w:eastAsia="Arial" w:hAnsi="Arial"/>
                <w:sz w:val="17"/>
                <w:szCs w:val="17"/>
                <w:color w:val="auto"/>
              </w:rPr>
              <w:t>Other long-term debt</w:t>
            </w:r>
            <w:r>
              <w:rPr>
                <w:rFonts w:ascii="Arial" w:cs="Arial" w:eastAsia="Arial" w:hAnsi="Arial"/>
                <w:sz w:val="25"/>
                <w:szCs w:val="25"/>
                <w:color w:val="auto"/>
                <w:vertAlign w:val="superscript"/>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$25 par value. Shares authorized—10; none issued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Common stock, $1 par value. Shares authorized—2,400; shares issued—1,741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50,930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50,930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(833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(40,192)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(40,192)</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16"/>
        </w:trPr>
        <w:tc>
          <w:tcPr>
            <w:tcW w:w="872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24,869</w:t>
            </w:r>
          </w:p>
        </w:tc>
        <w:tc>
          <w:tcPr>
            <w:tcW w:w="280" w:type="dxa"/>
            <w:vAlign w:val="bottom"/>
          </w:tcPr>
          <w:p>
            <w:pPr>
              <w:spacing w:after="0"/>
              <w:rPr>
                <w:sz w:val="18"/>
                <w:szCs w:val="18"/>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26,461</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60" w:right="80" w:hanging="444"/>
        <w:spacing w:after="0" w:line="269"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2028 Notes, the 2033 Notes and the 2063 Notes offered hereby are shown at the amount of the public offering price, less offering expenses (including underwriting discounts) and excluding approximately $2.4 million of accrued interest from, and including, February 15, 2023 to, but excluding, the date of delivery and approximately $1.7 million of accrued interest from, and including, March 14, 2023 to, but excluding, the date of delivery, that is payable as part of the public offering price of the 2028 Notes and the 2033 Notes, respectively.</w:t>
      </w:r>
    </w:p>
    <w:p>
      <w:pPr>
        <w:spacing w:after="0" w:line="1" w:lineRule="exact"/>
        <w:rPr>
          <w:rFonts w:ascii="Arial" w:cs="Arial" w:eastAsia="Arial" w:hAnsi="Arial"/>
          <w:sz w:val="17"/>
          <w:szCs w:val="17"/>
          <w:color w:val="auto"/>
        </w:rPr>
      </w:pPr>
    </w:p>
    <w:p>
      <w:pPr>
        <w:ind w:left="560" w:right="80" w:hanging="444"/>
        <w:spacing w:after="0" w:line="255"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$8.95 billion principal amount of our existing outstanding notes (other than the Existing 2028 Notes and the Existing 2033 Notes) less net unamortized discounts, premiums and debt issuance costs of $74.0 million, less $500 million representing the current portion of long-term debt.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675"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2028 Notes will mature on February 15, 2028, the 2033 Notes will mature on March 14, 2033 and the 2063 Notes will mature on May 18, 2063. The Notes will be issued in book-entry form only, in denominations of $2,000 and multiples of $1,000 in excess thereof. Interest on the 2028 Notes will accrue from February 15, 2023, interest on the 2033 Notes will accrue from March 14, 2023 and interest on the 2063 Notes will accrue from May 18, 2023 at the rate per annum shown on the cover of this prospectus supplement. Interest on the 2028 Notes will be payable semi-annually on February 15 and August 15 of each year, commencing on August 15, 2023, to the persons in whose names the 2028 Notes are registered at the close of business on the preceding February 1 or August 1, as the case may be. Interest on the 2033 Notes will be payable semi-annually on March 14 and September 14 of each year, commencing on September 14, 2023, to the persons in whose names the 2033 Notes are registered at the close of business on the preceding February 28 or August 31, as the case may be. Interest on the 2063 Notes will be payable semi-annually on May 18 and November 18 of each year, commencing on November 18, 2023, to the persons in whose names the Notes are registered at the close of business on the preceding May 4 or November 4, as the case may be. Interest on the Notes will be paid to but excluding the relevant interest payment date. Interest on the Notes will be calculated on the basis of a 360-day year comprised of twelve 30-day months.</w:t>
      </w:r>
    </w:p>
    <w:p>
      <w:pPr>
        <w:spacing w:after="0" w:line="18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previously issued, on November 18, 2022 and on March 14, 2023, $500,000,000 and $750,000,000 aggregate principal amount of the Existing 2028 Notes and the Existing 2033 Notes, respectively, all of which will remain outstanding following this offering. The 2028 Notes and the 2033 Notes offered hereby will form a part of the series and will have the same terms (other than issue date, price to public and, in the case of the 2028 Notes, initial interest payment date) and will vote together as a single class, with the same CUSIP number as, and be fungible with, the Existing 2028 Notes and the Existing 2033 Notes, respectively. Upon completion of this offering, we will have $700,000,000 aggregate principal amount of outstanding 4.600% Notes due 2028 and $950,000,000 aggregate principal amount of outstanding 4.900% Notes due 2033. Unless the context requires otherwise, for all purposes of the indenture and this “Description of the Notes,” references to the 2028 Notes include the 2028 Notes offered hereby and the Existing 2028 Notes, and references to the 2033 Notes include the 2033 Notes offered hereby and the Existing 2033 Notes.</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2023, Texas Instruments Incorporated had approximately $10.2 billion principal amount of outstanding indebtedness. As of March 31 2023, Texas Instruments Incorporated had approximately $14.0 billion of total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6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liabilities on a consolidated basis. Of the $14.0 billion of consolidated total liabilities, approximately $1.2 billion of liabilities (including trade payables and excluding intercompany debt) were held by subsidiaries of Texas Instruments Incorporated to which the Notes will be effectively subordinated.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an as adjusted basis after giving effect to this offering, as of March 31, 2023:</w:t>
      </w:r>
    </w:p>
    <w:p>
      <w:pPr>
        <w:spacing w:after="0" w:line="131" w:lineRule="exact"/>
        <w:rPr>
          <w:sz w:val="20"/>
          <w:szCs w:val="20"/>
          <w:color w:val="auto"/>
        </w:rPr>
      </w:pPr>
    </w:p>
    <w:p>
      <w:pPr>
        <w:ind w:left="1100" w:right="160" w:hanging="433"/>
        <w:spacing w:after="0" w:line="263"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$11.3 billion principal amount of total long-term indebtedness (including the Notes, but excluding the current portion of long-term indebtedness), all of which would constitute senior and unsubordinated indebtedness;</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$15.6 billion of total liabilities on a consolidated basis;</w:t>
      </w:r>
    </w:p>
    <w:p>
      <w:pPr>
        <w:spacing w:after="0" w:line="130" w:lineRule="exact"/>
        <w:rPr>
          <w:rFonts w:ascii="Arial" w:cs="Arial" w:eastAsia="Arial" w:hAnsi="Arial"/>
          <w:sz w:val="18"/>
          <w:szCs w:val="18"/>
          <w:color w:val="auto"/>
        </w:rPr>
      </w:pPr>
    </w:p>
    <w:p>
      <w:pPr>
        <w:ind w:left="1100" w:right="940" w:hanging="43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1100" w:right="540" w:hanging="433"/>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$1.2 billion of liabilities (including trade payables but excluding intercompany debt) to which the Notes would have been structurally subordinated.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Texas Instruments Incorporated may, without the consent of the holders, increase the principal amount of Notes of any series (which, in the case of the 2028 Notes and 2033 Notes, includes the Existing 2028 Notes and the Existing 2033 Notes, respectively)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84" w:lineRule="exact"/>
        <w:rPr>
          <w:sz w:val="20"/>
          <w:szCs w:val="20"/>
          <w:color w:val="auto"/>
        </w:rPr>
      </w:pPr>
    </w:p>
    <w:p>
      <w:pPr>
        <w:ind w:left="120" w:firstLine="436"/>
        <w:spacing w:after="0" w:line="259"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12.5 basis points with respect to the 2028 Notes, 15 basis points with respect to the 2033 Notes and 25 basis points with respect to the 2063 Notes </w:t>
      </w:r>
      <w:r>
        <w:rPr>
          <w:rFonts w:ascii="Arial" w:cs="Arial" w:eastAsia="Arial" w:hAnsi="Arial"/>
          <w:sz w:val="18"/>
          <w:szCs w:val="18"/>
          <w:i w:val="1"/>
          <w:iCs w:val="1"/>
          <w:color w:val="auto"/>
        </w:rPr>
        <w:t>less</w:t>
      </w:r>
      <w:r>
        <w:rPr>
          <w:rFonts w:ascii="Arial" w:cs="Arial" w:eastAsia="Arial" w:hAnsi="Arial"/>
          <w:sz w:val="18"/>
          <w:szCs w:val="18"/>
          <w:color w:val="auto"/>
        </w:rPr>
        <w:t xml:space="preserve"> (b) interest accrued to the date of redemption, and</w:t>
      </w:r>
    </w:p>
    <w:p>
      <w:pPr>
        <w:spacing w:after="0" w:line="186" w:lineRule="exact"/>
        <w:rPr>
          <w:rFonts w:ascii="Arial" w:cs="Arial" w:eastAsia="Arial" w:hAnsi="Arial"/>
          <w:sz w:val="18"/>
          <w:szCs w:val="18"/>
          <w:color w:val="auto"/>
        </w:rPr>
      </w:pPr>
    </w:p>
    <w:p>
      <w:pPr>
        <w:ind w:left="820" w:hanging="2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either case, accrued and unpaid interest thereon to the redemption date.</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p>
    <w:p>
      <w:pPr>
        <w:spacing w:after="0" w:line="131" w:lineRule="exact"/>
        <w:rPr>
          <w:sz w:val="20"/>
          <w:szCs w:val="20"/>
          <w:color w:val="auto"/>
        </w:rPr>
      </w:pPr>
    </w:p>
    <w:p>
      <w:pPr>
        <w:jc w:val="center"/>
        <w:ind w:left="5460" w:right="1360" w:hanging="4793"/>
        <w:spacing w:after="0" w:line="449" w:lineRule="auto"/>
        <w:tabs>
          <w:tab w:leader="none" w:pos="11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the 2028 Notes, January 15, 2028 (the date that is one month prior to the maturity date of the 2028 Notes), S-11</w:t>
      </w:r>
    </w:p>
    <w:p>
      <w:pPr>
        <w:sectPr>
          <w:pgSz w:w="11900" w:h="16838" w:orient="portrait"/>
          <w:cols w:equalWidth="0" w:num="1">
            <w:col w:w="11120"/>
          </w:cols>
          <w:pgMar w:left="320" w:top="67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case of the 2033 Notes, December 14, 2032 (the date that is three months prior to the maturity date of the 2033 Notes), and</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the 2063 Notes, November 18, 2062 (the date that is six months prior to the maturity date of the 2063 Notes).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yield determined by Texas Instruments Incorporated in accordance with the following two paragraphs.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4"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Texas Instruments Incorporated’s actions and determinations in determining the redemption price shall be conclusive and binding for all purposes, absent manifest error.</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 series of Notes is defined under the indenture as being:</w:t>
      </w:r>
    </w:p>
    <w:p>
      <w:pPr>
        <w:spacing w:after="0" w:line="131" w:lineRule="exact"/>
        <w:rPr>
          <w:sz w:val="20"/>
          <w:szCs w:val="20"/>
          <w:color w:val="auto"/>
        </w:rPr>
      </w:pPr>
    </w:p>
    <w:p>
      <w:pPr>
        <w:ind w:left="1100" w:right="40" w:hanging="433"/>
        <w:spacing w:after="0" w:line="263"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such series of Notes when due and payable, if that default continues for a period of 30 days;</w:t>
      </w:r>
    </w:p>
    <w:p>
      <w:pPr>
        <w:spacing w:after="0" w:line="75" w:lineRule="exact"/>
        <w:rPr>
          <w:rFonts w:ascii="Arial" w:cs="Arial" w:eastAsia="Arial" w:hAnsi="Arial"/>
          <w:sz w:val="18"/>
          <w:szCs w:val="18"/>
          <w:color w:val="auto"/>
        </w:rPr>
      </w:pPr>
    </w:p>
    <w:p>
      <w:pPr>
        <w:ind w:left="1100" w:right="60" w:hanging="433"/>
        <w:spacing w:after="0" w:line="25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93" w:lineRule="exact"/>
        <w:rPr>
          <w:rFonts w:ascii="Arial" w:cs="Arial" w:eastAsia="Arial" w:hAnsi="Arial"/>
          <w:sz w:val="18"/>
          <w:szCs w:val="18"/>
          <w:color w:val="auto"/>
        </w:rPr>
      </w:pPr>
    </w:p>
    <w:p>
      <w:pPr>
        <w:ind w:left="1100" w:hanging="43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1" w:lineRule="exact"/>
        <w:rPr>
          <w:sz w:val="20"/>
          <w:szCs w:val="20"/>
          <w:color w:val="auto"/>
        </w:rPr>
      </w:pPr>
    </w:p>
    <w:p>
      <w:pPr>
        <w:ind w:left="110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100" w:right="8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100" w:right="12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 and such decree or order shall remain unstayed and in effect for a period of 60 consecutive days; 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Texas Instruments Incorporated:</w:t>
      </w:r>
    </w:p>
    <w:p>
      <w:pPr>
        <w:spacing w:after="0" w:line="135" w:lineRule="exact"/>
        <w:rPr>
          <w:sz w:val="20"/>
          <w:szCs w:val="20"/>
          <w:color w:val="auto"/>
        </w:rPr>
      </w:pPr>
    </w:p>
    <w:p>
      <w:pPr>
        <w:jc w:val="center"/>
        <w:ind w:left="5460" w:right="1280" w:hanging="4904"/>
        <w:spacing w:after="0" w:line="449" w:lineRule="auto"/>
        <w:tabs>
          <w:tab w:leader="none" w:pos="1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S-13</w:t>
      </w:r>
    </w:p>
    <w:p>
      <w:pPr>
        <w:sectPr>
          <w:pgSz w:w="11900" w:h="16838" w:orient="portrait"/>
          <w:cols w:equalWidth="0" w:num="1">
            <w:col w:w="11120"/>
          </w:cols>
          <w:pgMar w:left="320" w:top="67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100" w:hanging="544"/>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0" w:lineRule="exact"/>
        <w:rPr>
          <w:sz w:val="20"/>
          <w:szCs w:val="20"/>
          <w:color w:val="auto"/>
        </w:rPr>
      </w:pPr>
    </w:p>
    <w:p>
      <w:pPr>
        <w:ind w:left="1100" w:hanging="43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Notes make a written request to the trustee to pursue the remedy in respect of such event of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675"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00" w:right="580" w:hanging="433"/>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675"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2"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67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675"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40"/>
        <w:spacing w:after="0" w:line="286" w:lineRule="auto"/>
        <w:rPr>
          <w:sz w:val="20"/>
          <w:szCs w:val="20"/>
          <w:color w:val="auto"/>
        </w:rPr>
      </w:pPr>
      <w:r>
        <w:rPr>
          <w:rFonts w:ascii="Arial" w:cs="Arial" w:eastAsia="Arial" w:hAnsi="Arial"/>
          <w:sz w:val="17"/>
          <w:szCs w:val="17"/>
          <w:color w:val="auto"/>
        </w:rPr>
        <w:t>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67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for cash in this offering at the applicable public offering price indicated on the cover of this prospectus supplement (which, in the case of the 2063 Notes, we assume will be the “issue price” of such Notes), and held as capital assets for U.S. federal income tax purposes.</w:t>
      </w:r>
    </w:p>
    <w:p>
      <w:pPr>
        <w:spacing w:after="0" w:line="184"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4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Qualified Reopening</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intend to treat the issuances of the 2028 Notes and the 2033 Notes as “qualified reopenings” of the Existing 2028 Notes and the Existing 2033 Notes, respectively, for U.S. federal income tax purposes. If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675"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issuances of the 2028 Notes and the 2033 Notes are so treated, then the 2028 Notes and the 2033 Notes will be considered to have the same issue date and issue price as the Existing 2028 Notes and the Existing 2033 Notes, respectively, and will be fungible with the Existing 2028 Notes and the Existing 2033 Notes, respectively, for U.S. federal income tax purposes. The remainder of this discussion assumes that the issuances of the 2028 Notes and the 2033 Notes are treated as qualified reopenings of the Existing 2028 Notes and the Existing 2033 Notes,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Subject to the discussions below under “—Pre-Acquisition Accrued Interest” and “—Amortizable Bond Premium,” stated interest on a Note will be taxable to you as ordinary interest income at the time it accrues or is received, in accordance with your method of accounting for U.S. federal income tax purposes. It is expected, and this discussion assumes, that the Notes will be treated as issued without original issue discount for U.S. federal income tax purposes.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 portion of the price paid for a 2028 Note or a 2033 Note offered hereby will be allocable to interest that accrued prior to the date the 2028 Note or the 2033 Note is purchased (the “pre-acquisition accrued interest”). On the first interest payment date with respect to the 2028 Notes or the 2033 Notes, as applicable, you may generally treat a portion of the interest received in an amount equal to the pre-acquisition accrued interest as a return of the pre-acquisition accrued interest and not as a payment of interest on the relevant Note. Amounts treated as a return of pre-acquisition accrued interest on a 2028 Note or a 2033 Note should not be taxable when received. You should consult your tax adviser regarding the tax treatment of pre-acquisition accrued interest.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If you purchase a 2028 Note or a 2033 Note for an amount that is greater than its principal amount (disregarding any amount paid in respect of pre-acquisition accrued interest), you will be considered to have purchased the 2028 Note or the 2033 Note, as applicable, with amortizable bond premium equal to such excess. You may elect to amortize this bond premium, using a constant-yield method, over the remaining term of the Note. Because of the optional redemption feature of the 2028 Notes and the 2033 Notes, however, special rules apply that may reduce, eliminate or defer the amount of bond premium that may be amortized. You generally may use the amortizable bond premium allocable to an accrual period to offset interest otherwise required to be included in income with respect to the Note in that accrual period. An election to amortize bond premium applies to all taxable debt obligations then owned or thereafter acquired and may be revoked only with the consent of the IRS.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(excluding amounts attributable to pre-acquisition accrued interest), reduced by any bond premium previously amortized with respect to such Note. For these purposes, the amount realized does not include any amount attributable to accrued but unpaid interest (which generally would include any amount attributable to pre-acquisition accrued interest), which is treated as described under “—Payments of Stated Interest” and “—Pre-Acquisition Accrued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67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1100" w:right="22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our stock entitled to vote;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1100" w:right="40" w:hanging="433"/>
        <w:spacing w:after="0" w:line="342"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675"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J.P. Morgan Securities LLC, Morgan Stanley &amp; Co. LLC and U.S. Bancorp Investments,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w:t>
            </w:r>
          </w:p>
        </w:tc>
      </w:tr>
      <w:tr>
        <w:trPr>
          <w:trHeight w:val="148"/>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Amount of 2028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Amount of 2033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Amount of 2063</w:t>
            </w:r>
          </w:p>
        </w:tc>
      </w:tr>
      <w:tr>
        <w:trPr>
          <w:trHeight w:val="171"/>
        </w:trPr>
        <w:tc>
          <w:tcPr>
            <w:tcW w:w="4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Notes</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Notes</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Notes</w:t>
            </w:r>
          </w:p>
        </w:tc>
        <w:tc>
          <w:tcPr>
            <w:tcW w:w="60" w:type="dxa"/>
            <w:vAlign w:val="bottom"/>
          </w:tcPr>
          <w:p>
            <w:pPr>
              <w:spacing w:after="0"/>
              <w:rPr>
                <w:sz w:val="14"/>
                <w:szCs w:val="14"/>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66,668,000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66,666,000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400,000,000</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66,666,000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66,666,000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400,000,000</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66,668,000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400,000,000</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1,200,000,000</w:t>
            </w:r>
          </w:p>
        </w:tc>
        <w:tc>
          <w:tcPr>
            <w:tcW w:w="6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0.18% per 2028 Note, 0.20% per 2033 Note and 0.40% per 2063 Note. Any such securities dealers may resell any Notes purchased from the underwriters to certain other brokers or dealers at a discount from the initial public offering price not to exceed 0.12% per 2028 Note, 0.15% per 2033 Note and 0.20% per 2063 Note. If all of the Notes are not sold at the initial offering price, the underwriters may change the offering price and the other selling terms.</w:t>
      </w:r>
    </w:p>
    <w:p>
      <w:pPr>
        <w:spacing w:after="0" w:line="16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Paid by Texas</w:t>
            </w:r>
          </w:p>
        </w:tc>
      </w:tr>
      <w:tr>
        <w:trPr>
          <w:trHeight w:val="148"/>
        </w:trPr>
        <w:tc>
          <w:tcPr>
            <w:tcW w:w="644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Instruments</w:t>
            </w:r>
          </w:p>
        </w:tc>
      </w:tr>
      <w:tr>
        <w:trPr>
          <w:trHeight w:val="171"/>
        </w:trPr>
        <w:tc>
          <w:tcPr>
            <w:tcW w:w="64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180" w:type="dxa"/>
            <w:vAlign w:val="bottom"/>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Per 2028 Note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Per 2033 Note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Per 2063 Note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r>
    </w:tbl>
    <w:p>
      <w:pPr>
        <w:spacing w:after="0" w:line="20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estimate that our total expenses for this offering will be approximately $11 million, including underwriting discounts. The underwriters have agreed to reimburse us for certain of our expenses in connection with the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100" w:right="12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67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T+5,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For example, U.S. Bancorp Investments, Inc., one of the underwriters, is an affiliate of the trustee.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7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For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67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Canadian investors are advised that this document has been prepared in reliance on section 3A.3 of National Instrument</w:t>
      </w:r>
    </w:p>
    <w:p>
      <w:pPr>
        <w:spacing w:after="0" w:line="27" w:lineRule="exact"/>
        <w:rPr>
          <w:sz w:val="20"/>
          <w:szCs w:val="20"/>
          <w:color w:val="auto"/>
        </w:rPr>
      </w:pPr>
    </w:p>
    <w:p>
      <w:pPr>
        <w:jc w:val="both"/>
        <w:ind w:left="120" w:right="180"/>
        <w:spacing w:after="0" w:line="255" w:lineRule="auto"/>
        <w:rPr>
          <w:sz w:val="20"/>
          <w:szCs w:val="20"/>
          <w:color w:val="auto"/>
        </w:rPr>
      </w:pPr>
      <w:r>
        <w:rPr>
          <w:rFonts w:ascii="Arial" w:cs="Arial" w:eastAsia="Arial" w:hAnsi="Arial"/>
          <w:sz w:val="18"/>
          <w:szCs w:val="18"/>
          <w:b w:val="1"/>
          <w:bCs w:val="1"/>
          <w:color w:val="auto"/>
        </w:rPr>
        <w:t xml:space="preserve">33-105 </w:t>
      </w:r>
      <w:r>
        <w:rPr>
          <w:rFonts w:ascii="Arial" w:cs="Arial" w:eastAsia="Arial" w:hAnsi="Arial"/>
          <w:sz w:val="18"/>
          <w:szCs w:val="18"/>
          <w:b w:val="1"/>
          <w:bCs w:val="1"/>
          <w:i w:val="1"/>
          <w:iCs w:val="1"/>
          <w:color w:val="auto"/>
        </w:rPr>
        <w:t>Underwriting Conflicts</w:t>
      </w:r>
      <w:r>
        <w:rPr>
          <w:rFonts w:ascii="Arial" w:cs="Arial" w:eastAsia="Arial" w:hAnsi="Arial"/>
          <w:sz w:val="18"/>
          <w:szCs w:val="18"/>
          <w:b w:val="1"/>
          <w:bCs w:val="1"/>
          <w:color w:val="auto"/>
        </w:rPr>
        <w:t xml:space="preserve">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675"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67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100" w:right="120" w:hanging="433"/>
        <w:spacing w:after="0" w:line="263"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100" w:right="180" w:hanging="433"/>
        <w:spacing w:after="0" w:line="263"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675"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100" w:right="100" w:hanging="433"/>
        <w:spacing w:after="0" w:line="308"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100" w:right="300" w:hanging="433"/>
        <w:spacing w:after="0" w:line="279"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6" w:lineRule="exact"/>
        <w:rPr>
          <w:rFonts w:ascii="Arial" w:cs="Arial" w:eastAsia="Arial" w:hAnsi="Arial"/>
          <w:sz w:val="17"/>
          <w:szCs w:val="17"/>
          <w:color w:val="auto"/>
        </w:rPr>
      </w:pPr>
    </w:p>
    <w:p>
      <w:pPr>
        <w:ind w:left="1100" w:hanging="433"/>
        <w:spacing w:after="0" w:line="275"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1" w:lineRule="exact"/>
        <w:rPr>
          <w:rFonts w:ascii="Arial" w:cs="Arial" w:eastAsia="Arial" w:hAnsi="Arial"/>
          <w:sz w:val="17"/>
          <w:szCs w:val="17"/>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100" w:right="780" w:hanging="433"/>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Singapore Securities and Futures Act Product Classification</w:t>
      </w:r>
      <w:r>
        <w:rPr>
          <w:rFonts w:ascii="Arial" w:cs="Arial" w:eastAsia="Arial" w:hAnsi="Arial"/>
          <w:sz w:val="17"/>
          <w:szCs w:val="17"/>
          <w:color w:val="auto"/>
        </w:rPr>
        <w:t>—Solely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67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60"/>
          </w:cols>
          <w:pgMar w:left="320" w:top="675" w:right="5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2022 are incorporated by reference in reliance on Ernst &amp; Young LLP’s reports, given on their authority as experts in accounting and auditing.</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84" w:lineRule="exact"/>
        <w:rPr>
          <w:sz w:val="20"/>
          <w:szCs w:val="20"/>
          <w:color w:val="auto"/>
        </w:rPr>
      </w:pPr>
    </w:p>
    <w:p>
      <w:pPr>
        <w:ind w:left="120" w:right="40" w:firstLine="440"/>
        <w:spacing w:after="0" w:line="289" w:lineRule="auto"/>
        <w:rPr>
          <w:rFonts w:ascii="Arial" w:cs="Arial" w:eastAsia="Arial" w:hAnsi="Arial"/>
          <w:sz w:val="16"/>
          <w:szCs w:val="16"/>
          <w:color w:val="0000EE"/>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51">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2022, filed on February 3, 2023, the sections of our Definitive Proxy Statement on </w:t>
      </w:r>
      <w:hyperlink r:id="rId52">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2023 annual meeting of stockholders, filed on March 14, 2023 that are incorporated by reference in our Annual Report on Form 10-K for the year ended December </w:t>
      </w:r>
      <w:hyperlink r:id="rId53">
        <w:r>
          <w:rPr>
            <w:rFonts w:ascii="Arial" w:cs="Arial" w:eastAsia="Arial" w:hAnsi="Arial"/>
            <w:sz w:val="16"/>
            <w:szCs w:val="16"/>
            <w:color w:val="auto"/>
          </w:rPr>
          <w:t xml:space="preserve">31, 2022, our Quarterly Report on </w:t>
        </w:r>
        <w:r>
          <w:rPr>
            <w:rFonts w:ascii="Arial" w:cs="Arial" w:eastAsia="Arial" w:hAnsi="Arial"/>
            <w:sz w:val="16"/>
            <w:szCs w:val="16"/>
            <w:u w:val="single" w:color="auto"/>
            <w:color w:val="0000EE"/>
          </w:rPr>
          <w:t>Form 10-Q</w:t>
        </w:r>
        <w:r>
          <w:rPr>
            <w:rFonts w:ascii="Arial" w:cs="Arial" w:eastAsia="Arial" w:hAnsi="Arial"/>
            <w:sz w:val="16"/>
            <w:szCs w:val="16"/>
            <w:color w:val="auto"/>
          </w:rPr>
          <w:t xml:space="preserve"> filed on April 26, 2023 and our Current Reports on Form 8-K filed on </w:t>
        </w:r>
        <w:r>
          <w:rPr>
            <w:rFonts w:ascii="Arial" w:cs="Arial" w:eastAsia="Arial" w:hAnsi="Arial"/>
            <w:sz w:val="16"/>
            <w:szCs w:val="16"/>
            <w:u w:val="single" w:color="auto"/>
            <w:color w:val="0000EE"/>
          </w:rPr>
          <w:t>January 20,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February 16,</w:t>
        </w:r>
      </w:hyperlink>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EE"/>
          </w:rPr>
          <w:t>2023</w:t>
        </w:r>
        <w:r>
          <w:rPr>
            <w:rFonts w:ascii="Arial" w:cs="Arial" w:eastAsia="Arial" w:hAnsi="Arial"/>
            <w:sz w:val="16"/>
            <w:szCs w:val="16"/>
            <w:color w:val="0000EE"/>
          </w:rPr>
          <w:t xml:space="preserve"> </w:t>
        </w:r>
        <w:r>
          <w:rPr>
            <w:rFonts w:ascii="Arial" w:cs="Arial" w:eastAsia="Arial" w:hAnsi="Arial"/>
            <w:sz w:val="16"/>
            <w:szCs w:val="16"/>
            <w:color w:val="000000"/>
          </w:rPr>
          <w:t>(solely to the extent included in Item 5.02 of such Current Report),</w:t>
        </w:r>
        <w:r>
          <w:rPr>
            <w:rFonts w:ascii="Arial" w:cs="Arial" w:eastAsia="Arial" w:hAnsi="Arial"/>
            <w:sz w:val="16"/>
            <w:szCs w:val="16"/>
            <w:color w:val="0000EE"/>
          </w:rPr>
          <w:t xml:space="preserve"> </w:t>
        </w:r>
      </w:hyperlink>
      <w:hyperlink r:id="rId54">
        <w:r>
          <w:rPr>
            <w:rFonts w:ascii="Arial" w:cs="Arial" w:eastAsia="Arial" w:hAnsi="Arial"/>
            <w:sz w:val="16"/>
            <w:szCs w:val="16"/>
            <w:u w:val="single" w:color="auto"/>
            <w:color w:val="0000EE"/>
          </w:rPr>
          <w:t>March 14, 2023</w:t>
        </w:r>
      </w:hyperlink>
      <w:hyperlink r:id="rId53">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55">
        <w:r>
          <w:rPr>
            <w:rFonts w:ascii="Arial" w:cs="Arial" w:eastAsia="Arial" w:hAnsi="Arial"/>
            <w:sz w:val="16"/>
            <w:szCs w:val="16"/>
            <w:u w:val="single" w:color="auto"/>
            <w:color w:val="0000EE"/>
          </w:rPr>
          <w:t xml:space="preserve">May 3, 2023 </w:t>
        </w:r>
      </w:hyperlink>
      <w:hyperlink r:id="rId53">
        <w:r>
          <w:rPr>
            <w:rFonts w:ascii="Arial" w:cs="Arial" w:eastAsia="Arial" w:hAnsi="Arial"/>
            <w:sz w:val="16"/>
            <w:szCs w:val="16"/>
            <w:color w:val="000000"/>
          </w:rPr>
          <w:t>and all documents subsequently filed with</w:t>
        </w:r>
      </w:hyperlink>
      <w:r>
        <w:rPr>
          <w:rFonts w:ascii="Arial" w:cs="Arial" w:eastAsia="Arial" w:hAnsi="Arial"/>
          <w:sz w:val="16"/>
          <w:szCs w:val="16"/>
          <w:color w:val="0000EE"/>
        </w:rPr>
        <w:t xml:space="preserve"> </w:t>
      </w:r>
      <w:r>
        <w:rPr>
          <w:rFonts w:ascii="Arial" w:cs="Arial" w:eastAsia="Arial" w:hAnsi="Arial"/>
          <w:sz w:val="16"/>
          <w:szCs w:val="16"/>
          <w:color w:val="000000"/>
        </w:rPr>
        <w:t>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6" w:lineRule="exact"/>
        <w:rPr>
          <w:rFonts w:ascii="Arial" w:cs="Arial" w:eastAsia="Arial" w:hAnsi="Arial"/>
          <w:sz w:val="16"/>
          <w:szCs w:val="16"/>
          <w:color w:val="0000EE"/>
        </w:rPr>
      </w:pPr>
    </w:p>
    <w:p>
      <w:pPr>
        <w:ind w:left="120" w:right="14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rFonts w:ascii="Arial" w:cs="Arial" w:eastAsia="Arial" w:hAnsi="Arial"/>
          <w:sz w:val="16"/>
          <w:szCs w:val="16"/>
          <w:color w:val="0000EE"/>
        </w:rPr>
      </w:pPr>
    </w:p>
    <w:p>
      <w:pPr>
        <w:ind w:left="12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81" w:lineRule="exact"/>
        <w:rPr>
          <w:rFonts w:ascii="Arial" w:cs="Arial" w:eastAsia="Arial" w:hAnsi="Arial"/>
          <w:sz w:val="16"/>
          <w:szCs w:val="16"/>
          <w:color w:val="0000EE"/>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67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71470" cy="668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080"/>
          </w:cols>
          <w:pgMar w:left="320" w:top="675" w:right="49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•  Common stock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140"/>
        <w:spacing w:after="0"/>
        <w:rPr>
          <w:sz w:val="20"/>
          <w:szCs w:val="20"/>
          <w:color w:val="auto"/>
        </w:rPr>
      </w:pPr>
      <w:r>
        <w:rPr>
          <w:rFonts w:ascii="Arial" w:cs="Arial" w:eastAsia="Arial" w:hAnsi="Arial"/>
          <w:sz w:val="16"/>
          <w:szCs w:val="16"/>
          <w:color w:val="auto"/>
        </w:rPr>
        <w:t>•  Warrants</w:t>
      </w:r>
    </w:p>
    <w:p>
      <w:pPr>
        <w:spacing w:after="0" w:line="140" w:lineRule="exact"/>
        <w:rPr>
          <w:sz w:val="20"/>
          <w:szCs w:val="20"/>
          <w:color w:val="auto"/>
        </w:rPr>
      </w:pPr>
    </w:p>
    <w:p>
      <w:pPr>
        <w:sectPr>
          <w:pgSz w:w="11900" w:h="16838" w:orient="portrait"/>
          <w:cols w:equalWidth="0" w:num="2">
            <w:col w:w="5320" w:space="720"/>
            <w:col w:w="5040"/>
          </w:cols>
          <w:pgMar w:left="320" w:top="675" w:right="4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•  Preferred stock</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7"/>
          <w:szCs w:val="17"/>
          <w:color w:val="auto"/>
        </w:rPr>
        <w:t>•  Units</w:t>
      </w:r>
    </w:p>
    <w:p>
      <w:pPr>
        <w:spacing w:after="0" w:line="129" w:lineRule="exact"/>
        <w:rPr>
          <w:sz w:val="20"/>
          <w:szCs w:val="20"/>
          <w:color w:val="auto"/>
        </w:rPr>
      </w:pPr>
    </w:p>
    <w:p>
      <w:pPr>
        <w:sectPr>
          <w:pgSz w:w="11900" w:h="16838" w:orient="portrait"/>
          <w:cols w:equalWidth="0" w:num="2">
            <w:col w:w="5320" w:space="720"/>
            <w:col w:w="5040"/>
          </w:cols>
          <w:pgMar w:left="320" w:top="675" w:right="4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80"/>
          </w:cols>
          <w:pgMar w:left="320" w:top="67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•  Maturity</w:t>
            </w:r>
          </w:p>
        </w:tc>
        <w:tc>
          <w:tcPr>
            <w:tcW w:w="4200" w:type="dxa"/>
            <w:vAlign w:val="bottom"/>
          </w:tcPr>
          <w:p>
            <w:pPr>
              <w:ind w:left="1100"/>
              <w:spacing w:after="0"/>
              <w:rPr>
                <w:sz w:val="20"/>
                <w:szCs w:val="20"/>
                <w:color w:val="auto"/>
              </w:rPr>
            </w:pPr>
            <w:r>
              <w:rPr>
                <w:rFonts w:ascii="Arial" w:cs="Arial" w:eastAsia="Arial" w:hAnsi="Arial"/>
                <w:sz w:val="18"/>
                <w:szCs w:val="18"/>
                <w:color w:val="auto"/>
              </w:rPr>
              <w:t>•  Redemption terms</w:t>
            </w:r>
          </w:p>
        </w:tc>
        <w:tc>
          <w:tcPr>
            <w:tcW w:w="2480" w:type="dxa"/>
            <w:vAlign w:val="bottom"/>
          </w:tcPr>
          <w:p>
            <w:pPr>
              <w:ind w:left="640"/>
              <w:spacing w:after="0"/>
              <w:rPr>
                <w:sz w:val="20"/>
                <w:szCs w:val="20"/>
                <w:color w:val="auto"/>
              </w:rPr>
            </w:pPr>
            <w:r>
              <w:rPr>
                <w:rFonts w:ascii="Arial" w:cs="Arial" w:eastAsia="Arial" w:hAnsi="Arial"/>
                <w:sz w:val="18"/>
                <w:szCs w:val="18"/>
                <w:color w:val="auto"/>
              </w:rPr>
              <w:t>•  Liquidation amount</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•  Interest rate</w:t>
            </w:r>
          </w:p>
        </w:tc>
        <w:tc>
          <w:tcPr>
            <w:tcW w:w="4200" w:type="dxa"/>
            <w:vAlign w:val="bottom"/>
          </w:tcPr>
          <w:p>
            <w:pPr>
              <w:ind w:left="1100"/>
              <w:spacing w:after="0"/>
              <w:rPr>
                <w:sz w:val="20"/>
                <w:szCs w:val="20"/>
                <w:color w:val="auto"/>
              </w:rPr>
            </w:pPr>
            <w:r>
              <w:rPr>
                <w:rFonts w:ascii="Arial" w:cs="Arial" w:eastAsia="Arial" w:hAnsi="Arial"/>
                <w:sz w:val="18"/>
                <w:szCs w:val="18"/>
                <w:color w:val="auto"/>
              </w:rPr>
              <w:t>•  Listing on a security exchange</w:t>
            </w:r>
          </w:p>
        </w:tc>
        <w:tc>
          <w:tcPr>
            <w:tcW w:w="2480" w:type="dxa"/>
            <w:vAlign w:val="bottom"/>
          </w:tcPr>
          <w:p>
            <w:pPr>
              <w:ind w:left="640"/>
              <w:spacing w:after="0"/>
              <w:rPr>
                <w:sz w:val="20"/>
                <w:szCs w:val="20"/>
                <w:color w:val="auto"/>
              </w:rPr>
            </w:pPr>
            <w:r>
              <w:rPr>
                <w:rFonts w:ascii="Arial" w:cs="Arial" w:eastAsia="Arial" w:hAnsi="Arial"/>
                <w:sz w:val="18"/>
                <w:szCs w:val="18"/>
                <w:color w:val="auto"/>
                <w:w w:val="88"/>
              </w:rPr>
              <w:t>•  Subsidiary guarantees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•  Currency of payments</w:t>
            </w:r>
          </w:p>
        </w:tc>
        <w:tc>
          <w:tcPr>
            <w:tcW w:w="4200" w:type="dxa"/>
            <w:vAlign w:val="bottom"/>
          </w:tcPr>
          <w:p>
            <w:pPr>
              <w:ind w:left="1100"/>
              <w:spacing w:after="0"/>
              <w:rPr>
                <w:sz w:val="20"/>
                <w:szCs w:val="20"/>
                <w:color w:val="auto"/>
              </w:rPr>
            </w:pPr>
            <w:r>
              <w:rPr>
                <w:rFonts w:ascii="Arial" w:cs="Arial" w:eastAsia="Arial" w:hAnsi="Arial"/>
                <w:sz w:val="18"/>
                <w:szCs w:val="18"/>
                <w:color w:val="auto"/>
              </w:rPr>
              <w:t>•  Amount payable at maturity</w:t>
            </w:r>
          </w:p>
        </w:tc>
        <w:tc>
          <w:tcPr>
            <w:tcW w:w="2480" w:type="dxa"/>
            <w:vAlign w:val="bottom"/>
          </w:tcPr>
          <w:p>
            <w:pPr>
              <w:ind w:left="640"/>
              <w:spacing w:after="0"/>
              <w:rPr>
                <w:sz w:val="20"/>
                <w:szCs w:val="20"/>
                <w:color w:val="auto"/>
              </w:rPr>
            </w:pPr>
            <w:r>
              <w:rPr>
                <w:rFonts w:ascii="Arial" w:cs="Arial" w:eastAsia="Arial" w:hAnsi="Arial"/>
                <w:sz w:val="18"/>
                <w:szCs w:val="18"/>
                <w:color w:val="auto"/>
              </w:rPr>
              <w:t>•  Sinking fund terms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•  Dividends</w:t>
            </w:r>
          </w:p>
        </w:tc>
        <w:tc>
          <w:tcPr>
            <w:tcW w:w="4200" w:type="dxa"/>
            <w:vAlign w:val="bottom"/>
          </w:tcPr>
          <w:p>
            <w:pPr>
              <w:ind w:left="1100"/>
              <w:spacing w:after="0"/>
              <w:rPr>
                <w:sz w:val="20"/>
                <w:szCs w:val="20"/>
                <w:color w:val="auto"/>
              </w:rPr>
            </w:pPr>
            <w:r>
              <w:rPr>
                <w:rFonts w:ascii="Arial" w:cs="Arial" w:eastAsia="Arial" w:hAnsi="Arial"/>
                <w:sz w:val="18"/>
                <w:szCs w:val="18"/>
                <w:color w:val="auto"/>
              </w:rPr>
              <w:t>•  Conversion or exchange rights</w:t>
            </w:r>
          </w:p>
        </w:tc>
        <w:tc>
          <w:tcPr>
            <w:tcW w:w="2480" w:type="dxa"/>
            <w:vAlign w:val="bottom"/>
          </w:tcPr>
          <w:p>
            <w:pPr>
              <w:spacing w:after="0"/>
              <w:rPr>
                <w:sz w:val="24"/>
                <w:szCs w:val="24"/>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66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right="2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February 4, 2022</w:t>
      </w:r>
    </w:p>
    <w:p>
      <w:pPr>
        <w:sectPr>
          <w:pgSz w:w="11900" w:h="16838" w:orient="portrait"/>
          <w:cols w:equalWidth="0" w:num="1">
            <w:col w:w="11080"/>
          </w:cols>
          <w:pgMar w:left="320" w:top="675" w:right="4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3"/>
          </w:tcPr>
          <w:p>
            <w:pPr>
              <w:jc w:val="right"/>
              <w:ind w:right="443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4340" w:type="dxa"/>
            <w:vAlign w:val="bottom"/>
            <w:gridSpan w:val="14"/>
            <w:vMerge w:val="restart"/>
          </w:tcPr>
          <w:p>
            <w:pPr>
              <w:spacing w:after="0"/>
              <w:rPr>
                <w:sz w:val="20"/>
                <w:szCs w:val="20"/>
                <w:color w:val="auto"/>
              </w:rPr>
            </w:pPr>
            <w:r>
              <w:rPr>
                <w:rFonts w:ascii="Arial" w:cs="Arial" w:eastAsia="Arial" w:hAnsi="Arial"/>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320" w:type="dxa"/>
            <w:vAlign w:val="bottom"/>
            <w:gridSpan w:val="2"/>
            <w:vMerge w:val="restart"/>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426"/>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gridSpan w:val="14"/>
            <w:vMerge w:val="continue"/>
          </w:tcPr>
          <w:p>
            <w:pPr>
              <w:spacing w:after="0"/>
              <w:rPr>
                <w:sz w:val="14"/>
                <w:szCs w:val="14"/>
                <w:color w:val="auto"/>
              </w:rPr>
            </w:pPr>
          </w:p>
        </w:tc>
        <w:tc>
          <w:tcPr>
            <w:tcW w:w="6340" w:type="dxa"/>
            <w:vAlign w:val="bottom"/>
            <w:gridSpan w:val="2"/>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2700" w:type="dxa"/>
            <w:vAlign w:val="bottom"/>
            <w:gridSpan w:val="6"/>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1480" w:type="dxa"/>
            <w:vAlign w:val="bottom"/>
            <w:gridSpan w:val="2"/>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Notice Regarding Forward-Looking Statements</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2160" w:type="dxa"/>
            <w:vAlign w:val="bottom"/>
            <w:gridSpan w:val="3"/>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2620" w:type="dxa"/>
            <w:vAlign w:val="bottom"/>
            <w:gridSpan w:val="5"/>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Units</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2880" w:type="dxa"/>
            <w:vAlign w:val="bottom"/>
            <w:gridSpan w:val="8"/>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Plan of Distribution</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820" w:type="dxa"/>
            <w:vAlign w:val="bottom"/>
            <w:gridSpan w:val="7"/>
          </w:tcPr>
          <w:p>
            <w:pPr>
              <w:spacing w:after="0"/>
              <w:rPr>
                <w:sz w:val="17"/>
                <w:szCs w:val="17"/>
                <w:color w:val="auto"/>
              </w:rPr>
            </w:pP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Experts</w:t>
            </w:r>
          </w:p>
        </w:tc>
        <w:tc>
          <w:tcPr>
            <w:tcW w:w="6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675"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2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67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5">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2021, filed on February 4, 2022, the Current Report on </w:t>
      </w:r>
      <w:hyperlink r:id="rId66">
        <w:r>
          <w:rPr>
            <w:rFonts w:ascii="Arial" w:cs="Arial" w:eastAsia="Arial" w:hAnsi="Arial"/>
            <w:sz w:val="16"/>
            <w:szCs w:val="16"/>
            <w:u w:val="single" w:color="auto"/>
            <w:color w:val="0000EE"/>
          </w:rPr>
          <w:t>Form 8-K</w:t>
        </w:r>
      </w:hyperlink>
      <w:r>
        <w:rPr>
          <w:rFonts w:ascii="Arial" w:cs="Arial" w:eastAsia="Arial" w:hAnsi="Arial"/>
          <w:sz w:val="16"/>
          <w:szCs w:val="16"/>
          <w:color w:val="auto"/>
        </w:rPr>
        <w:t xml:space="preserve">, filed on January 26, 2022, the description of our common stock contained in our registration statement on </w:t>
      </w:r>
      <w:hyperlink r:id="rId67">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66" w:lineRule="exact"/>
        <w:rPr>
          <w:rFonts w:ascii="Arial" w:cs="Arial" w:eastAsia="Arial" w:hAnsi="Arial"/>
          <w:sz w:val="16"/>
          <w:szCs w:val="16"/>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9"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rFonts w:ascii="Arial" w:cs="Arial" w:eastAsia="Arial" w:hAnsi="Arial"/>
          <w:sz w:val="16"/>
          <w:szCs w:val="16"/>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rFonts w:ascii="Arial" w:cs="Arial" w:eastAsia="Arial" w:hAnsi="Arial"/>
          <w:sz w:val="16"/>
          <w:szCs w:val="16"/>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rFonts w:ascii="Arial" w:cs="Arial" w:eastAsia="Arial" w:hAnsi="Arial"/>
          <w:sz w:val="16"/>
          <w:szCs w:val="16"/>
          <w:color w:val="auto"/>
        </w:rPr>
      </w:pPr>
    </w:p>
    <w:p>
      <w:pPr>
        <w:ind w:left="1100" w:right="8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100" w:right="64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100" w:right="68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5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675"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 ;</w:t>
      </w:r>
    </w:p>
    <w:p>
      <w:pPr>
        <w:spacing w:after="0" w:line="75" w:lineRule="exact"/>
        <w:rPr>
          <w:rFonts w:ascii="Arial" w:cs="Arial" w:eastAsia="Arial" w:hAnsi="Arial"/>
          <w:sz w:val="18"/>
          <w:szCs w:val="18"/>
          <w:color w:val="auto"/>
        </w:rPr>
      </w:pPr>
    </w:p>
    <w:p>
      <w:pPr>
        <w:ind w:left="1100" w:right="20" w:hanging="433"/>
        <w:spacing w:after="0" w:line="342"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29" w:lineRule="exact"/>
        <w:rPr>
          <w:rFonts w:ascii="Arial" w:cs="Arial" w:eastAsia="Arial" w:hAnsi="Arial"/>
          <w:sz w:val="16"/>
          <w:szCs w:val="16"/>
          <w:color w:val="auto"/>
        </w:rPr>
      </w:pPr>
    </w:p>
    <w:p>
      <w:pPr>
        <w:ind w:left="1100" w:right="48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100" w:right="72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100" w:right="140" w:hanging="433"/>
        <w:spacing w:after="0" w:line="342"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00" w:right="6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675"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675" w:right="6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100" w:right="320" w:hanging="433"/>
        <w:spacing w:after="0" w:line="308"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00" w:hanging="433"/>
        <w:spacing w:after="0" w:line="272"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675"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60" w:hanging="433"/>
        <w:spacing w:after="0" w:line="263"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67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675"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100" w:right="24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100" w:right="20" w:hanging="433"/>
        <w:spacing w:after="0" w:line="275"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100" w:right="1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100" w:right="220" w:hanging="433"/>
        <w:spacing w:after="0" w:line="259"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100" w:right="300" w:hanging="433"/>
        <w:spacing w:after="0" w:line="342"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5540" w:right="300" w:hanging="4322"/>
        <w:spacing w:after="0" w:line="449" w:lineRule="auto"/>
        <w:tabs>
          <w:tab w:leader="none" w:pos="15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proceeds of such sale and leaseback transaction and we elect to designate such amount as a credit against such transaction, or 10</w:t>
      </w:r>
    </w:p>
    <w:p>
      <w:pPr>
        <w:sectPr>
          <w:pgSz w:w="11900" w:h="16838" w:orient="portrait"/>
          <w:cols w:equalWidth="0" w:num="1">
            <w:col w:w="11120"/>
          </w:cols>
          <w:pgMar w:left="320" w:top="675"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22"/>
        <w:spacing w:after="0" w:line="342"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100" w:right="120" w:hanging="433"/>
        <w:spacing w:after="0" w:line="286"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100" w:right="160" w:hanging="433"/>
        <w:spacing w:after="0" w:line="273"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100" w:right="60" w:hanging="433"/>
        <w:spacing w:after="0" w:line="311" w:lineRule="auto"/>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54" w:lineRule="exact"/>
        <w:rPr>
          <w:rFonts w:ascii="Arial" w:cs="Arial" w:eastAsia="Arial" w:hAnsi="Arial"/>
          <w:sz w:val="16"/>
          <w:szCs w:val="16"/>
          <w:color w:val="auto"/>
        </w:rPr>
      </w:pPr>
    </w:p>
    <w:p>
      <w:pPr>
        <w:ind w:left="1100" w:right="580" w:hanging="433"/>
        <w:spacing w:after="0" w:line="308"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100" w:hanging="433"/>
        <w:spacing w:after="0" w:line="273"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100" w:right="200" w:hanging="433"/>
        <w:spacing w:after="0" w:line="263"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60" w:hanging="322"/>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60" w:hanging="322"/>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322"/>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322"/>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right="140" w:hanging="322"/>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 The default by us under any other debt, including any other series of debt securities, is not a default under the indenture.</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67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3" w:lineRule="exact"/>
        <w:rPr>
          <w:sz w:val="20"/>
          <w:szCs w:val="20"/>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10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8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100" w:right="60" w:hanging="433"/>
        <w:spacing w:after="0" w:line="293" w:lineRule="auto"/>
        <w:tabs>
          <w:tab w:leader="none" w:pos="11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100" w:right="20" w:hanging="433"/>
        <w:spacing w:after="0" w:line="270"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100" w:right="120" w:hanging="433"/>
        <w:spacing w:after="0" w:line="277"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100" w:hanging="433"/>
        <w:spacing w:after="0" w:line="257"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1100" w:right="20" w:hanging="433"/>
        <w:spacing w:after="0" w:line="263"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675"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100" w:right="240" w:hanging="433"/>
        <w:spacing w:after="0" w:line="308"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100" w:hanging="433"/>
        <w:spacing w:after="0"/>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100" w:right="700" w:hanging="433"/>
        <w:spacing w:after="0" w:line="263"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5540" w:right="180" w:hanging="4873"/>
        <w:spacing w:after="0" w:line="449" w:lineRule="auto"/>
        <w:tabs>
          <w:tab w:leader="none" w:pos="11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20"/>
          </w:cols>
          <w:pgMar w:left="320" w:top="675"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675" w:right="5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675"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675"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675"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675"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675" w:right="5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648970</wp:posOffset>
            </wp:positionV>
            <wp:extent cx="2914650" cy="711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2914650" cy="71183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$200,000,000 4.600% Notes due 2028</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$200,000,000 4.900% Notes due 2033</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$1,200,000,000 5.050% Notes due 2063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22" w:lineRule="exact"/>
        <w:rPr>
          <w:sz w:val="20"/>
          <w:szCs w:val="20"/>
          <w:color w:val="auto"/>
        </w:rPr>
      </w:pPr>
    </w:p>
    <w:p>
      <w:pPr>
        <w:ind w:left="120"/>
        <w:spacing w:after="0"/>
        <w:tabs>
          <w:tab w:leader="none" w:pos="4680" w:val="left"/>
          <w:tab w:leader="none" w:pos="962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6"/>
          <w:szCs w:val="26"/>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1043305</wp:posOffset>
            </wp:positionV>
            <wp:extent cx="1474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424(b)(2)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prospectus supplement to which this Exhibit is attached is a final prospectus for the related offerings. The maximum aggregate amount of those offerings is $1,602,314,000.</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134"/>
        </w:trPr>
        <w:tc>
          <w:tcPr>
            <w:tcW w:w="980" w:type="dxa"/>
            <w:vAlign w:val="bottom"/>
            <w:tcBorders>
              <w:top w:val="single" w:sz="8" w:color="auto"/>
              <w:left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272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center"/>
              <w:ind w:left="4"/>
              <w:spacing w:after="0" w:line="134" w:lineRule="exact"/>
              <w:rPr>
                <w:sz w:val="20"/>
                <w:szCs w:val="20"/>
                <w:color w:val="auto"/>
              </w:rPr>
            </w:pPr>
            <w:r>
              <w:rPr>
                <w:rFonts w:ascii="Arial" w:cs="Arial" w:eastAsia="Arial" w:hAnsi="Arial"/>
                <w:sz w:val="13"/>
                <w:szCs w:val="13"/>
                <w:color w:val="auto"/>
                <w:w w:val="80"/>
              </w:rPr>
              <w:t>Fee</w:t>
            </w: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righ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86"/>
              </w:rPr>
              <w:t>Proposed</w:t>
            </w:r>
          </w:p>
        </w:tc>
        <w:tc>
          <w:tcPr>
            <w:tcW w:w="142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7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color w:val="auto"/>
                <w:w w:val="90"/>
              </w:rPr>
              <w:t>Calculation</w:t>
            </w:r>
          </w:p>
        </w:tc>
        <w:tc>
          <w:tcPr>
            <w:tcW w:w="1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4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7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color w:val="auto"/>
                <w:w w:val="86"/>
              </w:rPr>
              <w:t>or</w:t>
            </w:r>
          </w:p>
        </w:tc>
        <w:tc>
          <w:tcPr>
            <w:tcW w:w="1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85"/>
              </w:rPr>
              <w:t>Security</w:t>
            </w:r>
          </w:p>
        </w:tc>
        <w:tc>
          <w:tcPr>
            <w:tcW w:w="2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1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Price Per</w:t>
            </w:r>
          </w:p>
        </w:tc>
        <w:tc>
          <w:tcPr>
            <w:tcW w:w="1420" w:type="dxa"/>
            <w:vAlign w:val="bottom"/>
            <w:tcBorders>
              <w:right w:val="single" w:sz="8" w:color="auto"/>
            </w:tcBorders>
          </w:tcPr>
          <w:p>
            <w:pPr>
              <w:jc w:val="center"/>
              <w:ind w:left="2"/>
              <w:spacing w:after="0" w:line="135" w:lineRule="exact"/>
              <w:rPr>
                <w:sz w:val="20"/>
                <w:szCs w:val="20"/>
                <w:color w:val="auto"/>
              </w:rPr>
            </w:pPr>
            <w:r>
              <w:rPr>
                <w:rFonts w:ascii="Arial" w:cs="Arial" w:eastAsia="Arial" w:hAnsi="Arial"/>
                <w:sz w:val="13"/>
                <w:szCs w:val="13"/>
                <w:color w:val="auto"/>
                <w:w w:val="89"/>
              </w:rPr>
              <w:t>Aggregate Offering</w:t>
            </w:r>
          </w:p>
        </w:tc>
        <w:tc>
          <w:tcPr>
            <w:tcW w:w="10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right w:val="single" w:sz="8" w:color="auto"/>
            </w:tcBorders>
          </w:tcPr>
          <w:p>
            <w:pPr>
              <w:jc w:val="right"/>
              <w:ind w:right="195"/>
              <w:spacing w:after="0" w:line="135" w:lineRule="exact"/>
              <w:rPr>
                <w:sz w:val="20"/>
                <w:szCs w:val="20"/>
                <w:color w:val="auto"/>
              </w:rPr>
            </w:pPr>
            <w:r>
              <w:rPr>
                <w:rFonts w:ascii="Arial" w:cs="Arial" w:eastAsia="Arial" w:hAnsi="Arial"/>
                <w:sz w:val="13"/>
                <w:szCs w:val="13"/>
                <w:color w:val="auto"/>
              </w:rPr>
              <w:t>Amount of</w:t>
            </w:r>
          </w:p>
        </w:tc>
        <w:tc>
          <w:tcPr>
            <w:tcW w:w="0" w:type="dxa"/>
            <w:vAlign w:val="bottom"/>
          </w:tcPr>
          <w:p>
            <w:pPr>
              <w:spacing w:after="0"/>
              <w:rPr>
                <w:sz w:val="1"/>
                <w:szCs w:val="1"/>
                <w:color w:val="auto"/>
              </w:rPr>
            </w:pPr>
          </w:p>
        </w:tc>
      </w:tr>
      <w:tr>
        <w:trPr>
          <w:trHeight w:val="163"/>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8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3"/>
                <w:szCs w:val="13"/>
                <w:color w:val="auto"/>
                <w:w w:val="89"/>
              </w:rPr>
              <w:t>Forward Rule</w:t>
            </w:r>
          </w:p>
        </w:tc>
        <w:tc>
          <w:tcPr>
            <w:tcW w:w="12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3"/>
                <w:szCs w:val="13"/>
                <w:color w:val="auto"/>
              </w:rPr>
              <w:t>Amount Registered</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Unit</w:t>
            </w:r>
          </w:p>
        </w:tc>
        <w:tc>
          <w:tcPr>
            <w:tcW w:w="142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color w:val="auto"/>
                <w:w w:val="8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 Rate</w:t>
            </w:r>
          </w:p>
        </w:tc>
        <w:tc>
          <w:tcPr>
            <w:tcW w:w="1080" w:type="dxa"/>
            <w:vAlign w:val="bottom"/>
            <w:tcBorders>
              <w:bottom w:val="single" w:sz="8" w:color="auto"/>
              <w:right w:val="single" w:sz="8" w:color="auto"/>
            </w:tcBorders>
            <w:gridSpan w:val="2"/>
          </w:tcPr>
          <w:p>
            <w:pPr>
              <w:jc w:val="right"/>
              <w:ind w:right="55"/>
              <w:spacing w:after="0"/>
              <w:rPr>
                <w:sz w:val="20"/>
                <w:szCs w:val="20"/>
                <w:color w:val="auto"/>
              </w:rPr>
            </w:pPr>
            <w:r>
              <w:rPr>
                <w:rFonts w:ascii="Arial" w:cs="Arial" w:eastAsia="Arial" w:hAnsi="Arial"/>
                <w:sz w:val="13"/>
                <w:szCs w:val="13"/>
                <w:color w:val="auto"/>
                <w:w w:val="96"/>
              </w:rPr>
              <w:t>Registration Fee</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Newly</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2"/>
              </w:rPr>
              <w:t>Registered Securities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9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4.600% Notes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457(r)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200,000,000</w:t>
            </w:r>
          </w:p>
        </w:tc>
        <w:tc>
          <w:tcPr>
            <w:tcW w:w="120" w:type="dxa"/>
            <w:vAlign w:val="bottom"/>
          </w:tcPr>
          <w:p>
            <w:pPr>
              <w:spacing w:after="0"/>
              <w:rPr>
                <w:sz w:val="24"/>
                <w:szCs w:val="24"/>
                <w:color w:val="auto"/>
              </w:rPr>
            </w:pPr>
          </w:p>
        </w:tc>
        <w:tc>
          <w:tcPr>
            <w:tcW w:w="840" w:type="dxa"/>
            <w:vAlign w:val="bottom"/>
            <w:tcBorders>
              <w:right w:val="single" w:sz="8" w:color="auto"/>
            </w:tcBorders>
          </w:tcPr>
          <w:p>
            <w:pPr>
              <w:jc w:val="center"/>
              <w:ind w:right="5"/>
              <w:spacing w:after="0"/>
              <w:rPr>
                <w:sz w:val="20"/>
                <w:szCs w:val="20"/>
                <w:color w:val="auto"/>
              </w:rPr>
            </w:pPr>
            <w:r>
              <w:rPr>
                <w:rFonts w:ascii="Arial" w:cs="Arial" w:eastAsia="Arial" w:hAnsi="Arial"/>
                <w:sz w:val="18"/>
                <w:szCs w:val="18"/>
                <w:color w:val="auto"/>
                <w:w w:val="88"/>
              </w:rPr>
              <w:t>102.404%</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$204,808,000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w w:val="97"/>
              </w:rPr>
              <w:t>22,569.84</w:t>
            </w:r>
          </w:p>
        </w:tc>
        <w:tc>
          <w:tcPr>
            <w:tcW w:w="0" w:type="dxa"/>
            <w:vAlign w:val="bottom"/>
          </w:tcPr>
          <w:p>
            <w:pPr>
              <w:spacing w:after="0"/>
              <w:rPr>
                <w:sz w:val="1"/>
                <w:szCs w:val="1"/>
                <w:color w:val="auto"/>
              </w:rPr>
            </w:pPr>
          </w:p>
        </w:tc>
      </w:tr>
      <w:tr>
        <w:trPr>
          <w:trHeight w:val="175"/>
        </w:trPr>
        <w:tc>
          <w:tcPr>
            <w:tcW w:w="980" w:type="dxa"/>
            <w:vAlign w:val="bottom"/>
            <w:tcBorders>
              <w:left w:val="single" w:sz="8" w:color="auto"/>
              <w:bottom w:val="single" w:sz="8" w:color="auto"/>
              <w:right w:val="single" w:sz="8" w:color="auto"/>
            </w:tcBorders>
          </w:tcPr>
          <w:p>
            <w:pPr>
              <w:jc w:val="center"/>
              <w:ind w:left="10"/>
              <w:spacing w:after="0" w:line="176" w:lineRule="exact"/>
              <w:rPr>
                <w:sz w:val="20"/>
                <w:szCs w:val="20"/>
                <w:color w:val="auto"/>
              </w:rPr>
            </w:pPr>
            <w:r>
              <w:rPr>
                <w:rFonts w:ascii="Arial" w:cs="Arial" w:eastAsia="Arial" w:hAnsi="Arial"/>
                <w:sz w:val="18"/>
                <w:szCs w:val="18"/>
                <w:color w:val="auto"/>
                <w:w w:val="88"/>
              </w:rPr>
              <w:t>Paid</w:t>
            </w:r>
          </w:p>
        </w:tc>
        <w:tc>
          <w:tcPr>
            <w:tcW w:w="54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due 2028</w:t>
            </w:r>
          </w:p>
        </w:tc>
        <w:tc>
          <w:tcPr>
            <w:tcW w:w="8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million</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4.900% Notes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457(r)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200,000,000</w:t>
            </w:r>
          </w:p>
        </w:tc>
        <w:tc>
          <w:tcPr>
            <w:tcW w:w="120" w:type="dxa"/>
            <w:vAlign w:val="bottom"/>
          </w:tcPr>
          <w:p>
            <w:pPr>
              <w:spacing w:after="0"/>
              <w:rPr>
                <w:sz w:val="22"/>
                <w:szCs w:val="22"/>
                <w:color w:val="auto"/>
              </w:rPr>
            </w:pPr>
          </w:p>
        </w:tc>
        <w:tc>
          <w:tcPr>
            <w:tcW w:w="840" w:type="dxa"/>
            <w:vAlign w:val="bottom"/>
            <w:tcBorders>
              <w:right w:val="single" w:sz="8" w:color="auto"/>
            </w:tcBorders>
          </w:tcPr>
          <w:p>
            <w:pPr>
              <w:jc w:val="center"/>
              <w:ind w:right="5"/>
              <w:spacing w:after="0"/>
              <w:rPr>
                <w:sz w:val="20"/>
                <w:szCs w:val="20"/>
                <w:color w:val="auto"/>
              </w:rPr>
            </w:pPr>
            <w:r>
              <w:rPr>
                <w:rFonts w:ascii="Arial" w:cs="Arial" w:eastAsia="Arial" w:hAnsi="Arial"/>
                <w:sz w:val="18"/>
                <w:szCs w:val="18"/>
                <w:color w:val="auto"/>
                <w:w w:val="88"/>
              </w:rPr>
              <w:t>103.751%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$207,502,000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w w:val="97"/>
              </w:rPr>
              <w:t>22,866.72</w:t>
            </w:r>
          </w:p>
        </w:tc>
        <w:tc>
          <w:tcPr>
            <w:tcW w:w="0" w:type="dxa"/>
            <w:vAlign w:val="bottom"/>
          </w:tcPr>
          <w:p>
            <w:pPr>
              <w:spacing w:after="0"/>
              <w:rPr>
                <w:sz w:val="1"/>
                <w:szCs w:val="1"/>
                <w:color w:val="auto"/>
              </w:rPr>
            </w:pPr>
          </w:p>
        </w:tc>
      </w:tr>
      <w:tr>
        <w:trPr>
          <w:trHeight w:val="175"/>
        </w:trPr>
        <w:tc>
          <w:tcPr>
            <w:tcW w:w="980" w:type="dxa"/>
            <w:vAlign w:val="bottom"/>
            <w:tcBorders>
              <w:left w:val="single" w:sz="8" w:color="auto"/>
              <w:bottom w:val="single" w:sz="8" w:color="auto"/>
              <w:right w:val="single" w:sz="8" w:color="auto"/>
            </w:tcBorders>
          </w:tcPr>
          <w:p>
            <w:pPr>
              <w:jc w:val="center"/>
              <w:ind w:left="10"/>
              <w:spacing w:after="0" w:line="176" w:lineRule="exact"/>
              <w:rPr>
                <w:sz w:val="20"/>
                <w:szCs w:val="20"/>
                <w:color w:val="auto"/>
              </w:rPr>
            </w:pPr>
            <w:r>
              <w:rPr>
                <w:rFonts w:ascii="Arial" w:cs="Arial" w:eastAsia="Arial" w:hAnsi="Arial"/>
                <w:sz w:val="18"/>
                <w:szCs w:val="18"/>
                <w:color w:val="auto"/>
                <w:w w:val="88"/>
              </w:rPr>
              <w:t>Paid</w:t>
            </w:r>
          </w:p>
        </w:tc>
        <w:tc>
          <w:tcPr>
            <w:tcW w:w="54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due 2033</w:t>
            </w:r>
          </w:p>
        </w:tc>
        <w:tc>
          <w:tcPr>
            <w:tcW w:w="8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million</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5.050% Notes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457(r)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8"/>
              </w:rPr>
              <w:t>1,200,000,000</w:t>
            </w:r>
          </w:p>
        </w:tc>
        <w:tc>
          <w:tcPr>
            <w:tcW w:w="120" w:type="dxa"/>
            <w:vAlign w:val="bottom"/>
          </w:tcPr>
          <w:p>
            <w:pPr>
              <w:spacing w:after="0"/>
              <w:rPr>
                <w:sz w:val="24"/>
                <w:szCs w:val="24"/>
                <w:color w:val="auto"/>
              </w:rPr>
            </w:pPr>
          </w:p>
        </w:tc>
        <w:tc>
          <w:tcPr>
            <w:tcW w:w="840" w:type="dxa"/>
            <w:vAlign w:val="bottom"/>
            <w:tcBorders>
              <w:right w:val="single" w:sz="8" w:color="auto"/>
            </w:tcBorders>
          </w:tcPr>
          <w:p>
            <w:pPr>
              <w:jc w:val="center"/>
              <w:ind w:right="5"/>
              <w:spacing w:after="0"/>
              <w:rPr>
                <w:sz w:val="20"/>
                <w:szCs w:val="20"/>
                <w:color w:val="auto"/>
              </w:rPr>
            </w:pPr>
            <w:r>
              <w:rPr>
                <w:rFonts w:ascii="Arial" w:cs="Arial" w:eastAsia="Arial" w:hAnsi="Arial"/>
                <w:sz w:val="18"/>
                <w:szCs w:val="18"/>
                <w:color w:val="auto"/>
                <w:w w:val="90"/>
              </w:rPr>
              <w:t>99.167%</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$1,190,004,000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 per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w w:val="86"/>
              </w:rPr>
              <w:t>131,138.44</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bottom w:val="single" w:sz="8" w:color="auto"/>
              <w:right w:val="single" w:sz="8" w:color="auto"/>
            </w:tcBorders>
          </w:tcPr>
          <w:p>
            <w:pPr>
              <w:jc w:val="center"/>
              <w:ind w:left="10"/>
              <w:spacing w:after="0" w:line="162" w:lineRule="exact"/>
              <w:rPr>
                <w:sz w:val="20"/>
                <w:szCs w:val="20"/>
                <w:color w:val="auto"/>
              </w:rPr>
            </w:pPr>
            <w:r>
              <w:rPr>
                <w:rFonts w:ascii="Arial" w:cs="Arial" w:eastAsia="Arial" w:hAnsi="Arial"/>
                <w:sz w:val="18"/>
                <w:szCs w:val="18"/>
                <w:color w:val="auto"/>
                <w:w w:val="88"/>
              </w:rPr>
              <w:t>Paid</w:t>
            </w:r>
          </w:p>
        </w:tc>
        <w:tc>
          <w:tcPr>
            <w:tcW w:w="54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due 2063</w:t>
            </w:r>
          </w:p>
        </w:tc>
        <w:tc>
          <w:tcPr>
            <w:tcW w:w="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rPr>
              <w:t>million</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80" w:type="dxa"/>
            <w:vAlign w:val="bottom"/>
            <w:tcBorders>
              <w:left w:val="single" w:sz="8" w:color="auto"/>
              <w:right w:val="single" w:sz="8" w:color="auto"/>
            </w:tcBorders>
            <w:vMerge w:val="restart"/>
          </w:tcPr>
          <w:p>
            <w:pPr>
              <w:jc w:val="center"/>
              <w:ind w:left="30"/>
              <w:spacing w:after="0"/>
              <w:rPr>
                <w:sz w:val="20"/>
                <w:szCs w:val="20"/>
                <w:color w:val="auto"/>
              </w:rPr>
            </w:pPr>
            <w:r>
              <w:rPr>
                <w:rFonts w:ascii="Arial" w:cs="Arial" w:eastAsia="Arial" w:hAnsi="Arial"/>
                <w:sz w:val="18"/>
                <w:szCs w:val="18"/>
                <w:color w:val="auto"/>
                <w:w w:val="99"/>
              </w:rPr>
              <w:t>TOTAL</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1,600,000000</w:t>
            </w:r>
          </w:p>
        </w:tc>
        <w:tc>
          <w:tcPr>
            <w:tcW w:w="120" w:type="dxa"/>
            <w:vAlign w:val="bottom"/>
          </w:tcPr>
          <w:p>
            <w:pPr>
              <w:spacing w:after="0"/>
              <w:rPr>
                <w:sz w:val="16"/>
                <w:szCs w:val="16"/>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$1,602,314,000</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$110.20 per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18"/>
                <w:szCs w:val="18"/>
                <w:color w:val="auto"/>
                <w:w w:val="86"/>
              </w:rPr>
              <w:t>176,575.00</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million</w:t>
            </w:r>
          </w:p>
        </w:tc>
        <w:tc>
          <w:tcPr>
            <w:tcW w:w="180" w:type="dxa"/>
            <w:vAlign w:val="bottom"/>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2"/>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jpe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jpe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51" Type="http://schemas.openxmlformats.org/officeDocument/2006/relationships/hyperlink" Target="http://www.sec.gov/ix?doc=/Archives/edgar/data/0000097476/000009747623000007/txn-20221231.htm" TargetMode="External"/><Relationship Id="rId52" Type="http://schemas.openxmlformats.org/officeDocument/2006/relationships/hyperlink" Target="http://www.sec.gov/ix?doc=/Archives/edgar/data/0000097476/000009747623000017/txn-20230314.htm" TargetMode="External"/><Relationship Id="rId53" Type="http://schemas.openxmlformats.org/officeDocument/2006/relationships/hyperlink" Target="http://www.sec.gov/ix?doc=/Archives/edgar/data/0000097476/000119312523041080/d457016d8k.htm" TargetMode="External"/><Relationship Id="rId54" Type="http://schemas.openxmlformats.org/officeDocument/2006/relationships/hyperlink" Target="http://www.sec.gov/ix?doc=/Archives/edgar/data/0000097476/000119312523070157/d443336d8k.htm" TargetMode="External"/><Relationship Id="rId55" Type="http://schemas.openxmlformats.org/officeDocument/2006/relationships/hyperlink" Target="http://www.sec.gov/ix?doc=/Archives/edgar/data/97476/000009747623000029/txn-20230427.htm" TargetMode="External"/><Relationship Id="rId65" Type="http://schemas.openxmlformats.org/officeDocument/2006/relationships/hyperlink" Target="http://www.sec.gov/ix?doc=/Archives/edgar/data/0000097476/000009747622000009/txn-20211231.htm" TargetMode="External"/><Relationship Id="rId66" Type="http://schemas.openxmlformats.org/officeDocument/2006/relationships/hyperlink" Target="http://www.sec.gov/ix?doc=/Archives/edgar/data/97476/000119312522018409/d252810d8k.htm" TargetMode="External"/><Relationship Id="rId67"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2023-05-12T15:52:19Z</dcterms:created>
  <dcterms:modified xsi:type="dcterms:W3CDTF">2023-05-12T15:52:19Z</dcterms:modified>
</cp:coreProperties>
</file>