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365125</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340"/>
        <w:spacing w:after="0"/>
        <w:rPr>
          <w:sz w:val="20"/>
          <w:szCs w:val="20"/>
          <w:color w:val="auto"/>
        </w:rPr>
      </w:pPr>
      <w:r>
        <w:rPr>
          <w:rFonts w:ascii="Arial" w:cs="Arial" w:eastAsia="Arial" w:hAnsi="Arial"/>
          <w:sz w:val="17"/>
          <w:szCs w:val="17"/>
          <w:b w:val="1"/>
          <w:bCs w:val="1"/>
          <w:color w:val="auto"/>
        </w:rPr>
        <w:t>DATE OF REPORT (DATE OF EARLIEST EVENT REPORTED): November 14,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401955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544" w:right="7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544" w:right="759" w:bottom="1440" w:gutter="0" w:footer="0" w:header="0"/>
          <w:type w:val="continuous"/>
        </w:sectPr>
      </w:pPr>
    </w:p>
    <w:p>
      <w:pPr>
        <w:spacing w:after="0" w:line="3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25"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544" w:right="75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532130</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00"/>
          </w:cols>
          <w:pgMar w:left="240" w:top="544"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2.05. Costs Associated with Exit or Disposal Activities</w:t>
      </w:r>
    </w:p>
    <w:p>
      <w:pPr>
        <w:spacing w:after="0" w:line="25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On November 14, 2012, Texas Instruments Incorporated ("TI") announced that it will reduce costs and focus investments in its Wireless business on embedded markets with greater potential for sustainable growth. Cost reductions include the elimination of about 1,700 jobs worldwide. TI estimates that these actions will be substantially complete by the end of 2013.</w:t>
      </w:r>
    </w:p>
    <w:p>
      <w:pPr>
        <w:spacing w:after="0" w:line="20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Total charges for these actions are estimated to be about $325 million, of which about $220 million is for severance and related benefits and most of the remainder is for noncash impairments of intangible assets related to the Wireless business, including goodwill. Most of these charges will be recognized in the fourth quarter of 2012. The severance and related benefits will result in future cash expenditures.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these actions, TI expects annualized savings of about $450 million by the end of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7.01. Regulation FD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On November 14, 2012, TI issued a news release announcing the actions described in Item 2.05 above. The news release is attached hereto as Exhibit 99.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2"/>
              </w:rPr>
              <w:t>Designation</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7"/>
              </w:rPr>
              <w:t>of Exhibit</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3"/>
              </w:rPr>
              <w:t>in this</w:t>
            </w:r>
          </w:p>
        </w:tc>
        <w:tc>
          <w:tcPr>
            <w:tcW w:w="1020" w:type="dxa"/>
            <w:vAlign w:val="bottom"/>
          </w:tcPr>
          <w:p>
            <w:pPr>
              <w:spacing w:after="0"/>
              <w:rPr>
                <w:sz w:val="18"/>
                <w:szCs w:val="18"/>
                <w:color w:val="auto"/>
              </w:rPr>
            </w:pPr>
          </w:p>
        </w:tc>
        <w:tc>
          <w:tcPr>
            <w:tcW w:w="9220" w:type="dxa"/>
            <w:vAlign w:val="bottom"/>
          </w:tcPr>
          <w:p>
            <w:pPr>
              <w:spacing w:after="0"/>
              <w:rPr>
                <w:sz w:val="18"/>
                <w:szCs w:val="18"/>
                <w:color w:val="auto"/>
              </w:rPr>
            </w:pPr>
          </w:p>
        </w:tc>
      </w:tr>
      <w:tr>
        <w:trPr>
          <w:trHeight w:val="237"/>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Report</w:t>
            </w:r>
          </w:p>
        </w:tc>
        <w:tc>
          <w:tcPr>
            <w:tcW w:w="1020" w:type="dxa"/>
            <w:vAlign w:val="bottom"/>
          </w:tcPr>
          <w:p>
            <w:pPr>
              <w:spacing w:after="0"/>
              <w:rPr>
                <w:sz w:val="20"/>
                <w:szCs w:val="20"/>
                <w:color w:val="auto"/>
              </w:rPr>
            </w:pPr>
          </w:p>
        </w:tc>
        <w:tc>
          <w:tcPr>
            <w:tcW w:w="9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418"/>
        </w:trPr>
        <w:tc>
          <w:tcPr>
            <w:tcW w:w="1180" w:type="dxa"/>
            <w:vAlign w:val="bottom"/>
          </w:tcPr>
          <w:p>
            <w:pPr>
              <w:jc w:val="center"/>
              <w:spacing w:after="0"/>
              <w:rPr>
                <w:sz w:val="20"/>
                <w:szCs w:val="20"/>
                <w:color w:val="auto"/>
              </w:rPr>
            </w:pPr>
            <w:r>
              <w:rPr>
                <w:rFonts w:ascii="Arial" w:cs="Arial" w:eastAsia="Arial" w:hAnsi="Arial"/>
                <w:sz w:val="18"/>
                <w:szCs w:val="18"/>
                <w:color w:val="auto"/>
                <w:w w:val="89"/>
              </w:rPr>
              <w:t>99</w:t>
            </w:r>
          </w:p>
        </w:tc>
        <w:tc>
          <w:tcPr>
            <w:tcW w:w="1020" w:type="dxa"/>
            <w:vAlign w:val="bottom"/>
          </w:tcPr>
          <w:p>
            <w:pPr>
              <w:spacing w:after="0"/>
              <w:rPr>
                <w:sz w:val="24"/>
                <w:szCs w:val="24"/>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Registrant's News Release (furnished pursuant to Item 7.01)</w:t>
            </w:r>
          </w:p>
        </w:tc>
      </w:tr>
      <w:tr>
        <w:trPr>
          <w:trHeight w:val="230"/>
        </w:trPr>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Dated November 14, 2012</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"expects," "estimates" or other words or phrases of similar import. Similarly, statements herein that describe TI’s business strategy, outlook, objectives, plans, intentions, goals or anticipated cost savings also are forward-looking statements. All such forward-looking statements are subject to certain risks and uncertainties that could cause actual results to differ materially from those in the forward-looking statements, including but not limited to the ability of TI to complete its cost-reduction actions in a timely manner and to realize opportunities for our OMAP processor and wireless connectivity product lines in embedded markets; and the other risks and important factors contained and identified in the Risk Factors discussion in Item 1A of TI's Form 10-Q for the quarter ended March 31, 2012. The forward-looking statements included in this report are made only as of the date of this report, and TI undertakes no obligation to update the forward-looking statements to reflect subsequent events or circumstances.</w:t>
      </w:r>
    </w:p>
    <w:p>
      <w:pPr>
        <w:sectPr>
          <w:pgSz w:w="11900" w:h="16838" w:orient="portrait"/>
          <w:cols w:equalWidth="0" w:num="1">
            <w:col w:w="11420"/>
          </w:cols>
          <w:pgMar w:left="240" w:top="517"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00" w:lineRule="exact"/>
        <w:rPr>
          <w:sz w:val="20"/>
          <w:szCs w:val="20"/>
          <w:color w:val="auto"/>
        </w:rPr>
      </w:pPr>
    </w:p>
    <w:p>
      <w:pPr>
        <w:spacing w:after="0" w:line="241"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November 19,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51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to reduce costs in Wireless business;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OMAP™ processors and wireless connectivity solutions will focus on embedded markets</w:t>
      </w:r>
    </w:p>
    <w:p>
      <w:pPr>
        <w:spacing w:after="0" w:line="19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DALLAS (Nov. 14, 2012) – Consistent with previously stated strategic plans, Texas Instruments (TI) (NASDAQ: TXN) announced today it will reduce costs and focus investments in its Wireless business on embedded markets with greater potential for sustainable growth. Cost reductions include the elimination of about 1,700 jobs worldwide.</w:t>
      </w:r>
    </w:p>
    <w:p>
      <w:pPr>
        <w:spacing w:after="0" w:line="20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TI previously outlined intentions to focus its OMAP processors and wireless connectivity solutions on a broader set of embedded applications with long life cycles, instead of its historical focus on the mobile market where large customers are increasingly developing their own custom chips. These changes require fewer resources and less investment.</w:t>
      </w:r>
    </w:p>
    <w:p>
      <w:pPr>
        <w:spacing w:after="0" w:line="20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"We have a great opportunity to reshape our OMAP processor and wireless connectivity product lines to concentrate on embedded markets. Momentum is already building with new embedded applications and a broad set of customers, and we are accelerating our efforts in these areas," said Greg Delagi, senior vice president of Embedded Processing. "These job reductions are something we do with a heavy heart because they impact people we care deeply about. We will work closely with all employees affected by these changes to provide a range of assistance related to compensation, benefits and job search."</w:t>
      </w:r>
    </w:p>
    <w:p>
      <w:pPr>
        <w:spacing w:after="0" w:line="2"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As a result of these actions, the company expects annualized savings of about $450 million by the end of 2013. Total charges will be about $325 million, most of which will be accounted for in the current quarter. TI's fourth-quarter outlook, published on October 22, did not comprehend these restructuring charges.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Texas Instruments semiconductor innovations help 90,000 customers unlock the possibilities of the world as it could be – smarter, safer, greener, healthier and more fun. Our commitment to building a better future is ingrained in everything we do – from the responsible manufacturing of our semiconductors, to caring for our employees, to giving back inside our communities. This is just the beginning of our story. Learn more at </w:t>
      </w:r>
      <w:r>
        <w:rPr>
          <w:rFonts w:ascii="Arial" w:cs="Arial" w:eastAsia="Arial" w:hAnsi="Arial"/>
          <w:sz w:val="17"/>
          <w:szCs w:val="17"/>
          <w:u w:val="single" w:color="auto"/>
          <w:color w:val="auto"/>
        </w:rPr>
        <w:t>www.ti.com</w:t>
      </w:r>
      <w:r>
        <w:rPr>
          <w:rFonts w:ascii="Arial" w:cs="Arial" w:eastAsia="Arial" w:hAnsi="Arial"/>
          <w:sz w:val="17"/>
          <w:szCs w:val="17"/>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TI trademarks: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OMAP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"expects," "estimates" or other words or phrases of similar import. Similarly, statements herein that describe TI's business strategy, outlook, objectives, plans, intentions, goals or anticipated cost savings also are forward-looking statements. All such forward-looking statements are subject to certain risks and uncertainties that could cause actual results to differ materially from those in the forward-looking statements, including but not limited to the ability of TI to complete its cost-reduction actions in a timely manner and to realize opportunities for our OMAP processor and wireless connectivity product lines in embedded markets; and the other risks and important factors contained and identified in the Risk Factors discussion in Item 1A of TI’s Form 10-Q for the quarter ended March 31, 2012. The forward-looking statements included in this release are made only as of the date of this release, and TI undertakes no obligation to update the forward-looking statements to reflect subsequent events or circumstances.</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2019-12-09T07:42:46Z</dcterms:created>
  <dcterms:modified xsi:type="dcterms:W3CDTF">2019-12-09T07:42:46Z</dcterms:modified>
</cp:coreProperties>
</file>