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519430</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2320"/>
        <w:spacing w:after="0"/>
        <w:rPr>
          <w:sz w:val="20"/>
          <w:szCs w:val="20"/>
          <w:color w:val="auto"/>
        </w:rPr>
      </w:pPr>
      <w:r>
        <w:rPr>
          <w:rFonts w:ascii="Arial" w:cs="Arial" w:eastAsia="Arial" w:hAnsi="Arial"/>
          <w:sz w:val="17"/>
          <w:szCs w:val="17"/>
          <w:b w:val="1"/>
          <w:bCs w:val="1"/>
          <w:color w:val="auto"/>
        </w:rPr>
        <w:t>DATE OF REPORT (DATE OF EARLIEST EVENT REPORTED): September 15,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401955</wp:posOffset>
            </wp:positionV>
            <wp:extent cx="2186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544" w:right="75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544" w:right="759" w:bottom="1440" w:gutter="0" w:footer="0" w:header="0"/>
          <w:type w:val="continuous"/>
        </w:sectPr>
      </w:pPr>
    </w:p>
    <w:p>
      <w:pPr>
        <w:spacing w:after="0" w:line="30"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544" w:right="759" w:bottom="1440" w:gutter="0" w:footer="0" w:header="0"/>
          <w:type w:val="continuous"/>
        </w:sectPr>
      </w:pPr>
    </w:p>
    <w:p>
      <w:pPr>
        <w:spacing w:after="0" w:line="241"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377825</wp:posOffset>
            </wp:positionV>
            <wp:extent cx="2186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0900"/>
          </w:cols>
          <w:pgMar w:left="240" w:top="544" w:right="7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8.01. Other Events</w:t>
      </w:r>
    </w:p>
    <w:p>
      <w:pPr>
        <w:spacing w:after="0" w:line="25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Registrant’s news release dated September 15, 2011, regarding a planned dividend increase attached hereto as Exhibit 99 is incorporated by reference herein.</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ITEM 9.01 Exhibits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2"/>
              </w:rPr>
              <w:t>Designation</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7"/>
              </w:rPr>
              <w:t>of Exhibit</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3"/>
              </w:rPr>
              <w:t>in this</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37"/>
        </w:trPr>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Report</w:t>
            </w:r>
          </w:p>
        </w:tc>
        <w:tc>
          <w:tcPr>
            <w:tcW w:w="1020" w:type="dxa"/>
            <w:vAlign w:val="bottom"/>
          </w:tcPr>
          <w:p>
            <w:pPr>
              <w:spacing w:after="0"/>
              <w:rPr>
                <w:sz w:val="20"/>
                <w:szCs w:val="20"/>
                <w:color w:val="auto"/>
              </w:rPr>
            </w:pPr>
          </w:p>
        </w:tc>
        <w:tc>
          <w:tcPr>
            <w:tcW w:w="9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r>
      <w:tr>
        <w:trPr>
          <w:trHeight w:val="418"/>
        </w:trPr>
        <w:tc>
          <w:tcPr>
            <w:tcW w:w="118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1020" w:type="dxa"/>
            <w:vAlign w:val="bottom"/>
          </w:tcPr>
          <w:p>
            <w:pPr>
              <w:spacing w:after="0"/>
              <w:rPr>
                <w:sz w:val="24"/>
                <w:szCs w:val="24"/>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Registrant’s News Release</w:t>
            </w:r>
          </w:p>
        </w:tc>
      </w:tr>
      <w:tr>
        <w:trPr>
          <w:trHeight w:val="230"/>
        </w:trPr>
        <w:tc>
          <w:tcPr>
            <w:tcW w:w="1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Dated September 15, 2011 (furnished pursuant to Item 8.01)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880" w:hanging="440"/>
        <w:spacing w:after="0"/>
        <w:tabs>
          <w:tab w:leader="none" w:pos="880" w:val="left"/>
        </w:tabs>
        <w:numPr>
          <w:ilvl w:val="0"/>
          <w:numId w:val="2"/>
        </w:numPr>
        <w:rPr>
          <w:rFonts w:ascii="Arial" w:cs="Arial" w:eastAsia="Arial" w:hAnsi="Arial"/>
          <w:sz w:val="17"/>
          <w:szCs w:val="17"/>
          <w:color w:val="auto"/>
        </w:rPr>
      </w:pPr>
      <w:r>
        <w:rPr>
          <w:rFonts w:ascii="Arial" w:cs="Arial" w:eastAsia="Arial" w:hAnsi="Arial"/>
          <w:sz w:val="17"/>
          <w:szCs w:val="17"/>
          <w:color w:val="auto"/>
        </w:rPr>
        <w:t>Market demand for semiconductors, particularly in key markets such as communications, computing, industrial and consumer electronics;</w:t>
      </w:r>
    </w:p>
    <w:p>
      <w:pPr>
        <w:spacing w:after="0" w:line="236" w:lineRule="exact"/>
        <w:rPr>
          <w:rFonts w:ascii="Arial" w:cs="Arial" w:eastAsia="Arial" w:hAnsi="Arial"/>
          <w:sz w:val="17"/>
          <w:szCs w:val="17"/>
          <w:color w:val="auto"/>
        </w:rPr>
      </w:pPr>
    </w:p>
    <w:p>
      <w:pPr>
        <w:ind w:left="880" w:right="220" w:hanging="440"/>
        <w:spacing w:after="0" w:line="277"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225" w:lineRule="exact"/>
        <w:rPr>
          <w:rFonts w:ascii="Arial" w:cs="Arial" w:eastAsia="Arial" w:hAnsi="Arial"/>
          <w:sz w:val="18"/>
          <w:szCs w:val="18"/>
          <w:color w:val="auto"/>
        </w:rPr>
      </w:pPr>
    </w:p>
    <w:p>
      <w:pPr>
        <w:ind w:left="880" w:right="520" w:hanging="440"/>
        <w:spacing w:after="0" w:line="277"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36" w:lineRule="exact"/>
        <w:rPr>
          <w:rFonts w:ascii="Arial" w:cs="Arial" w:eastAsia="Arial" w:hAnsi="Arial"/>
          <w:sz w:val="17"/>
          <w:szCs w:val="17"/>
          <w:color w:val="auto"/>
        </w:rPr>
      </w:pPr>
    </w:p>
    <w:p>
      <w:pPr>
        <w:ind w:left="880" w:right="460" w:hanging="440"/>
        <w:spacing w:after="0" w:line="277"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170" w:lineRule="exact"/>
        <w:rPr>
          <w:rFonts w:ascii="Arial" w:cs="Arial" w:eastAsia="Arial" w:hAnsi="Arial"/>
          <w:sz w:val="18"/>
          <w:szCs w:val="18"/>
          <w:color w:val="auto"/>
        </w:rPr>
      </w:pPr>
    </w:p>
    <w:p>
      <w:pPr>
        <w:ind w:left="880" w:right="180" w:hanging="440"/>
        <w:spacing w:after="0" w:line="342" w:lineRule="auto"/>
        <w:tabs>
          <w:tab w:leader="none" w:pos="88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23" w:lineRule="exact"/>
        <w:rPr>
          <w:rFonts w:ascii="Arial" w:cs="Arial" w:eastAsia="Arial" w:hAnsi="Arial"/>
          <w:sz w:val="16"/>
          <w:szCs w:val="16"/>
          <w:color w:val="auto"/>
        </w:rPr>
      </w:pPr>
    </w:p>
    <w:p>
      <w:pPr>
        <w:ind w:left="880" w:hanging="440"/>
        <w:spacing w:after="0"/>
        <w:tabs>
          <w:tab w:leader="none" w:pos="880" w:val="left"/>
        </w:tabs>
        <w:numPr>
          <w:ilvl w:val="0"/>
          <w:numId w:val="2"/>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248" w:lineRule="exact"/>
        <w:rPr>
          <w:rFonts w:ascii="Arial" w:cs="Arial" w:eastAsia="Arial" w:hAnsi="Arial"/>
          <w:sz w:val="16"/>
          <w:szCs w:val="16"/>
          <w:color w:val="auto"/>
        </w:rPr>
      </w:pPr>
    </w:p>
    <w:p>
      <w:pPr>
        <w:ind w:left="880" w:hanging="440"/>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36" w:lineRule="exact"/>
        <w:rPr>
          <w:rFonts w:ascii="Arial" w:cs="Arial" w:eastAsia="Arial" w:hAnsi="Arial"/>
          <w:sz w:val="17"/>
          <w:szCs w:val="17"/>
          <w:color w:val="auto"/>
        </w:rPr>
      </w:pPr>
    </w:p>
    <w:p>
      <w:pPr>
        <w:ind w:left="880" w:hanging="440"/>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225" w:lineRule="exact"/>
        <w:rPr>
          <w:rFonts w:ascii="Arial" w:cs="Arial" w:eastAsia="Arial" w:hAnsi="Arial"/>
          <w:sz w:val="18"/>
          <w:szCs w:val="18"/>
          <w:color w:val="auto"/>
        </w:rPr>
      </w:pPr>
    </w:p>
    <w:p>
      <w:pPr>
        <w:ind w:left="880" w:right="160" w:hanging="440"/>
        <w:spacing w:after="0" w:line="277"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 and</w:t>
      </w:r>
    </w:p>
    <w:p>
      <w:pPr>
        <w:spacing w:after="0" w:line="197" w:lineRule="exact"/>
        <w:rPr>
          <w:rFonts w:ascii="Arial" w:cs="Arial" w:eastAsia="Arial" w:hAnsi="Arial"/>
          <w:sz w:val="18"/>
          <w:szCs w:val="18"/>
          <w:color w:val="auto"/>
        </w:rPr>
      </w:pPr>
    </w:p>
    <w:p>
      <w:pPr>
        <w:ind w:left="880" w:hanging="440"/>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obligations to make principal and interest payments on its debt.</w:t>
      </w:r>
    </w:p>
    <w:p>
      <w:pPr>
        <w:spacing w:after="0" w:line="252"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For a more detailed discussion of these factors, see the Risk Factors discussions in Item 1A of TI’s most recent Form 10-K and of TI’s Form 10-Q for the quarter ended June 30, 2011. The forward-looking statements included in this report on Form 8-K are made only as of the date of this report, and TI undertakes no obligation to update the forward-looking statements to reflect subsequent events or circumstances.</w:t>
      </w:r>
    </w:p>
    <w:p>
      <w:pPr>
        <w:sectPr>
          <w:pgSz w:w="11900" w:h="16838" w:orient="portrait"/>
          <w:cols w:equalWidth="0" w:num="1">
            <w:col w:w="11420"/>
          </w:cols>
          <w:pgMar w:left="240" w:top="517" w:right="239" w:bottom="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60" w:val="left"/>
          <w:tab w:leader="none" w:pos="6260" w:val="left"/>
        </w:tabs>
        <w:rPr>
          <w:sz w:val="20"/>
          <w:szCs w:val="20"/>
          <w:color w:val="auto"/>
        </w:rPr>
      </w:pPr>
      <w:r>
        <w:rPr>
          <w:rFonts w:ascii="Arial" w:cs="Arial" w:eastAsia="Arial" w:hAnsi="Arial"/>
          <w:sz w:val="18"/>
          <w:szCs w:val="18"/>
          <w:color w:val="auto"/>
        </w:rPr>
        <w:t>Date: September 15,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80"/>
          </w:cols>
          <w:pgMar w:left="240" w:top="368"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u w:val="single" w:color="auto"/>
          <w:color w:val="auto"/>
        </w:rPr>
        <w:t>Exhibit 99</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 to increase dividend 31%</w:t>
      </w:r>
    </w:p>
    <w:p>
      <w:pPr>
        <w:spacing w:after="0" w:line="229"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DALLAS (Sept. 15, 2011) –Texas Instruments Incorporated (TI) (NYSE: TXN) today said it will raise its quarterly cash dividend 31 percent. The new quarterly dividend will be $0.17 per share of common stock, resulting in annual dividend payments of $0.68 per common share. The current quarterly dividend is $0.13 per share.</w:t>
      </w:r>
    </w:p>
    <w:p>
      <w:pPr>
        <w:spacing w:after="0" w:line="20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increase reflects the strategic shift of TI’s product portfolio to a greater percentage of analog and embedded processing technologies, which generate high returns on investment and strong cash flow.</w:t>
      </w:r>
    </w:p>
    <w:p>
      <w:pPr>
        <w:spacing w:after="0" w:line="19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“This dividend increase reflects the strength of our strategy, our confidence in our future, and our commitment to shareholders,” said Rich Templeton, TI chairman, president and chief executive officer.</w:t>
      </w:r>
    </w:p>
    <w:p>
      <w:pPr>
        <w:spacing w:after="0" w:line="1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new quarterly cash dividend will be payable November 21, 2011, to stockholders of record on October 31, 2011, contingent upon formal declaration by the Board of Directors at its regular meeting in October.</w:t>
      </w:r>
    </w:p>
    <w:p>
      <w:pPr>
        <w:spacing w:after="0" w:line="19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This is the eighth consecutive year TI has increased its dividend. The company has paid dividends to its shareholders on an uninterrupted basis since June 1, 1962.</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660" w:hanging="139"/>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Market demand for semiconductors, particularly in key markets such as communications, computing, industrial and consumer electronics;</w:t>
      </w:r>
    </w:p>
    <w:p>
      <w:pPr>
        <w:spacing w:after="0" w:line="34"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line="28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 w:lineRule="exact"/>
        <w:rPr>
          <w:rFonts w:ascii="Arial" w:cs="Arial" w:eastAsia="Arial" w:hAnsi="Arial"/>
          <w:sz w:val="16"/>
          <w:szCs w:val="16"/>
          <w:color w:val="auto"/>
        </w:rPr>
      </w:pPr>
    </w:p>
    <w:p>
      <w:pPr>
        <w:ind w:left="660" w:hanging="139"/>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9" w:lineRule="exact"/>
        <w:rPr>
          <w:rFonts w:ascii="Arial" w:cs="Arial" w:eastAsia="Arial" w:hAnsi="Arial"/>
          <w:sz w:val="18"/>
          <w:szCs w:val="18"/>
          <w:color w:val="auto"/>
        </w:rPr>
      </w:pPr>
    </w:p>
    <w:p>
      <w:pPr>
        <w:ind w:left="660" w:right="20" w:hanging="139"/>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 and</w:t>
      </w: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w:t>
      </w:r>
    </w:p>
    <w:p>
      <w:pPr>
        <w:spacing w:after="0" w:line="238"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most recent Form 10-K and of TI’s Form 10-Q for the quarter ended June 30, 2011. The forward-looking statements included in this release are made only as of the date of this release, and TI undertakes no obligation to update the forward-looking statements to reflect subsequent events or circumstances.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Texas Instruments semiconductor innovations help 80,000 customers unlock the possibilities of the world as it could be – smarter, safer, greener, healthier and more fun. Our commitment to building a better future is ingrained in everything we do – from the responsible manufacturing of our semiconductors, to caring for our employees, to giving back inside our communities. This is just the beginning of our story. Learn more at </w:t>
      </w:r>
      <w:r>
        <w:rPr>
          <w:rFonts w:ascii="Arial" w:cs="Arial" w:eastAsia="Arial" w:hAnsi="Arial"/>
          <w:sz w:val="17"/>
          <w:szCs w:val="17"/>
          <w:u w:val="single" w:color="auto"/>
          <w:color w:val="auto"/>
        </w:rPr>
        <w:t>www.ti.com</w:t>
      </w:r>
      <w:r>
        <w:rPr>
          <w:rFonts w:ascii="Arial" w:cs="Arial" w:eastAsia="Arial" w:hAnsi="Arial"/>
          <w:sz w:val="17"/>
          <w:szCs w:val="17"/>
          <w:color w:val="auto"/>
        </w:rPr>
        <w:t>.</w:t>
      </w:r>
    </w:p>
    <w:sectPr>
      <w:pgSz w:w="11900" w:h="16838" w:orient="portrait"/>
      <w:cols w:equalWidth="0" w:num="1">
        <w:col w:w="11420"/>
      </w:cols>
      <w:pgMar w:left="240" w:top="125" w:right="239" w:bottom="86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2019-12-10T03:49:13Z</dcterms:created>
  <dcterms:modified xsi:type="dcterms:W3CDTF">2019-12-10T03:49:13Z</dcterms:modified>
</cp:coreProperties>
</file>