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DATE OF REPORT (DATE OF EARLIEST EVENT REPORTED): August 13, 2001</w:t>
      </w:r>
    </w:p>
    <w:p>
      <w:pPr>
        <w:spacing w:after="0" w:line="200" w:lineRule="exact"/>
        <w:rPr>
          <w:sz w:val="24"/>
          <w:szCs w:val="24"/>
          <w:color w:val="auto"/>
        </w:r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hanging="526"/>
        <w:spacing w:after="0" w:line="290" w:lineRule="auto"/>
        <w:rPr>
          <w:sz w:val="20"/>
          <w:szCs w:val="20"/>
          <w:color w:val="auto"/>
        </w:rPr>
      </w:pPr>
      <w:r>
        <w:rPr>
          <w:rFonts w:ascii="Courier New" w:cs="Courier New" w:eastAsia="Courier New" w:hAnsi="Courier New"/>
          <w:sz w:val="16"/>
          <w:szCs w:val="16"/>
          <w:color w:val="auto"/>
        </w:rPr>
        <w:t>(State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DELAWARE</w:t>
      </w:r>
    </w:p>
    <w:p>
      <w:pPr>
        <w:spacing w:after="0"/>
        <w:tabs>
          <w:tab w:leader="none" w:pos="400" w:val="left"/>
          <w:tab w:leader="none" w:pos="1120" w:val="left"/>
        </w:tabs>
        <w:rPr>
          <w:sz w:val="20"/>
          <w:szCs w:val="20"/>
          <w:color w:val="auto"/>
        </w:rPr>
      </w:pPr>
      <w:r>
        <w:rPr>
          <w:rFonts w:ascii="Courier New" w:cs="Courier New" w:eastAsia="Courier New" w:hAnsi="Courier New"/>
          <w:sz w:val="18"/>
          <w:szCs w:val="18"/>
          <w:color w:val="auto"/>
        </w:rPr>
        <w:t>or</w:t>
        <w:tab/>
        <w:t>other</w:t>
      </w:r>
      <w:r>
        <w:rPr>
          <w:sz w:val="20"/>
          <w:szCs w:val="20"/>
          <w:color w:val="auto"/>
        </w:rPr>
        <w:tab/>
      </w:r>
      <w:r>
        <w:rPr>
          <w:rFonts w:ascii="Courier New" w:cs="Courier New" w:eastAsia="Courier New" w:hAnsi="Courier New"/>
          <w:sz w:val="16"/>
          <w:szCs w:val="16"/>
          <w:color w:val="auto"/>
        </w:rPr>
        <w:t>jurisdiction</w:t>
      </w:r>
    </w:p>
    <w:p>
      <w:pPr>
        <w:ind w:left="10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001-03761</w:t>
      </w:r>
    </w:p>
    <w:p>
      <w:pPr>
        <w:spacing w:after="0"/>
        <w:tabs>
          <w:tab w:leader="none" w:pos="1360" w:val="left"/>
        </w:tabs>
        <w:rPr>
          <w:sz w:val="20"/>
          <w:szCs w:val="20"/>
          <w:color w:val="auto"/>
        </w:rPr>
      </w:pP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file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940"/>
        <w:spacing w:after="0"/>
        <w:rPr>
          <w:sz w:val="20"/>
          <w:szCs w:val="20"/>
          <w:color w:val="auto"/>
        </w:rPr>
      </w:pPr>
      <w:r>
        <w:rPr>
          <w:rFonts w:ascii="Courier New" w:cs="Courier New" w:eastAsia="Courier New" w:hAnsi="Courier New"/>
          <w:sz w:val="18"/>
          <w:szCs w:val="18"/>
          <w:color w:val="auto"/>
        </w:rPr>
        <w:t>750289970</w:t>
      </w:r>
    </w:p>
    <w:p>
      <w:pPr>
        <w:spacing w:after="0"/>
        <w:tabs>
          <w:tab w:leader="none" w:pos="1020" w:val="left"/>
          <w:tab w:leader="none" w:pos="198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(I.R.S.</w:t>
      </w:r>
      <w:r>
        <w:rPr>
          <w:sz w:val="20"/>
          <w:szCs w:val="20"/>
          <w:color w:val="auto"/>
        </w:rPr>
        <w:tab/>
      </w:r>
      <w:r>
        <w:rPr>
          <w:rFonts w:ascii="Courier New" w:cs="Courier New" w:eastAsia="Courier New" w:hAnsi="Courier New"/>
          <w:sz w:val="16"/>
          <w:szCs w:val="16"/>
          <w:color w:val="auto"/>
        </w:rPr>
        <w:t>employer</w:t>
      </w:r>
    </w:p>
    <w:p>
      <w:pPr>
        <w:ind w:left="620"/>
        <w:spacing w:after="0"/>
        <w:tabs>
          <w:tab w:leader="none" w:pos="2280" w:val="left"/>
        </w:tabs>
        <w:rPr>
          <w:sz w:val="20"/>
          <w:szCs w:val="20"/>
          <w:color w:val="auto"/>
        </w:rPr>
      </w:pPr>
      <w:r>
        <w:rPr>
          <w:rFonts w:ascii="Courier New" w:cs="Courier New" w:eastAsia="Courier New" w:hAnsi="Courier New"/>
          <w:sz w:val="18"/>
          <w:szCs w:val="18"/>
          <w:color w:val="auto"/>
        </w:rPr>
        <w:t>identification</w:t>
        <w:tab/>
        <w:t>no.)</w:t>
      </w:r>
    </w:p>
    <w:p>
      <w:pPr>
        <w:spacing w:after="0" w:line="236" w:lineRule="exact"/>
        <w:rPr>
          <w:sz w:val="24"/>
          <w:szCs w:val="24"/>
          <w:color w:val="auto"/>
        </w:rPr>
      </w:pPr>
    </w:p>
    <w:p>
      <w:pPr>
        <w:sectPr>
          <w:pgSz w:w="11900" w:h="16838" w:orient="portrait"/>
          <w:cols w:equalWidth="0" w:num="4">
            <w:col w:w="740" w:space="120"/>
            <w:col w:w="2420" w:space="300"/>
            <w:col w:w="1800" w:space="220"/>
            <w:col w:w="4619"/>
          </w:cols>
          <w:pgMar w:left="240" w:top="1440" w:right="1440" w:bottom="0" w:gutter="0" w:footer="0" w:header="0"/>
          <w:type w:val="continuous"/>
        </w:sectPr>
      </w:pPr>
    </w:p>
    <w:p>
      <w:pPr>
        <w:spacing w:after="0" w:line="3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79"/>
        <w:spacing w:after="0"/>
        <w:rPr>
          <w:sz w:val="20"/>
          <w:szCs w:val="20"/>
          <w:color w:val="auto"/>
        </w:rPr>
      </w:pPr>
      <w:r>
        <w:rPr>
          <w:rFonts w:ascii="Courier New" w:cs="Courier New" w:eastAsia="Courier New" w:hAnsi="Courier New"/>
          <w:sz w:val="18"/>
          <w:szCs w:val="18"/>
          <w:color w:val="auto"/>
        </w:rPr>
        <w:t>DALLAS, TEXAS 75266-0199</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620" w:val="left"/>
          <w:tab w:leader="none" w:pos="1040" w:val="left"/>
          <w:tab w:leader="none" w:pos="2300" w:val="left"/>
          <w:tab w:leader="none" w:pos="2720" w:val="left"/>
        </w:tabs>
        <w:rPr>
          <w:sz w:val="20"/>
          <w:szCs w:val="20"/>
          <w:color w:val="auto"/>
        </w:rPr>
      </w:pPr>
      <w:r>
        <w:rPr>
          <w:rFonts w:ascii="Courier New" w:cs="Courier New" w:eastAsia="Courier New" w:hAnsi="Courier New"/>
          <w:sz w:val="18"/>
          <w:szCs w:val="18"/>
          <w:color w:val="auto"/>
        </w:rPr>
        <w:t>ITEM</w:t>
        <w:tab/>
        <w:t>9.</w:t>
        <w:tab/>
        <w:t>REGULATION</w:t>
        <w:tab/>
        <w:t>FD</w:t>
      </w:r>
      <w:r>
        <w:rPr>
          <w:sz w:val="20"/>
          <w:szCs w:val="20"/>
          <w:color w:val="auto"/>
        </w:rPr>
        <w:tab/>
      </w:r>
      <w:r>
        <w:rPr>
          <w:rFonts w:ascii="Courier New" w:cs="Courier New" w:eastAsia="Courier New" w:hAnsi="Courier New"/>
          <w:sz w:val="16"/>
          <w:szCs w:val="16"/>
          <w:color w:val="auto"/>
        </w:rPr>
        <w:t>DISCLOSURE.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Registrant ("TI") confirms its outlook for the third quarter of 2001 as set forth in the Outlook section included in Item 2 of its Form 10-Q for the quarter ended June 30, 2001, which was filed with the Commission on July 27, 2001. This confirmation is being made for purposes of Regulation FD only and is not an indication or assessment of materiality, nor is it intended to constitute a representation that the information is not otherwise publicly available. The full text of that Outlook section is as follows:</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OUTLOOK</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Third-quarter revenue is expected to decline 10 to 15 percent sequentially as many of TI's Semiconductor customers continue to reduce inventories in an environment of weak demand for their own products.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Specifically, TI expects the following for the third quarter:</w:t>
      </w:r>
    </w:p>
    <w:p>
      <w:pPr>
        <w:spacing w:after="0" w:line="207" w:lineRule="exact"/>
        <w:rPr>
          <w:sz w:val="24"/>
          <w:szCs w:val="24"/>
          <w:color w:val="auto"/>
        </w:rPr>
      </w:pPr>
    </w:p>
    <w:p>
      <w:pPr>
        <w:ind w:right="2099" w:firstLine="113"/>
        <w:spacing w:after="0" w:line="235"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Semiconductor, wireless revenue will increase slightly from the second quarter but will be more than offset by declines in other products.</w:t>
      </w:r>
    </w:p>
    <w:p>
      <w:pPr>
        <w:spacing w:after="0" w:line="208" w:lineRule="exact"/>
        <w:rPr>
          <w:rFonts w:ascii="Courier New" w:cs="Courier New" w:eastAsia="Courier New" w:hAnsi="Courier New"/>
          <w:sz w:val="18"/>
          <w:szCs w:val="18"/>
          <w:color w:val="auto"/>
        </w:rPr>
      </w:pPr>
    </w:p>
    <w:p>
      <w:pPr>
        <w:ind w:right="1779" w:firstLine="113"/>
        <w:spacing w:after="0" w:line="236"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Non-Semiconductor revenue will increase sequentially as seasonal declines in Sensors &amp; Controls are more than offset by a seasonal increase in sales of educational calculators for Educational &amp; Productivity Solutions.</w:t>
      </w:r>
    </w:p>
    <w:p>
      <w:pPr>
        <w:spacing w:after="0" w:line="208"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margin will decline sequentially about 10 points before the effect</w:t>
      </w:r>
    </w:p>
    <w:p>
      <w:pPr>
        <w:sectPr>
          <w:pgSz w:w="11900" w:h="16838" w:orient="portrait"/>
          <w:cols w:equalWidth="0" w:num="1">
            <w:col w:w="10219"/>
          </w:cols>
          <w:pgMar w:left="240" w:top="1440" w:right="1440" w:bottom="0" w:gutter="0" w:footer="0" w:header="0"/>
          <w:type w:val="continuous"/>
        </w:sectPr>
      </w:pPr>
    </w:p>
    <w:bookmarkStart w:id="1" w:name="page2"/>
    <w:bookmarkEnd w:id="1"/>
    <w:p>
      <w:pPr>
        <w:ind w:right="2319"/>
        <w:spacing w:after="0" w:line="235" w:lineRule="auto"/>
        <w:rPr>
          <w:sz w:val="20"/>
          <w:szCs w:val="20"/>
          <w:color w:val="auto"/>
        </w:rPr>
      </w:pPr>
      <w:r>
        <w:rPr>
          <w:rFonts w:ascii="Courier New" w:cs="Courier New" w:eastAsia="Courier New" w:hAnsi="Courier New"/>
          <w:sz w:val="18"/>
          <w:szCs w:val="18"/>
          <w:color w:val="auto"/>
        </w:rPr>
        <w:t>of special charges and amortization of acquisition-related intangibles as a result of lower revenue.</w:t>
      </w:r>
    </w:p>
    <w:p>
      <w:pPr>
        <w:spacing w:after="0" w:line="208" w:lineRule="exact"/>
        <w:rPr>
          <w:sz w:val="20"/>
          <w:szCs w:val="20"/>
          <w:color w:val="auto"/>
        </w:rPr>
      </w:pPr>
    </w:p>
    <w:p>
      <w:pPr>
        <w:ind w:right="2519" w:firstLine="113"/>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Non-operating income will decline to about $20 million due to reduced interest income.</w:t>
      </w:r>
    </w:p>
    <w:p>
      <w:pPr>
        <w:spacing w:after="0" w:line="208" w:lineRule="exact"/>
        <w:rPr>
          <w:rFonts w:ascii="Courier New" w:cs="Courier New" w:eastAsia="Courier New" w:hAnsi="Courier New"/>
          <w:sz w:val="18"/>
          <w:szCs w:val="18"/>
          <w:color w:val="auto"/>
        </w:rPr>
      </w:pPr>
    </w:p>
    <w:p>
      <w:pPr>
        <w:ind w:right="1779" w:firstLine="113"/>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will decline to a loss of a few cents before the effect of special charges and amortization of acquisition-related intangibles.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2001, TI expects the following:</w:t>
      </w:r>
    </w:p>
    <w:p>
      <w:pPr>
        <w:spacing w:after="0" w:line="207" w:lineRule="exact"/>
        <w:rPr>
          <w:sz w:val="20"/>
          <w:szCs w:val="20"/>
          <w:color w:val="auto"/>
        </w:rPr>
      </w:pPr>
    </w:p>
    <w:p>
      <w:pPr>
        <w:ind w:right="1779" w:firstLine="113"/>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R&amp;D of $1.6 billion, excluding acquisition-related amortization and purchased in-process R&amp;D, unchanged from the company's prior estimate and even with last year.</w:t>
      </w:r>
    </w:p>
    <w:p>
      <w:pPr>
        <w:spacing w:after="0" w:line="208" w:lineRule="exact"/>
        <w:rPr>
          <w:rFonts w:ascii="Courier New" w:cs="Courier New" w:eastAsia="Courier New" w:hAnsi="Courier New"/>
          <w:sz w:val="18"/>
          <w:szCs w:val="18"/>
          <w:color w:val="auto"/>
        </w:rPr>
      </w:pPr>
    </w:p>
    <w:p>
      <w:pPr>
        <w:ind w:right="1879" w:firstLine="113"/>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expenditures of $1.8 billion, unchanged from the prior estimate and down 35 percent from last year.</w:t>
      </w:r>
    </w:p>
    <w:p>
      <w:pPr>
        <w:spacing w:after="0" w:line="202"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 of $1.6 billion, up 30 percent from last year.</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right="1779" w:firstLine="113"/>
        <w:spacing w:after="0" w:line="290"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demand for semiconductors, particularly for digital signal processors and analog chips in key markets, such as telecommunications and computers;</w:t>
      </w:r>
    </w:p>
    <w:p>
      <w:pPr>
        <w:spacing w:after="0" w:line="169" w:lineRule="exact"/>
        <w:rPr>
          <w:rFonts w:ascii="Courier New" w:cs="Courier New" w:eastAsia="Courier New" w:hAnsi="Courier New"/>
          <w:sz w:val="16"/>
          <w:szCs w:val="16"/>
          <w:color w:val="auto"/>
        </w:rPr>
      </w:pPr>
    </w:p>
    <w:p>
      <w:pPr>
        <w:ind w:right="2199" w:firstLine="113"/>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right="1999" w:firstLine="113"/>
        <w:spacing w:after="0" w:line="235"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8" w:lineRule="exact"/>
        <w:rPr>
          <w:rFonts w:ascii="Courier New" w:cs="Courier New" w:eastAsia="Courier New" w:hAnsi="Courier New"/>
          <w:sz w:val="18"/>
          <w:szCs w:val="18"/>
          <w:color w:val="auto"/>
        </w:rPr>
      </w:pPr>
    </w:p>
    <w:p>
      <w:pPr>
        <w:ind w:right="1779" w:firstLine="113"/>
        <w:spacing w:after="0" w:line="235"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maintain and enforce a strong intellectual property portfolio and obtain needed licenses from third parties;</w:t>
      </w:r>
    </w:p>
    <w:p>
      <w:pPr>
        <w:spacing w:after="0" w:line="202"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completion and successful integration of announced acquisitions;</w:t>
      </w:r>
    </w:p>
    <w:p>
      <w:pPr>
        <w:spacing w:after="0" w:line="206" w:lineRule="exact"/>
        <w:rPr>
          <w:rFonts w:ascii="Courier New" w:cs="Courier New" w:eastAsia="Courier New" w:hAnsi="Courier New"/>
          <w:sz w:val="18"/>
          <w:szCs w:val="18"/>
          <w:color w:val="auto"/>
        </w:rPr>
      </w:pPr>
    </w:p>
    <w:p>
      <w:pPr>
        <w:ind w:right="1779" w:firstLine="113"/>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Global economic, social and political conditions in the countries in which TI and its customers and suppliers operate, including fluctuations in foreign currency exchange rates;</w:t>
      </w:r>
    </w:p>
    <w:p>
      <w:pPr>
        <w:spacing w:after="0" w:line="203"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Losses or curtailments of purchases from key customers;</w:t>
      </w:r>
    </w:p>
    <w:p>
      <w:pPr>
        <w:spacing w:after="0" w:line="201"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recruit and retain skilled personnel; and</w:t>
      </w:r>
    </w:p>
    <w:p>
      <w:pPr>
        <w:spacing w:after="0" w:line="201" w:lineRule="exact"/>
        <w:rPr>
          <w:rFonts w:ascii="Courier New" w:cs="Courier New" w:eastAsia="Courier New" w:hAnsi="Courier New"/>
          <w:sz w:val="18"/>
          <w:szCs w:val="18"/>
          <w:color w:val="auto"/>
        </w:rPr>
      </w:pPr>
    </w:p>
    <w:p>
      <w:pPr>
        <w:ind w:left="420" w:hanging="307"/>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Availability of raw materials and critical manufacturing equipment.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132"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13,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William A. Aylesworth</w:t>
      </w:r>
    </w:p>
    <w:p>
      <w:pPr>
        <w:ind w:left="30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300"/>
        <w:spacing w:after="0"/>
        <w:rPr>
          <w:sz w:val="20"/>
          <w:szCs w:val="20"/>
          <w:color w:val="auto"/>
        </w:rPr>
      </w:pPr>
      <w:r>
        <w:rPr>
          <w:rFonts w:ascii="Courier New" w:cs="Courier New" w:eastAsia="Courier New" w:hAnsi="Courier New"/>
          <w:sz w:val="18"/>
          <w:szCs w:val="18"/>
          <w:color w:val="auto"/>
        </w:rPr>
        <w:t>Treasurer and</w:t>
      </w:r>
    </w:p>
    <w:p>
      <w:pPr>
        <w:ind w:left="300"/>
        <w:spacing w:after="0" w:line="237" w:lineRule="auto"/>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540" w:space="200"/>
            <w:col w:w="2980" w:space="720"/>
            <w:col w:w="5779"/>
          </w:cols>
          <w:pgMar w:left="240" w:top="142" w:right="1440" w:bottom="132"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2019-12-13T07:42:17Z</dcterms:created>
  <dcterms:modified xsi:type="dcterms:W3CDTF">2019-12-13T07:42:17Z</dcterms:modified>
</cp:coreProperties>
</file>