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 (Amendment No. )</w:t>
      </w:r>
    </w:p>
    <w:p>
      <w:pPr>
        <w:sectPr>
          <w:pgSz w:w="11900" w:h="16838" w:orient="portrait"/>
          <w:cols w:equalWidth="0" w:num="1">
            <w:col w:w="11420"/>
          </w:cols>
          <w:pgMar w:left="240" w:top="482" w:right="239" w:bottom="1440" w:gutter="0" w:footer="0" w:header="0"/>
        </w:sect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3000" w:space="140"/>
            <w:col w:w="8280"/>
          </w:cols>
          <w:pgMar w:left="240" w:top="482" w:right="239" w:bottom="1440" w:gutter="0" w:footer="0" w:header="0"/>
          <w:type w:val="continuous"/>
        </w:sectPr>
      </w:pPr>
    </w:p>
    <w:p>
      <w:pPr>
        <w:spacing w:after="0" w:line="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by Rule 14a-6(e)(2))</w:t>
      </w:r>
    </w:p>
    <w:p>
      <w:pPr>
        <w:spacing w:after="0" w:line="1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  ] Soliciting Material Under Rule 14a-12</w:t>
      </w:r>
    </w:p>
    <w:p>
      <w:pPr>
        <w:spacing w:after="0" w:line="950" w:lineRule="exact"/>
        <w:rPr>
          <w:sz w:val="24"/>
          <w:szCs w:val="24"/>
          <w:color w:val="auto"/>
        </w:rPr>
      </w:pPr>
    </w:p>
    <w:p>
      <w:pPr>
        <w:sectPr>
          <w:pgSz w:w="11900" w:h="16838" w:orient="portrait"/>
          <w:cols w:equalWidth="0" w:num="2">
            <w:col w:w="2800" w:space="440"/>
            <w:col w:w="8180"/>
          </w:cols>
          <w:pgMar w:left="240" w:top="482" w:right="239" w:bottom="1440" w:gutter="0" w:footer="0" w:header="0"/>
          <w:type w:val="continuous"/>
        </w:sect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19685</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328295</wp:posOffset>
            </wp:positionV>
            <wp:extent cx="6809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36"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7"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-459740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-931545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-1249045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9" w:lineRule="exact"/>
        <w:rPr>
          <w:sz w:val="24"/>
          <w:szCs w:val="24"/>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540" w:right="620" w:hanging="524"/>
        <w:spacing w:after="0" w:line="290" w:lineRule="auto"/>
        <w:tabs>
          <w:tab w:leader="none" w:pos="211"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-468630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-794385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type w:val="continuous"/>
        </w:sectPr>
      </w:pPr>
    </w:p>
    <w:bookmarkStart w:id="1" w:name="page2"/>
    <w:bookmarkEnd w:id="1"/>
    <w:p>
      <w:pPr>
        <w:jc w:val="center"/>
        <w:ind w:right="460"/>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40"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Shareholder Meeting to Be Held on April 18, 2013.</w:t>
      </w:r>
    </w:p>
    <w:p>
      <w:pPr>
        <w:sectPr>
          <w:pgSz w:w="11900" w:h="16838" w:orient="portrait"/>
          <w:cols w:equalWidth="0" w:num="1">
            <w:col w:w="10960"/>
          </w:cols>
          <w:pgMar w:left="700" w:top="346"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484505</wp:posOffset>
            </wp:positionV>
            <wp:extent cx="1277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ATTN: JANE NAHRA</w:t>
      </w:r>
    </w:p>
    <w:p>
      <w:pPr>
        <w:spacing w:after="0" w:line="223" w:lineRule="auto"/>
        <w:rPr>
          <w:sz w:val="20"/>
          <w:szCs w:val="20"/>
          <w:color w:val="auto"/>
        </w:rPr>
      </w:pPr>
      <w:r>
        <w:rPr>
          <w:rFonts w:ascii="Arial" w:cs="Arial" w:eastAsia="Arial" w:hAnsi="Arial"/>
          <w:sz w:val="14"/>
          <w:szCs w:val="14"/>
          <w:i w:val="1"/>
          <w:iCs w:val="1"/>
          <w:color w:val="auto"/>
        </w:rPr>
        <w:t>13588 N. CENTRAL EXPRESSWAY</w:t>
      </w:r>
    </w:p>
    <w:p>
      <w:pPr>
        <w:spacing w:after="0" w:line="222" w:lineRule="auto"/>
        <w:rPr>
          <w:sz w:val="20"/>
          <w:szCs w:val="20"/>
          <w:color w:val="auto"/>
        </w:rPr>
      </w:pPr>
      <w:r>
        <w:rPr>
          <w:rFonts w:ascii="Arial" w:cs="Arial" w:eastAsia="Arial" w:hAnsi="Arial"/>
          <w:sz w:val="14"/>
          <w:szCs w:val="14"/>
          <w:i w:val="1"/>
          <w:iCs w:val="1"/>
          <w:color w:val="auto"/>
        </w:rPr>
        <w:t>MS 3999</w:t>
      </w:r>
    </w:p>
    <w:p>
      <w:pPr>
        <w:spacing w:after="0"/>
        <w:rPr>
          <w:sz w:val="20"/>
          <w:szCs w:val="20"/>
          <w:color w:val="auto"/>
        </w:rPr>
      </w:pPr>
      <w:r>
        <w:rPr>
          <w:rFonts w:ascii="Arial" w:cs="Arial" w:eastAsia="Arial" w:hAnsi="Arial"/>
          <w:sz w:val="14"/>
          <w:szCs w:val="14"/>
          <w:i w:val="1"/>
          <w:iCs w:val="1"/>
          <w:color w:val="auto"/>
        </w:rPr>
        <w:t>DALLAS, TX 75243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b w:val="1"/>
                <w:bCs w:val="1"/>
                <w:color w:val="auto"/>
                <w:w w:val="97"/>
              </w:rPr>
              <w:t>Meeting Information</w:t>
            </w:r>
          </w:p>
        </w:tc>
      </w:tr>
      <w:tr>
        <w:trPr>
          <w:trHeight w:val="316"/>
        </w:trPr>
        <w:tc>
          <w:tcPr>
            <w:tcW w:w="13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00" w:type="dxa"/>
            <w:vAlign w:val="bottom"/>
          </w:tcPr>
          <w:p>
            <w:pPr>
              <w:spacing w:after="0"/>
              <w:rPr>
                <w:sz w:val="24"/>
                <w:szCs w:val="24"/>
                <w:color w:val="auto"/>
              </w:rPr>
            </w:pPr>
          </w:p>
        </w:tc>
        <w:tc>
          <w:tcPr>
            <w:tcW w:w="2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-401320</wp:posOffset>
            </wp:positionV>
            <wp:extent cx="3473450" cy="1389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13893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19, 2013</w:t>
      </w:r>
    </w:p>
    <w:p>
      <w:pPr>
        <w:spacing w:after="0" w:line="50" w:lineRule="exact"/>
        <w:rPr>
          <w:sz w:val="20"/>
          <w:szCs w:val="20"/>
          <w:color w:val="auto"/>
        </w:rPr>
      </w:pPr>
    </w:p>
    <w:p>
      <w:pPr>
        <w:ind w:left="100"/>
        <w:spacing w:after="0"/>
        <w:tabs>
          <w:tab w:leader="none" w:pos="780" w:val="left"/>
          <w:tab w:leader="none" w:pos="21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April 18, 2013</w:t>
      </w:r>
      <w:r>
        <w:rPr>
          <w:sz w:val="20"/>
          <w:szCs w:val="20"/>
          <w:color w:val="auto"/>
        </w:rPr>
        <w:tab/>
      </w:r>
      <w:r>
        <w:rPr>
          <w:rFonts w:ascii="Arial" w:cs="Arial" w:eastAsia="Arial" w:hAnsi="Arial"/>
          <w:sz w:val="18"/>
          <w:szCs w:val="18"/>
          <w:b w:val="1"/>
          <w:bCs w:val="1"/>
          <w:color w:val="auto"/>
        </w:rPr>
        <w:t xml:space="preserve">Time: </w:t>
      </w:r>
      <w:r>
        <w:rPr>
          <w:rFonts w:ascii="Arial" w:cs="Arial" w:eastAsia="Arial" w:hAnsi="Arial"/>
          <w:sz w:val="18"/>
          <w:szCs w:val="18"/>
          <w:color w:val="auto"/>
        </w:rPr>
        <w:t>10:00 a.m.</w:t>
      </w:r>
    </w:p>
    <w:p>
      <w:pPr>
        <w:spacing w:after="0" w:line="36"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Texas Instruments Incorporated</w:t>
      </w:r>
    </w:p>
    <w:p>
      <w:pPr>
        <w:spacing w:after="0" w:line="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12500 TI Boulevard</w:t>
      </w:r>
    </w:p>
    <w:p>
      <w:pPr>
        <w:spacing w:after="0" w:line="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Dallas, Texas 75243</w:t>
      </w:r>
    </w:p>
    <w:p>
      <w:pPr>
        <w:spacing w:after="0" w:line="1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 xml:space="preserve">See page 99 of the Proxy Statement (available at </w:t>
      </w:r>
      <w:r>
        <w:rPr>
          <w:rFonts w:ascii="Arial" w:cs="Arial" w:eastAsia="Arial" w:hAnsi="Arial"/>
          <w:sz w:val="14"/>
          <w:szCs w:val="14"/>
          <w:u w:val="single" w:color="auto"/>
          <w:color w:val="auto"/>
        </w:rPr>
        <w:t>www.proxyvote.com</w:t>
      </w:r>
      <w:r>
        <w:rPr>
          <w:rFonts w:ascii="Arial" w:cs="Arial" w:eastAsia="Arial" w:hAnsi="Arial"/>
          <w:sz w:val="14"/>
          <w:szCs w:val="14"/>
          <w:color w:val="auto"/>
        </w:rPr>
        <w:t>) for directions to the meeting location.</w:t>
      </w:r>
    </w:p>
    <w:p>
      <w:pPr>
        <w:spacing w:after="0" w:line="247" w:lineRule="exact"/>
        <w:rPr>
          <w:sz w:val="20"/>
          <w:szCs w:val="20"/>
          <w:color w:val="auto"/>
        </w:rPr>
      </w:pPr>
    </w:p>
    <w:p>
      <w:pPr>
        <w:sectPr>
          <w:pgSz w:w="11900" w:h="16838" w:orient="portrait"/>
          <w:cols w:equalWidth="0" w:num="2">
            <w:col w:w="4780" w:space="720"/>
            <w:col w:w="5460"/>
          </w:cols>
          <w:pgMar w:left="700" w:top="346" w:right="239" w:bottom="1440" w:gutter="0" w:footer="0" w:header="0"/>
          <w:type w:val="continuous"/>
        </w:sectPr>
      </w:pPr>
    </w:p>
    <w:p>
      <w:pPr>
        <w:ind w:left="5480"/>
        <w:spacing w:after="0"/>
        <w:rPr>
          <w:sz w:val="20"/>
          <w:szCs w:val="20"/>
          <w:color w:val="auto"/>
        </w:rPr>
      </w:pPr>
      <w:r>
        <w:rPr>
          <w:rFonts w:ascii="Arial" w:cs="Arial" w:eastAsia="Arial" w:hAnsi="Arial"/>
          <w:sz w:val="16"/>
          <w:szCs w:val="16"/>
          <w:color w:val="auto"/>
        </w:rPr>
        <w:t>You are receiving this communication because you hold shares in the</w:t>
      </w:r>
    </w:p>
    <w:p>
      <w:pPr>
        <w:spacing w:after="0" w:line="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company named above.</w:t>
      </w:r>
    </w:p>
    <w:p>
      <w:pPr>
        <w:spacing w:after="0" w:line="2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This is not a ballot. </w:t>
      </w:r>
      <w:r>
        <w:rPr>
          <w:rFonts w:ascii="Arial" w:cs="Arial" w:eastAsia="Arial" w:hAnsi="Arial"/>
          <w:sz w:val="18"/>
          <w:szCs w:val="18"/>
          <w:b w:val="1"/>
          <w:bCs w:val="1"/>
          <w:color w:val="auto"/>
        </w:rPr>
        <w:t>You cannot use this notice to vote these</w:t>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shares. This communication presents only an overview of the</w:t>
      </w:r>
    </w:p>
    <w:p>
      <w:pPr>
        <w:ind w:left="5480"/>
        <w:spacing w:after="0" w:line="234" w:lineRule="auto"/>
        <w:rPr>
          <w:sz w:val="20"/>
          <w:szCs w:val="20"/>
          <w:color w:val="auto"/>
        </w:rPr>
      </w:pPr>
      <w:r>
        <w:rPr>
          <w:rFonts w:ascii="Arial" w:cs="Arial" w:eastAsia="Arial" w:hAnsi="Arial"/>
          <w:sz w:val="18"/>
          <w:szCs w:val="18"/>
          <w:b w:val="1"/>
          <w:bCs w:val="1"/>
          <w:color w:val="auto"/>
        </w:rPr>
        <w:t>more complete proxy materials that are available to you on the</w:t>
      </w:r>
    </w:p>
    <w:p>
      <w:pPr>
        <w:ind w:left="5480"/>
        <w:spacing w:after="0"/>
        <w:tabs>
          <w:tab w:leader="none" w:pos="6360" w:val="left"/>
          <w:tab w:leader="none" w:pos="6860" w:val="left"/>
          <w:tab w:leader="none" w:pos="7400" w:val="left"/>
          <w:tab w:leader="none" w:pos="7980" w:val="left"/>
          <w:tab w:leader="none" w:pos="8440" w:val="left"/>
          <w:tab w:leader="none" w:pos="9100" w:val="left"/>
          <w:tab w:leader="none" w:pos="10060" w:val="left"/>
          <w:tab w:leader="none" w:pos="10780" w:val="left"/>
        </w:tabs>
        <w:rPr>
          <w:sz w:val="20"/>
          <w:szCs w:val="20"/>
          <w:color w:val="auto"/>
        </w:rPr>
      </w:pPr>
      <w:r>
        <w:rPr>
          <w:rFonts w:ascii="Arial" w:cs="Arial" w:eastAsia="Arial" w:hAnsi="Arial"/>
          <w:sz w:val="18"/>
          <w:szCs w:val="18"/>
          <w:b w:val="1"/>
          <w:bCs w:val="1"/>
          <w:color w:val="auto"/>
        </w:rPr>
        <w:t>Internet.</w:t>
        <w:tab/>
        <w:t>You</w:t>
        <w:tab/>
        <w:t>may</w:t>
        <w:tab/>
        <w:t>view</w:t>
        <w:tab/>
        <w:t>the</w:t>
        <w:tab/>
        <w:t>proxy</w:t>
        <w:tab/>
        <w:t>materials</w:t>
        <w:tab/>
        <w:t>online</w:t>
      </w:r>
      <w:r>
        <w:rPr>
          <w:sz w:val="20"/>
          <w:szCs w:val="20"/>
          <w:color w:val="auto"/>
        </w:rPr>
        <w:tab/>
      </w:r>
      <w:r>
        <w:rPr>
          <w:rFonts w:ascii="Arial" w:cs="Arial" w:eastAsia="Arial" w:hAnsi="Arial"/>
          <w:sz w:val="16"/>
          <w:szCs w:val="16"/>
          <w:b w:val="1"/>
          <w:bCs w:val="1"/>
          <w:color w:val="auto"/>
        </w:rPr>
        <w:t>at</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www.proxyvote.com or easily request a paper copy (see reverse</w:t>
      </w:r>
    </w:p>
    <w:p>
      <w:pPr>
        <w:spacing w:after="0" w:line="1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side).</w:t>
      </w:r>
    </w:p>
    <w:p>
      <w:pPr>
        <w:spacing w:after="0" w:line="21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We encourage you to access and review all of the important</w:t>
      </w:r>
    </w:p>
    <w:p>
      <w:pPr>
        <w:spacing w:after="0" w:line="1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information contained in the proxy materials before voting.</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FFFFFF"/>
        </w:rPr>
        <w:t>See the reverse side of this notice to obtain proxy materials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-104140</wp:posOffset>
            </wp:positionV>
            <wp:extent cx="340487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257175"/>
                    </a:xfrm>
                    <a:prstGeom prst="rect">
                      <a:avLst/>
                    </a:prstGeom>
                    <a:noFill/>
                  </pic:spPr>
                </pic:pic>
              </a:graphicData>
            </a:graphic>
          </wp:anchor>
        </w:drawing>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FFFFFF"/>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335915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60"/>
          </w:cols>
          <w:pgMar w:left="700" w:top="346" w:right="239" w:bottom="1440" w:gutter="0" w:footer="0" w:header="0"/>
          <w:type w:val="continuous"/>
        </w:sectPr>
      </w:pPr>
    </w:p>
    <w:bookmarkStart w:id="2" w:name="page3"/>
    <w:bookmarkEnd w:id="2"/>
    <w:p>
      <w:pPr>
        <w:ind w:left="3260"/>
        <w:spacing w:after="0"/>
        <w:rPr>
          <w:sz w:val="20"/>
          <w:szCs w:val="20"/>
          <w:color w:val="auto"/>
        </w:rPr>
      </w:pPr>
      <w:r>
        <w:rPr>
          <w:rFonts w:ascii="Arial" w:cs="Arial" w:eastAsia="Arial" w:hAnsi="Arial"/>
          <w:sz w:val="32"/>
          <w:szCs w:val="32"/>
          <w:b w:val="1"/>
          <w:bCs w:val="1"/>
          <w:color w:val="auto"/>
        </w:rPr>
        <w:t>— Before You Vote —</w:t>
      </w:r>
    </w:p>
    <w:p>
      <w:pPr>
        <w:spacing w:after="0" w:line="40"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6740525" cy="2435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0525" cy="243522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31"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1. 2013 Notice and Proxy Statement</w:t>
      </w:r>
      <w:r>
        <w:rPr>
          <w:sz w:val="20"/>
          <w:szCs w:val="20"/>
          <w:color w:val="auto"/>
        </w:rPr>
        <w:tab/>
      </w:r>
      <w:r>
        <w:rPr>
          <w:rFonts w:ascii="Arial" w:cs="Arial" w:eastAsia="Arial" w:hAnsi="Arial"/>
          <w:sz w:val="18"/>
          <w:szCs w:val="18"/>
          <w:color w:val="auto"/>
        </w:rPr>
        <w:t>2. 2012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Have the information that is printed in the box marked by the arrow  è XXXX XXXX XXXX (located on the following page) and visit: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86" w:lineRule="exact"/>
        <w:rPr>
          <w:sz w:val="20"/>
          <w:szCs w:val="20"/>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21"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97" w:lineRule="exact"/>
        <w:rPr>
          <w:rFonts w:ascii="Arial" w:cs="Arial" w:eastAsia="Arial" w:hAnsi="Arial"/>
          <w:sz w:val="18"/>
          <w:szCs w:val="18"/>
          <w:color w:val="auto"/>
        </w:rPr>
      </w:pPr>
    </w:p>
    <w:p>
      <w:pPr>
        <w:ind w:left="20" w:right="20" w:hanging="18"/>
        <w:spacing w:after="0" w:line="268"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 è XXXX XXXX XXXX (located on the following page) in the subject line.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make the request as instructed above on or before April 4, 2013, to facilitate timely delivery.</w:t>
      </w:r>
    </w:p>
    <w:p>
      <w:pPr>
        <w:spacing w:after="0" w:line="299" w:lineRule="exact"/>
        <w:rPr>
          <w:sz w:val="20"/>
          <w:szCs w:val="20"/>
          <w:color w:val="auto"/>
        </w:rPr>
      </w:pPr>
    </w:p>
    <w:p>
      <w:pPr>
        <w:jc w:val="center"/>
        <w:ind w:right="580"/>
        <w:spacing w:after="0"/>
        <w:rPr>
          <w:sz w:val="20"/>
          <w:szCs w:val="20"/>
          <w:color w:val="auto"/>
        </w:rPr>
      </w:pPr>
      <w:r>
        <w:rPr>
          <w:rFonts w:ascii="Arial" w:cs="Arial" w:eastAsia="Arial" w:hAnsi="Arial"/>
          <w:sz w:val="32"/>
          <w:szCs w:val="32"/>
          <w:b w:val="1"/>
          <w:bCs w:val="1"/>
          <w:color w:val="auto"/>
        </w:rPr>
        <w:t>— How To Vote —</w:t>
      </w:r>
    </w:p>
    <w:p>
      <w:pPr>
        <w:spacing w:after="0" w:line="40"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6740525" cy="129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1294765"/>
                    </a:xfrm>
                    <a:prstGeom prst="rect">
                      <a:avLst/>
                    </a:prstGeom>
                    <a:noFill/>
                  </pic:spPr>
                </pic:pic>
              </a:graphicData>
            </a:graphic>
          </wp:anchor>
        </w:drawing>
      </w:r>
    </w:p>
    <w:p>
      <w:pPr>
        <w:spacing w:after="0" w:line="30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-310515</wp:posOffset>
            </wp:positionV>
            <wp:extent cx="137160" cy="660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660400"/>
                    </a:xfrm>
                    <a:prstGeom prst="rect">
                      <a:avLst/>
                    </a:prstGeom>
                    <a:noFill/>
                  </pic:spPr>
                </pic:pic>
              </a:graphicData>
            </a:graphic>
          </wp:anchor>
        </w:drawing>
      </w:r>
    </w:p>
    <w:p>
      <w:pPr>
        <w:spacing w:after="0" w:line="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color w:val="auto"/>
        </w:rPr>
        <w:t>. Have the information that is printed in the box marked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arrow è XXXX XXXX XXXX (located on the following page) and follow the instructions. For registered shares, you may vote by Internet</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up until 11:59 p.m. Eastern time on April 17, 2013. For shares allocable to a benefit plan account, voting instructions must be received no later than 11:59 p.m. Eastern time on April 15, 2013.</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(as indicated above),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295910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960" w:top="346" w:right="359" w:bottom="1440" w:gutter="0" w:footer="0" w:header="0"/>
        </w:sectPr>
      </w:pPr>
    </w:p>
    <w:bookmarkStart w:id="3" w:name="page4"/>
    <w:bookmarkEnd w:id="3"/>
    <w:p>
      <w:pPr>
        <w:ind w:left="11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297180</wp:posOffset>
            </wp:positionH>
            <wp:positionV relativeFrom="page">
              <wp:posOffset>245745</wp:posOffset>
            </wp:positionV>
            <wp:extent cx="1908175"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8175" cy="167005"/>
                    </a:xfrm>
                    <a:prstGeom prst="rect">
                      <a:avLst/>
                    </a:prstGeom>
                    <a:noFill/>
                  </pic:spPr>
                </pic:pic>
              </a:graphicData>
            </a:graphic>
          </wp:anchor>
        </w:drawing>
        <w:t>Voting Items</w:t>
      </w:r>
    </w:p>
    <w:p>
      <w:pPr>
        <w:spacing w:after="0" w:line="231" w:lineRule="exact"/>
        <w:rPr>
          <w:sz w:val="20"/>
          <w:szCs w:val="20"/>
          <w:color w:val="auto"/>
        </w:rPr>
      </w:pPr>
    </w:p>
    <w:p>
      <w:pPr>
        <w:ind w:right="1177"/>
        <w:spacing w:after="0" w:line="247" w:lineRule="auto"/>
        <w:rPr>
          <w:sz w:val="20"/>
          <w:szCs w:val="20"/>
          <w:color w:val="auto"/>
        </w:rPr>
      </w:pPr>
      <w:r>
        <w:rPr>
          <w:rFonts w:ascii="Arial" w:cs="Arial" w:eastAsia="Arial" w:hAnsi="Arial"/>
          <w:sz w:val="14"/>
          <w:szCs w:val="14"/>
          <w:b w:val="1"/>
          <w:bCs w:val="1"/>
          <w:color w:val="auto"/>
        </w:rPr>
        <w:t>The board of directors recommends you vote FOR each of the nominees for director and FOR Proposals 2 and 3.</w:t>
      </w:r>
    </w:p>
    <w:p>
      <w:pPr>
        <w:spacing w:after="0" w:line="130" w:lineRule="exact"/>
        <w:rPr>
          <w:sz w:val="20"/>
          <w:szCs w:val="20"/>
          <w:color w:val="auto"/>
        </w:rPr>
      </w:pPr>
    </w:p>
    <w:p>
      <w:pPr>
        <w:ind w:left="220" w:hanging="216"/>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1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300"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1a.  R. W. Babb, Jr.</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1b.  M. A. Blinn</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1c.   D. A. Carp</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1d.  C. S. Cox</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1e.  P. H. Patsley</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1f.   R. E. Sanchez</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1g.  W. R. Sanders</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1h.  R. J. Simmons</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1i.   R. K. Templeton</w:t>
      </w:r>
    </w:p>
    <w:p>
      <w:pPr>
        <w:spacing w:after="0" w:line="284"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1j.   C. 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-1155700</wp:posOffset>
            </wp:positionV>
            <wp:extent cx="137160"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685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3" w:hanging="383"/>
        <w:spacing w:after="0" w:line="231" w:lineRule="auto"/>
        <w:tabs>
          <w:tab w:leader="none" w:pos="383"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regarding advisory approval of the Company’s executive compensation.</w:t>
      </w:r>
    </w:p>
    <w:p>
      <w:pPr>
        <w:spacing w:after="0" w:line="81" w:lineRule="exact"/>
        <w:rPr>
          <w:rFonts w:ascii="Arial" w:cs="Arial" w:eastAsia="Arial" w:hAnsi="Arial"/>
          <w:sz w:val="14"/>
          <w:szCs w:val="14"/>
          <w:color w:val="auto"/>
        </w:rPr>
      </w:pPr>
    </w:p>
    <w:p>
      <w:pPr>
        <w:jc w:val="both"/>
        <w:ind w:left="383" w:hanging="383"/>
        <w:spacing w:after="0" w:line="228" w:lineRule="auto"/>
        <w:tabs>
          <w:tab w:leader="none" w:pos="383"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to ratify the appointment of Ernst &amp; Young LLP as the Company’s independent registered public accounting firm for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-1104900</wp:posOffset>
            </wp:positionV>
            <wp:extent cx="360045" cy="36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 cy="368935"/>
                    </a:xfrm>
                    <a:prstGeom prst="rect">
                      <a:avLst/>
                    </a:prstGeom>
                    <a:noFill/>
                  </pic:spPr>
                </pic:pic>
              </a:graphicData>
            </a:graphic>
          </wp:anchor>
        </w:drawing>
      </w:r>
    </w:p>
    <w:p>
      <w:pPr>
        <w:spacing w:after="0" w:line="99" w:lineRule="exact"/>
        <w:rPr>
          <w:sz w:val="20"/>
          <w:szCs w:val="20"/>
          <w:color w:val="auto"/>
        </w:rPr>
      </w:pPr>
    </w:p>
    <w:p>
      <w:pPr>
        <w:ind w:left="3"/>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w:t>
      </w:r>
      <w:r>
        <w:rPr>
          <w:rFonts w:ascii="Arial" w:cs="Arial" w:eastAsia="Arial" w:hAnsi="Arial"/>
          <w:sz w:val="14"/>
          <w:szCs w:val="14"/>
          <w:b w:val="1"/>
          <w:bCs w:val="1"/>
          <w:color w:val="auto"/>
        </w:rPr>
        <w:t xml:space="preserve"> </w:t>
      </w:r>
      <w:r>
        <w:rPr>
          <w:rFonts w:ascii="Arial" w:cs="Arial" w:eastAsia="Arial" w:hAnsi="Arial"/>
          <w:sz w:val="14"/>
          <w:szCs w:val="14"/>
          <w:color w:val="auto"/>
        </w:rPr>
        <w:t>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2567940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5037" w:space="720"/>
            <w:col w:w="4323"/>
          </w:cols>
          <w:pgMar w:left="460" w:top="420" w:right="13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6966585</wp:posOffset>
            </wp:positionH>
            <wp:positionV relativeFrom="page">
              <wp:posOffset>243205</wp:posOffset>
            </wp:positionV>
            <wp:extent cx="437515"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7515" cy="334645"/>
                    </a:xfrm>
                    <a:prstGeom prst="rect">
                      <a:avLst/>
                    </a:prstGeom>
                    <a:noFill/>
                  </pic:spPr>
                </pic:pic>
              </a:graphicData>
            </a:graphic>
          </wp:anchor>
        </w:drawing>
        <w:drawing>
          <wp:anchor simplePos="0" relativeHeight="251657728" behindDoc="1" locked="0" layoutInCell="0" allowOverlap="1">
            <wp:simplePos x="0" y="0"/>
            <wp:positionH relativeFrom="page">
              <wp:posOffset>290830</wp:posOffset>
            </wp:positionH>
            <wp:positionV relativeFrom="page">
              <wp:posOffset>1817370</wp:posOffset>
            </wp:positionV>
            <wp:extent cx="66890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9090"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3791585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2893060</wp:posOffset>
            </wp:positionV>
            <wp:extent cx="146050" cy="677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6050" cy="677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
      <w:numFmt w:val="bullet"/>
      <w:start w:val="1"/>
    </w:lvl>
    <w:lvl w:ilvl="1">
      <w:lvlJc w:val="left"/>
      <w:lvlText w:val="%2)"/>
      <w:numFmt w:val="decimal"/>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2019-12-05T15:59:27Z</dcterms:created>
  <dcterms:modified xsi:type="dcterms:W3CDTF">2019-12-05T15:59:27Z</dcterms:modified>
</cp:coreProperties>
</file>