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17145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1496695</wp:posOffset>
            </wp:positionH>
            <wp:positionV relativeFrom="paragraph">
              <wp:posOffset>45085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30480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1"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6"/>
        </w:trPr>
        <w:tc>
          <w:tcPr>
            <w:tcW w:w="214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20" w:type="dxa"/>
            <w:vAlign w:val="bottom"/>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3"/>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12500 TI Boulevard</w:t>
            </w:r>
          </w:p>
        </w:tc>
        <w:tc>
          <w:tcPr>
            <w:tcW w:w="1120" w:type="dxa"/>
            <w:vAlign w:val="bottom"/>
          </w:tcPr>
          <w:p>
            <w:pPr>
              <w:spacing w:after="0"/>
              <w:rPr>
                <w:sz w:val="24"/>
                <w:szCs w:val="24"/>
                <w:color w:val="auto"/>
              </w:rPr>
            </w:pPr>
          </w:p>
        </w:tc>
      </w:tr>
      <w:tr>
        <w:trPr>
          <w:trHeight w:val="214"/>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Dallas, Texas 75243</w:t>
            </w:r>
          </w:p>
        </w:tc>
        <w:tc>
          <w:tcPr>
            <w:tcW w:w="1120" w:type="dxa"/>
            <w:vAlign w:val="bottom"/>
          </w:tcPr>
          <w:p>
            <w:pPr>
              <w:spacing w:after="0"/>
              <w:rPr>
                <w:sz w:val="18"/>
                <w:szCs w:val="18"/>
                <w:color w:val="auto"/>
              </w:rPr>
            </w:pPr>
          </w:p>
        </w:tc>
      </w:tr>
      <w:tr>
        <w:trPr>
          <w:trHeight w:val="176"/>
        </w:trPr>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spacing w:after="0"/>
              <w:rPr>
                <w:sz w:val="15"/>
                <w:szCs w:val="15"/>
                <w:color w:val="auto"/>
              </w:rPr>
            </w:pPr>
          </w:p>
        </w:tc>
      </w:tr>
      <w:tr>
        <w:trPr>
          <w:trHeight w:val="190"/>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120" w:type="dxa"/>
            <w:vAlign w:val="bottom"/>
          </w:tcPr>
          <w:p>
            <w:pPr>
              <w:spacing w:after="0"/>
              <w:rPr>
                <w:sz w:val="16"/>
                <w:szCs w:val="16"/>
                <w:color w:val="auto"/>
              </w:rPr>
            </w:pPr>
          </w:p>
        </w:tc>
      </w:tr>
      <w:tr>
        <w:trPr>
          <w:trHeight w:val="37"/>
        </w:trPr>
        <w:tc>
          <w:tcPr>
            <w:tcW w:w="14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r>
    </w:tbl>
    <w:p>
      <w:pPr>
        <w:spacing w:after="0" w:line="34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2"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2"/>
            <w:vMerge w:val="continue"/>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32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128270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8.01. Other Events.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news release dated September 19, 2024, regarding a planned dividend increase, attached hereto as Exhibit 99 is incorporated by reference 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Financial Statements and Exhibits.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Designation</w:t>
      </w:r>
    </w:p>
    <w:p>
      <w:pPr>
        <w:ind w:left="380"/>
        <w:spacing w:after="0" w:line="206" w:lineRule="auto"/>
        <w:rPr>
          <w:sz w:val="20"/>
          <w:szCs w:val="20"/>
          <w:color w:val="auto"/>
        </w:rPr>
      </w:pPr>
      <w:r>
        <w:rPr>
          <w:rFonts w:ascii="Times New Roman" w:cs="Times New Roman" w:eastAsia="Times New Roman" w:hAnsi="Times New Roman"/>
          <w:sz w:val="14"/>
          <w:szCs w:val="14"/>
          <w:color w:val="auto"/>
        </w:rPr>
        <w:t>of Exhibit</w:t>
      </w:r>
    </w:p>
    <w:p>
      <w:pPr>
        <w:ind w:left="480"/>
        <w:spacing w:after="0" w:line="221" w:lineRule="auto"/>
        <w:rPr>
          <w:sz w:val="20"/>
          <w:szCs w:val="20"/>
          <w:color w:val="auto"/>
        </w:rPr>
      </w:pPr>
      <w:r>
        <w:rPr>
          <w:rFonts w:ascii="Times New Roman" w:cs="Times New Roman" w:eastAsia="Times New Roman" w:hAnsi="Times New Roman"/>
          <w:sz w:val="14"/>
          <w:szCs w:val="14"/>
          <w:color w:val="auto"/>
        </w:rPr>
        <w:t>in this</w:t>
      </w:r>
    </w:p>
    <w:p>
      <w:pPr>
        <w:spacing w:after="0" w:line="1" w:lineRule="exact"/>
        <w:rPr>
          <w:sz w:val="20"/>
          <w:szCs w:val="20"/>
          <w:color w:val="auto"/>
        </w:rPr>
      </w:pPr>
    </w:p>
    <w:p>
      <w:pPr>
        <w:ind w:left="480"/>
        <w:spacing w:after="0"/>
        <w:tabs>
          <w:tab w:leader="none" w:pos="1640" w:val="left"/>
        </w:tabs>
        <w:rPr>
          <w:sz w:val="20"/>
          <w:szCs w:val="20"/>
          <w:color w:val="auto"/>
        </w:rPr>
      </w:pPr>
      <w:r>
        <w:rPr>
          <w:rFonts w:ascii="Times New Roman" w:cs="Times New Roman" w:eastAsia="Times New Roman" w:hAnsi="Times New Roman"/>
          <w:sz w:val="14"/>
          <w:szCs w:val="14"/>
          <w:color w:val="auto"/>
        </w:rPr>
        <w:t>Report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22225</wp:posOffset>
            </wp:positionV>
            <wp:extent cx="70034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85" w:lineRule="exact"/>
        <w:rPr>
          <w:sz w:val="20"/>
          <w:szCs w:val="20"/>
          <w:color w:val="auto"/>
        </w:rPr>
      </w:pPr>
    </w:p>
    <w:p>
      <w:pPr>
        <w:ind w:left="1660" w:hanging="1083"/>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Registrant’s News Release</w:t>
      </w:r>
    </w:p>
    <w:p>
      <w:pPr>
        <w:spacing w:after="0" w:line="27" w:lineRule="exact"/>
        <w:rPr>
          <w:sz w:val="20"/>
          <w:szCs w:val="20"/>
          <w:color w:val="auto"/>
        </w:rPr>
      </w:pPr>
    </w:p>
    <w:tbl>
      <w:tblPr>
        <w:tblLayout w:type="fixed"/>
        <w:tblInd w:w="540" w:type="dxa"/>
        <w:tblCellMar>
          <w:top w:w="0" w:type="dxa"/>
          <w:left w:w="0" w:type="dxa"/>
          <w:bottom w:w="0" w:type="dxa"/>
          <w:right w:w="0" w:type="dxa"/>
        </w:tblCellMar>
      </w:tblPr>
      <w:tr>
        <w:trPr>
          <w:trHeight w:val="225"/>
        </w:trPr>
        <w:tc>
          <w:tcPr>
            <w:tcW w:w="680" w:type="dxa"/>
            <w:vAlign w:val="bottom"/>
          </w:tcPr>
          <w:p>
            <w:pPr>
              <w:spacing w:after="0"/>
              <w:rPr>
                <w:sz w:val="19"/>
                <w:szCs w:val="19"/>
                <w:color w:val="auto"/>
              </w:rPr>
            </w:pPr>
          </w:p>
        </w:tc>
        <w:tc>
          <w:tcPr>
            <w:tcW w:w="6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Dated September 19, 2024</w:t>
            </w:r>
          </w:p>
        </w:tc>
      </w:tr>
      <w:tr>
        <w:trPr>
          <w:trHeight w:val="234"/>
        </w:trPr>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104</w:t>
            </w:r>
          </w:p>
        </w:tc>
        <w:tc>
          <w:tcPr>
            <w:tcW w:w="62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2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5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19, 2024</w:t>
            </w:r>
          </w:p>
        </w:tc>
        <w:tc>
          <w:tcPr>
            <w:tcW w:w="29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Rafael R. Lizardi</w:t>
            </w:r>
          </w:p>
        </w:tc>
      </w:tr>
      <w:tr>
        <w:trPr>
          <w:trHeight w:val="218"/>
        </w:trPr>
        <w:tc>
          <w:tcPr>
            <w:tcW w:w="3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Rafael R. Lizardi</w:t>
            </w:r>
          </w:p>
        </w:tc>
      </w:tr>
      <w:tr>
        <w:trPr>
          <w:trHeight w:val="229"/>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3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TI increases dividend 5%, marking 21 consecutive years of increases</w:t>
      </w:r>
    </w:p>
    <w:p>
      <w:pPr>
        <w:spacing w:after="0" w:line="2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DALLAS (Sept. 19, 2024) – Texas Instruments Incorporated (TI) (Nasdaq: TXN) today said it will raise its quarterly cash dividend 5%, from $1.30 per share to $1.36, or $5.44 annualized. The higher dividend will be payable November 12, 2024, to stockholders of record on October 31, 2024, contingent upon formal declaration by the board of directors at its regular meeting in October.</w:t>
      </w:r>
    </w:p>
    <w:p>
      <w:pPr>
        <w:spacing w:after="0" w:line="20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2"/>
          <w:szCs w:val="22"/>
          <w:color w:val="auto"/>
        </w:rPr>
        <w:t>The increase is consistent with TI’s long-term objective for dividends by providing a sustainable and growing dividend and reflects the company’s continued commitment to return all free cash flow to its owners over time. Today’s announcement marks 21 consecutive years of dividend increases.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regarding forward-looking statements</w:t>
      </w:r>
    </w:p>
    <w:p>
      <w:pPr>
        <w:spacing w:after="0" w:line="25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8"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We urge you to carefully consider the following important factors that could cause actual results to differ materially from the expectations of TI or our management:</w:t>
      </w:r>
    </w:p>
    <w:p>
      <w:pPr>
        <w:spacing w:after="0" w:line="185" w:lineRule="exact"/>
        <w:rPr>
          <w:sz w:val="20"/>
          <w:szCs w:val="20"/>
          <w:color w:val="auto"/>
        </w:rPr>
      </w:pPr>
    </w:p>
    <w:p>
      <w:pPr>
        <w:ind w:left="660" w:right="100" w:hanging="328"/>
        <w:spacing w:after="0" w:line="26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22"/>
          <w:szCs w:val="22"/>
          <w:color w:val="auto"/>
        </w:rPr>
      </w:pPr>
    </w:p>
    <w:p>
      <w:pPr>
        <w:ind w:left="660" w:right="480" w:hanging="328"/>
        <w:spacing w:after="0" w:line="243"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demand for semiconductors, particularly in the industrial and automotive markets, and customer demand that differs from forecasts;</w:t>
      </w: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compete in products and prices in an intensely competitive industry;</w:t>
      </w:r>
    </w:p>
    <w:p>
      <w:pPr>
        <w:spacing w:after="0" w:line="3" w:lineRule="exact"/>
        <w:rPr>
          <w:rFonts w:ascii="Times New Roman" w:cs="Times New Roman" w:eastAsia="Times New Roman" w:hAnsi="Times New Roman"/>
          <w:sz w:val="22"/>
          <w:szCs w:val="22"/>
          <w:color w:val="auto"/>
        </w:rPr>
      </w:pPr>
    </w:p>
    <w:p>
      <w:pPr>
        <w:ind w:left="660" w:right="680" w:hanging="328"/>
        <w:spacing w:after="0" w:line="249"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Evolving cybersecurity and other threats relating to our information technology systems or those of our customers, suppliers and other third parties;</w:t>
      </w:r>
    </w:p>
    <w:p>
      <w:pPr>
        <w:spacing w:after="0" w:line="1" w:lineRule="exact"/>
        <w:rPr>
          <w:rFonts w:ascii="Times New Roman" w:cs="Times New Roman" w:eastAsia="Times New Roman" w:hAnsi="Times New Roman"/>
          <w:sz w:val="22"/>
          <w:szCs w:val="22"/>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1" w:lineRule="exact"/>
        <w:rPr>
          <w:rFonts w:ascii="Times New Roman" w:cs="Times New Roman" w:eastAsia="Times New Roman" w:hAnsi="Times New Roman"/>
          <w:sz w:val="21"/>
          <w:szCs w:val="21"/>
          <w:color w:val="auto"/>
        </w:rPr>
      </w:pPr>
    </w:p>
    <w:p>
      <w:pPr>
        <w:jc w:val="both"/>
        <w:ind w:left="660" w:right="40" w:hanging="328"/>
        <w:spacing w:after="0" w:line="247"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Times New Roman" w:cs="Times New Roman" w:eastAsia="Times New Roman" w:hAnsi="Times New Roman"/>
          <w:sz w:val="22"/>
          <w:szCs w:val="22"/>
          <w:color w:val="auto"/>
        </w:rPr>
      </w:pPr>
    </w:p>
    <w:p>
      <w:pPr>
        <w:ind w:left="660" w:right="800" w:hanging="328"/>
        <w:spacing w:after="0" w:line="243"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Availability and cost of key materials, utilities, manufacturing equipment, third-party manufacturing services and manufacturing technology;</w:t>
      </w: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recruit and retain skilled personnel and effectively manage key employee succession;</w:t>
      </w:r>
    </w:p>
    <w:p>
      <w:pPr>
        <w:sectPr>
          <w:pgSz w:w="11900" w:h="16838" w:orient="portrait"/>
          <w:cols w:equalWidth="0" w:num="1">
            <w:col w:w="11240"/>
          </w:cols>
          <w:pgMar w:left="320" w:top="122" w:right="339" w:bottom="1440" w:gutter="0" w:footer="0" w:header="0"/>
        </w:sectPr>
      </w:pPr>
    </w:p>
    <w:bookmarkStart w:id="4" w:name="page5"/>
    <w:bookmarkEnd w:id="4"/>
    <w:p>
      <w:pPr>
        <w:ind w:left="660" w:right="160" w:hanging="328"/>
        <w:spacing w:after="0" w:line="254"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liability, warranty or other claims relating to our products, software, manufacturing, delivery, services, design or communications, or recalls by our customers for a product containing one of our parts;</w:t>
      </w:r>
    </w:p>
    <w:p>
      <w:pPr>
        <w:spacing w:after="0" w:line="1" w:lineRule="exact"/>
        <w:rPr>
          <w:rFonts w:ascii="Times New Roman" w:cs="Times New Roman" w:eastAsia="Times New Roman" w:hAnsi="Times New Roman"/>
          <w:sz w:val="22"/>
          <w:szCs w:val="22"/>
          <w:color w:val="auto"/>
        </w:rPr>
      </w:pPr>
    </w:p>
    <w:p>
      <w:pPr>
        <w:ind w:left="660" w:right="100" w:hanging="328"/>
        <w:spacing w:after="0" w:line="247"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1" w:lineRule="exact"/>
        <w:rPr>
          <w:rFonts w:ascii="Times New Roman" w:cs="Times New Roman" w:eastAsia="Times New Roman" w:hAnsi="Times New Roman"/>
          <w:sz w:val="22"/>
          <w:szCs w:val="22"/>
          <w:color w:val="auto"/>
        </w:rPr>
      </w:pPr>
    </w:p>
    <w:p>
      <w:pPr>
        <w:ind w:left="660" w:hanging="328"/>
        <w:spacing w:after="0" w:line="243"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3" w:lineRule="exact"/>
        <w:rPr>
          <w:rFonts w:ascii="Times New Roman" w:cs="Times New Roman" w:eastAsia="Times New Roman" w:hAnsi="Times New Roman"/>
          <w:sz w:val="22"/>
          <w:szCs w:val="22"/>
          <w:color w:val="auto"/>
        </w:rPr>
      </w:pPr>
    </w:p>
    <w:p>
      <w:pPr>
        <w:ind w:left="660" w:right="640" w:hanging="328"/>
        <w:spacing w:after="0" w:line="248"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difficulties of our distributors or semiconductor distributors' promotion of competing product lines to our detriment; or disputes with current or former distributors;</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Losses or curtailments of purchases from key customers or the timing and amount of customer inventory adjustments;</w:t>
      </w:r>
    </w:p>
    <w:p>
      <w:pPr>
        <w:spacing w:after="0" w:line="3" w:lineRule="exact"/>
        <w:rPr>
          <w:rFonts w:ascii="Times New Roman" w:cs="Times New Roman" w:eastAsia="Times New Roman" w:hAnsi="Times New Roman"/>
          <w:sz w:val="22"/>
          <w:szCs w:val="22"/>
          <w:color w:val="auto"/>
        </w:rPr>
      </w:pPr>
    </w:p>
    <w:p>
      <w:pPr>
        <w:ind w:left="660" w:right="100" w:hanging="328"/>
        <w:spacing w:after="0" w:line="243"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3" w:lineRule="exact"/>
        <w:rPr>
          <w:rFonts w:ascii="Times New Roman" w:cs="Times New Roman" w:eastAsia="Times New Roman" w:hAnsi="Times New Roman"/>
          <w:sz w:val="22"/>
          <w:szCs w:val="22"/>
          <w:color w:val="auto"/>
        </w:rPr>
      </w:pPr>
    </w:p>
    <w:p>
      <w:pPr>
        <w:ind w:left="660" w:right="620" w:hanging="328"/>
        <w:spacing w:after="0" w:line="248"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maintain and enforce a strong intellectual property portfolio and maintain freedom of operation in all jurisdictions where we conduct business; or our exposure to infringement claims;</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Instability in the global credit and financial markets; and</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Impairments of our non-financial assets.</w:t>
      </w: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Texas Instruments</w:t>
      </w:r>
    </w:p>
    <w:p>
      <w:pPr>
        <w:spacing w:after="0" w:line="264"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2"/>
          <w:szCs w:val="22"/>
          <w:color w:val="auto"/>
        </w:rPr>
        <w:t>Texas Instruments Incorporated (Nasdaq: TXN) is a global semiconductor company that designs, manufactures and sells analog and embedded processing chips for markets such as industrial, automotive, personal electronics, communications equipment and enterprise systems.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TI.com.</w:t>
      </w:r>
    </w:p>
    <w:sectPr>
      <w:pgSz w:w="11900" w:h="16838" w:orient="portrait"/>
      <w:cols w:equalWidth="0" w:num="1">
        <w:col w:w="11220"/>
      </w:cols>
      <w:pgMar w:left="320" w:top="14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2024-09-19T15:18:19Z</dcterms:created>
  <dcterms:modified xsi:type="dcterms:W3CDTF">2024-09-19T15:18:19Z</dcterms:modified>
</cp:coreProperties>
</file>