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953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953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XIE BING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6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jc w:val="center"/>
              <w:ind w:left="173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(D) or Indirect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01/24/2020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8,045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62,066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Bing Xie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left="271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2,870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left="6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Management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Trust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71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290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71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290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 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130.52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01/24/2020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41,066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01/24/2030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41,066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130.52</w:t>
            </w:r>
          </w:p>
        </w:tc>
        <w:tc>
          <w:tcPr>
            <w:tcW w:w="9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41,066</w:t>
            </w:r>
          </w:p>
        </w:tc>
        <w:tc>
          <w:tcPr>
            <w:tcW w:w="4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pursuant to 2009 Long-Term Incentive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the Bing Xie Management Trust account for the benefit of family members. The reporting person is the trustee.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the 2015 Xie Childrens Trust FBO Harris Jiarui Xie. The reporting person is the trustee.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the 2015 Xie Childrens Trust FBO Ryan Siriu Xie. The reporting person is the trustee.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24, 2021.</w:t>
      </w:r>
    </w:p>
    <w:p>
      <w:pPr>
        <w:ind w:left="686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Katharine Kane, Attorney In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01/28/2020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-27305</wp:posOffset>
            </wp:positionV>
            <wp:extent cx="13989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89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190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8198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2020-01-28T17:20:48Z</dcterms:created>
  <dcterms:modified xsi:type="dcterms:W3CDTF">2020-01-28T17:20:48Z</dcterms:modified>
</cp:coreProperties>
</file>