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112,368,791</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112,368,791</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112,368,791</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112,368,791 shares or 10.3% of the 1,094,563,114 shares believed to be outstanding as a result of CRMC acting as investment adviser to various investment companies registered under Section 8 of the Investment Company Act of 1940.</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Trissel</w:t>
      </w:r>
    </w:p>
    <w:p>
      <w:pPr>
        <w:ind w:left="1580"/>
        <w:spacing w:after="0" w:line="238" w:lineRule="auto"/>
        <w:rPr>
          <w:sz w:val="20"/>
          <w:szCs w:val="20"/>
          <w:color w:val="auto"/>
        </w:rPr>
      </w:pPr>
      <w:r>
        <w:rPr>
          <w:rFonts w:ascii="Courier New" w:cs="Courier New" w:eastAsia="Courier New" w:hAnsi="Courier New"/>
          <w:sz w:val="18"/>
          <w:szCs w:val="18"/>
          <w:color w:val="auto"/>
        </w:rPr>
        <w:t>Michael J. Trissel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October 12, 2012 included as an Exhibit to Schedule 13G filed with the Securities and Exchange Commission by Capital World Investors on November 9,2012 with respect to Fidelity National Information Services.</w:t>
      </w:r>
    </w:p>
    <w:p>
      <w:pPr>
        <w:sectPr>
          <w:pgSz w:w="11900" w:h="16838" w:orient="portrait"/>
          <w:cols w:equalWidth="0" w:num="1">
            <w:col w:w="10219"/>
          </w:cols>
          <w:pgMar w:left="240" w:top="142"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2019-12-05T14:53:15Z</dcterms:created>
  <dcterms:modified xsi:type="dcterms:W3CDTF">2019-12-05T14:53:15Z</dcterms:modified>
</cp:coreProperties>
</file>