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333-262523</w:t>
            </w:r>
          </w:p>
        </w:tc>
      </w:tr>
      <w:tr>
        <w:trPr>
          <w:trHeight w:val="216"/>
        </w:trPr>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August 10, 2022</w:t>
            </w:r>
          </w:p>
        </w:tc>
      </w:tr>
      <w:tr>
        <w:trPr>
          <w:trHeight w:val="234"/>
        </w:trPr>
        <w:tc>
          <w:tcPr>
            <w:tcW w:w="2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August 10, 2022</w:t>
            </w:r>
          </w:p>
        </w:tc>
      </w:tr>
      <w:tr>
        <w:trPr>
          <w:trHeight w:val="410"/>
        </w:trPr>
        <w:tc>
          <w:tcPr>
            <w:tcW w:w="2960" w:type="dxa"/>
            <w:vAlign w:val="bottom"/>
          </w:tcPr>
          <w:p>
            <w:pPr>
              <w:spacing w:after="0"/>
              <w:rPr>
                <w:sz w:val="24"/>
                <w:szCs w:val="24"/>
                <w:color w:val="auto"/>
              </w:rPr>
            </w:pPr>
          </w:p>
        </w:tc>
        <w:tc>
          <w:tcPr>
            <w:tcW w:w="8060" w:type="dxa"/>
            <w:vAlign w:val="bottom"/>
            <w:gridSpan w:val="3"/>
          </w:tcPr>
          <w:p>
            <w:pPr>
              <w:jc w:val="center"/>
              <w:ind w:right="2870"/>
              <w:spacing w:after="0"/>
              <w:rPr>
                <w:sz w:val="20"/>
                <w:szCs w:val="20"/>
                <w:color w:val="auto"/>
              </w:rPr>
            </w:pPr>
            <w:r>
              <w:rPr>
                <w:rFonts w:ascii="Times New Roman" w:cs="Times New Roman" w:eastAsia="Times New Roman" w:hAnsi="Times New Roman"/>
                <w:sz w:val="18"/>
                <w:szCs w:val="18"/>
                <w:color w:val="auto"/>
                <w:w w:val="99"/>
              </w:rPr>
              <w:t>TEXAS INSTRUMENTS INCORPORATED</w:t>
            </w:r>
          </w:p>
        </w:tc>
      </w:tr>
      <w:tr>
        <w:trPr>
          <w:trHeight w:val="238"/>
        </w:trPr>
        <w:tc>
          <w:tcPr>
            <w:tcW w:w="2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380" w:type="dxa"/>
            <w:vAlign w:val="bottom"/>
            <w:gridSpan w:val="2"/>
          </w:tcPr>
          <w:p>
            <w:pPr>
              <w:jc w:val="center"/>
              <w:ind w:right="457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283"/>
        </w:trPr>
        <w:tc>
          <w:tcPr>
            <w:tcW w:w="2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380" w:type="dxa"/>
            <w:vAlign w:val="bottom"/>
            <w:gridSpan w:val="2"/>
          </w:tcPr>
          <w:p>
            <w:pPr>
              <w:jc w:val="center"/>
              <w:ind w:right="4570"/>
              <w:spacing w:after="0"/>
              <w:rPr>
                <w:sz w:val="20"/>
                <w:szCs w:val="20"/>
                <w:color w:val="auto"/>
              </w:rPr>
            </w:pPr>
            <w:r>
              <w:rPr>
                <w:rFonts w:ascii="Times New Roman" w:cs="Times New Roman" w:eastAsia="Times New Roman" w:hAnsi="Times New Roman"/>
                <w:sz w:val="18"/>
                <w:szCs w:val="18"/>
                <w:color w:val="auto"/>
                <w:w w:val="99"/>
              </w:rPr>
              <w:t>3.</w:t>
            </w:r>
            <w:r>
              <w:rPr>
                <w:rFonts w:ascii="Times New Roman" w:cs="Times New Roman" w:eastAsia="Times New Roman" w:hAnsi="Times New Roman"/>
                <w:sz w:val="18"/>
                <w:szCs w:val="18"/>
                <w:u w:val="single" w:color="auto"/>
                <w:color w:val="auto"/>
                <w:w w:val="99"/>
              </w:rPr>
              <w:t>650%</w:t>
            </w:r>
            <w:r>
              <w:rPr>
                <w:rFonts w:ascii="Times New Roman" w:cs="Times New Roman" w:eastAsia="Times New Roman" w:hAnsi="Times New Roman"/>
                <w:sz w:val="18"/>
                <w:szCs w:val="18"/>
                <w:color w:val="auto"/>
                <w:w w:val="99"/>
              </w:rPr>
              <w:t xml:space="preserve"> Notes due 2032</w:t>
            </w:r>
          </w:p>
        </w:tc>
      </w:tr>
      <w:tr>
        <w:trPr>
          <w:trHeight w:val="20"/>
        </w:trPr>
        <w:tc>
          <w:tcPr>
            <w:tcW w:w="2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8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$400,000,000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August 16, 2032</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3.650%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99.709% of principal amount</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February 16 and August 16, beginning on February 16, 2023, and on the maturity date</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30/360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$397,436,000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2.875% due May 15, 2032</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90 basis points</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3.685%</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100-24+; 2.785%</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0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At any time before May 16, 2032 (three months before the maturity date) at the greater of: (1) (a) the sum of</w:t>
            </w:r>
          </w:p>
        </w:tc>
      </w:tr>
      <w:tr>
        <w:trPr>
          <w:trHeight w:val="216"/>
        </w:trPr>
        <w:tc>
          <w:tcPr>
            <w:tcW w:w="2960" w:type="dxa"/>
            <w:vAlign w:val="bottom"/>
          </w:tcPr>
          <w:p>
            <w:pPr>
              <w:spacing w:after="0"/>
              <w:rPr>
                <w:sz w:val="18"/>
                <w:szCs w:val="18"/>
                <w:color w:val="auto"/>
              </w:rPr>
            </w:pP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present values of the remaining scheduled payments of principal and interest thereon discounted to the</w:t>
            </w:r>
          </w:p>
        </w:tc>
      </w:tr>
      <w:tr>
        <w:trPr>
          <w:trHeight w:val="216"/>
        </w:trPr>
        <w:tc>
          <w:tcPr>
            <w:tcW w:w="2960" w:type="dxa"/>
            <w:vAlign w:val="bottom"/>
          </w:tcPr>
          <w:p>
            <w:pPr>
              <w:spacing w:after="0"/>
              <w:rPr>
                <w:sz w:val="18"/>
                <w:szCs w:val="18"/>
                <w:color w:val="auto"/>
              </w:rPr>
            </w:pP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redemption date (assuming the Notes matured on May 16, 2032) on a semi-annual basis (assuming a</w:t>
            </w:r>
          </w:p>
        </w:tc>
      </w:tr>
      <w:tr>
        <w:trPr>
          <w:trHeight w:val="216"/>
        </w:trPr>
        <w:tc>
          <w:tcPr>
            <w:tcW w:w="2960" w:type="dxa"/>
            <w:vAlign w:val="bottom"/>
          </w:tcPr>
          <w:p>
            <w:pPr>
              <w:spacing w:after="0"/>
              <w:rPr>
                <w:sz w:val="18"/>
                <w:szCs w:val="18"/>
                <w:color w:val="auto"/>
              </w:rPr>
            </w:pP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360-day year consisting of twelve 30-day months) at the Treasury Rate plus 15 basis points less (b) interest</w:t>
            </w:r>
          </w:p>
        </w:tc>
      </w:tr>
      <w:tr>
        <w:trPr>
          <w:trHeight w:val="216"/>
        </w:trPr>
        <w:tc>
          <w:tcPr>
            <w:tcW w:w="2960" w:type="dxa"/>
            <w:vAlign w:val="bottom"/>
          </w:tcPr>
          <w:p>
            <w:pPr>
              <w:spacing w:after="0"/>
              <w:rPr>
                <w:sz w:val="18"/>
                <w:szCs w:val="18"/>
                <w:color w:val="auto"/>
              </w:rPr>
            </w:pP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accrued to the date of redemption, and (2) 100% of the principal amount of the Notes to be redeemed, plus,</w:t>
            </w:r>
          </w:p>
        </w:tc>
      </w:tr>
      <w:tr>
        <w:trPr>
          <w:trHeight w:val="234"/>
        </w:trPr>
        <w:tc>
          <w:tcPr>
            <w:tcW w:w="2960" w:type="dxa"/>
            <w:vAlign w:val="bottom"/>
          </w:tcPr>
          <w:p>
            <w:pPr>
              <w:spacing w:after="0"/>
              <w:rPr>
                <w:sz w:val="20"/>
                <w:szCs w:val="20"/>
                <w:color w:val="auto"/>
              </w:rPr>
            </w:pPr>
          </w:p>
        </w:tc>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 either case, accrued and unpaid interest thereon to the redemption date.</w:t>
            </w:r>
          </w:p>
        </w:tc>
      </w:tr>
    </w:tbl>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 Call: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Times New Roman" w:cs="Times New Roman" w:eastAsia="Times New Roman" w:hAnsi="Times New Roman"/>
          <w:sz w:val="17"/>
          <w:szCs w:val="17"/>
          <w:color w:val="auto"/>
        </w:rPr>
        <w:t>At any time on or after May 16, 2032 (three months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-404495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2022 (T+4)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882508 BP8/US882508PB81</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auto"/>
        </w:rPr>
        <w:t>4.100% Notes due 2052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2052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98.707% of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and August 16, beginning on February 16, 2023, and on the 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$294,321,000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2.250% due February 15, 2052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basis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84-02; 3.076%</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700" w:space="500"/>
            <w:col w:w="7340"/>
          </w:cols>
          <w:pgMar w:left="440" w:top="270" w:right="9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At any time before February 16, 2052 (six months before the maturity date) at the greater of: (1) (a) the sum</w:t>
            </w:r>
          </w:p>
        </w:tc>
      </w:tr>
      <w:tr>
        <w:trPr>
          <w:trHeight w:val="216"/>
        </w:trPr>
        <w:tc>
          <w:tcPr>
            <w:tcW w:w="2740" w:type="dxa"/>
            <w:vAlign w:val="bottom"/>
          </w:tcPr>
          <w:p>
            <w:pPr>
              <w:spacing w:after="0"/>
              <w:rPr>
                <w:sz w:val="18"/>
                <w:szCs w:val="18"/>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 principal and interest thereon discounted to</w:t>
            </w:r>
          </w:p>
        </w:tc>
      </w:tr>
      <w:tr>
        <w:trPr>
          <w:trHeight w:val="216"/>
        </w:trPr>
        <w:tc>
          <w:tcPr>
            <w:tcW w:w="2740" w:type="dxa"/>
            <w:vAlign w:val="bottom"/>
          </w:tcPr>
          <w:p>
            <w:pPr>
              <w:spacing w:after="0"/>
              <w:rPr>
                <w:sz w:val="18"/>
                <w:szCs w:val="18"/>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redemption date (assuming the Notes matured on February 16, 2052) on a semi-annual basis (assuming</w:t>
            </w:r>
          </w:p>
        </w:tc>
      </w:tr>
      <w:tr>
        <w:trPr>
          <w:trHeight w:val="216"/>
        </w:trPr>
        <w:tc>
          <w:tcPr>
            <w:tcW w:w="2740" w:type="dxa"/>
            <w:vAlign w:val="bottom"/>
          </w:tcPr>
          <w:p>
            <w:pPr>
              <w:spacing w:after="0"/>
              <w:rPr>
                <w:sz w:val="18"/>
                <w:szCs w:val="18"/>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360-day year consisting of twelve 30-day months) at the Treasury Rate plus 20 basis points less</w:t>
            </w:r>
          </w:p>
        </w:tc>
      </w:tr>
      <w:tr>
        <w:trPr>
          <w:trHeight w:val="216"/>
        </w:trPr>
        <w:tc>
          <w:tcPr>
            <w:tcW w:w="2740" w:type="dxa"/>
            <w:vAlign w:val="bottom"/>
          </w:tcPr>
          <w:p>
            <w:pPr>
              <w:spacing w:after="0"/>
              <w:rPr>
                <w:sz w:val="18"/>
                <w:szCs w:val="18"/>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 interest accrued to the date of redemption, and (2) 100% of the principal amount of the Notes to be</w:t>
            </w:r>
          </w:p>
        </w:tc>
      </w:tr>
      <w:tr>
        <w:trPr>
          <w:trHeight w:val="234"/>
        </w:trPr>
        <w:tc>
          <w:tcPr>
            <w:tcW w:w="2740" w:type="dxa"/>
            <w:vAlign w:val="bottom"/>
          </w:tcPr>
          <w:p>
            <w:pPr>
              <w:spacing w:after="0"/>
              <w:rPr>
                <w:sz w:val="20"/>
                <w:szCs w:val="20"/>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redeemed, plus, in either case, accrued and unpaid interest thereon to the redemption date.</w:t>
            </w:r>
          </w:p>
        </w:tc>
      </w:tr>
      <w:tr>
        <w:trPr>
          <w:trHeight w:val="30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At any time on or after February 16, 2052 (six months before the maturity date) at 100% of the principal</w:t>
            </w:r>
          </w:p>
        </w:tc>
      </w:tr>
      <w:tr>
        <w:trPr>
          <w:trHeight w:val="234"/>
        </w:trPr>
        <w:tc>
          <w:tcPr>
            <w:tcW w:w="2740" w:type="dxa"/>
            <w:vAlign w:val="bottom"/>
          </w:tcPr>
          <w:p>
            <w:pPr>
              <w:spacing w:after="0"/>
              <w:rPr>
                <w:sz w:val="20"/>
                <w:szCs w:val="20"/>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amount of notes being redeemed plus accrued and unpaid interest thereon to the redemption date.</w:t>
            </w: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August 10, 2022</w:t>
            </w: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August 16, 2022 (T+4)</w:t>
            </w: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882508 BQ6/US882508BQ64</w:t>
            </w:r>
          </w:p>
        </w:tc>
      </w:tr>
      <w:tr>
        <w:trPr>
          <w:trHeight w:val="391"/>
        </w:trPr>
        <w:tc>
          <w:tcPr>
            <w:tcW w:w="2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2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6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Moody’s: Aa3 (stable outlook)</w:t>
            </w:r>
          </w:p>
        </w:tc>
      </w:tr>
      <w:tr>
        <w:trPr>
          <w:trHeight w:val="234"/>
        </w:trPr>
        <w:tc>
          <w:tcPr>
            <w:tcW w:w="2740" w:type="dxa"/>
            <w:vAlign w:val="bottom"/>
          </w:tcPr>
          <w:p>
            <w:pPr>
              <w:spacing w:after="0"/>
              <w:rPr>
                <w:sz w:val="20"/>
                <w:szCs w:val="20"/>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0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740" w:type="dxa"/>
            <w:vAlign w:val="bottom"/>
          </w:tcPr>
          <w:p>
            <w:pPr>
              <w:spacing w:after="0"/>
              <w:rPr>
                <w:sz w:val="18"/>
                <w:szCs w:val="18"/>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34"/>
        </w:trPr>
        <w:tc>
          <w:tcPr>
            <w:tcW w:w="2740" w:type="dxa"/>
            <w:vAlign w:val="bottom"/>
          </w:tcPr>
          <w:p>
            <w:pPr>
              <w:spacing w:after="0"/>
              <w:rPr>
                <w:sz w:val="20"/>
                <w:szCs w:val="20"/>
                <w:color w:val="auto"/>
              </w:rPr>
            </w:pPr>
          </w:p>
        </w:tc>
        <w:tc>
          <w:tcPr>
            <w:tcW w:w="8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378"/>
        </w:trPr>
        <w:tc>
          <w:tcPr>
            <w:tcW w:w="2740" w:type="dxa"/>
            <w:vAlign w:val="bottom"/>
          </w:tcPr>
          <w:p>
            <w:pPr>
              <w:spacing w:after="0"/>
              <w:rPr>
                <w:sz w:val="24"/>
                <w:szCs w:val="24"/>
                <w:color w:val="auto"/>
              </w:rPr>
            </w:pPr>
          </w:p>
        </w:tc>
        <w:tc>
          <w:tcPr>
            <w:tcW w:w="342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A securities rating is not a recommendation to buy, sell or hold securities and may be subject to revision or withdrawal at any time.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August 16, 2022, which is the fifth business day following the date hereof (such settlement cycle being referred to as “T+4”).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T+4,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BofA Securities, Inc. at 1-800-294-1322, Citigroup Global Markets Inc. at 1-800-831-9146 or U.S. Bancorp Investments, Inc. at 1-877-558-2607.</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2022-08-10T16:15:12Z</dcterms:created>
  <dcterms:modified xsi:type="dcterms:W3CDTF">2022-08-10T16:15:12Z</dcterms:modified>
</cp:coreProperties>
</file>