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174625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217805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4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60" w:type="dxa"/>
        <w:tblCellMar>
          <w:top w:w="0" w:type="dxa"/>
          <w:left w:w="0" w:type="dxa"/>
          <w:bottom w:w="0" w:type="dxa"/>
          <w:right w:w="0" w:type="dxa"/>
        </w:tblCellMar>
      </w:tblPr>
      <w:tr>
        <w:trPr>
          <w:trHeight w:val="214"/>
        </w:trPr>
        <w:tc>
          <w:tcPr>
            <w:tcW w:w="342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right"/>
              <w:ind w:right="1219"/>
              <w:spacing w:after="0"/>
              <w:rPr>
                <w:sz w:val="20"/>
                <w:szCs w:val="20"/>
                <w:color w:val="auto"/>
              </w:rPr>
            </w:pPr>
            <w:r>
              <w:rPr>
                <w:rFonts w:ascii="Times New Roman" w:cs="Times New Roman" w:eastAsia="Times New Roman" w:hAnsi="Times New Roman"/>
                <w:sz w:val="18"/>
                <w:szCs w:val="18"/>
                <w:b w:val="1"/>
                <w:bCs w:val="1"/>
                <w:color w:val="auto"/>
              </w:rPr>
              <w:t>001-03761</w:t>
            </w:r>
          </w:p>
        </w:tc>
        <w:tc>
          <w:tcPr>
            <w:tcW w:w="30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90"/>
        </w:trPr>
        <w:tc>
          <w:tcPr>
            <w:tcW w:w="342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(State of incorporation)</w:t>
            </w:r>
          </w:p>
        </w:tc>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3060" w:type="dxa"/>
            <w:vAlign w:val="bottom"/>
          </w:tcPr>
          <w:p>
            <w:pPr>
              <w:jc w:val="center"/>
              <w:ind w:left="7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0"/>
        </w:trPr>
        <w:tc>
          <w:tcPr>
            <w:tcW w:w="3420" w:type="dxa"/>
            <w:vAlign w:val="bottom"/>
          </w:tcPr>
          <w:p>
            <w:pPr>
              <w:jc w:val="center"/>
              <w:ind w:right="719"/>
              <w:spacing w:after="0"/>
              <w:rPr>
                <w:sz w:val="20"/>
                <w:szCs w:val="20"/>
                <w:color w:val="auto"/>
              </w:rPr>
            </w:pPr>
            <w:r>
              <w:rPr>
                <w:rFonts w:ascii="Times New Roman" w:cs="Times New Roman" w:eastAsia="Times New Roman" w:hAnsi="Times New Roman"/>
                <w:sz w:val="18"/>
                <w:szCs w:val="18"/>
                <w:b w:val="1"/>
                <w:bCs w:val="1"/>
                <w:color w:val="auto"/>
                <w:w w:val="99"/>
              </w:rPr>
              <w:t>12500 TI Boulevard, Dallas, Texas</w:t>
            </w:r>
          </w:p>
        </w:tc>
        <w:tc>
          <w:tcPr>
            <w:tcW w:w="3320" w:type="dxa"/>
            <w:vAlign w:val="bottom"/>
          </w:tcPr>
          <w:p>
            <w:pPr>
              <w:spacing w:after="0"/>
              <w:rPr>
                <w:sz w:val="24"/>
                <w:szCs w:val="24"/>
                <w:color w:val="auto"/>
              </w:rPr>
            </w:pPr>
          </w:p>
        </w:tc>
        <w:tc>
          <w:tcPr>
            <w:tcW w:w="306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75243</w:t>
            </w:r>
          </w:p>
        </w:tc>
      </w:tr>
      <w:tr>
        <w:trPr>
          <w:trHeight w:val="190"/>
        </w:trPr>
        <w:tc>
          <w:tcPr>
            <w:tcW w:w="342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20" w:type="dxa"/>
            <w:vAlign w:val="bottom"/>
          </w:tcPr>
          <w:p>
            <w:pPr>
              <w:spacing w:after="0"/>
              <w:rPr>
                <w:sz w:val="16"/>
                <w:szCs w:val="16"/>
                <w:color w:val="auto"/>
              </w:rPr>
            </w:pPr>
          </w:p>
        </w:tc>
        <w:tc>
          <w:tcPr>
            <w:tcW w:w="3060" w:type="dxa"/>
            <w:vAlign w:val="bottom"/>
          </w:tcPr>
          <w:p>
            <w:pPr>
              <w:jc w:val="center"/>
              <w:ind w:left="87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Tifany Wilson, 214-479-3773</w:t>
      </w:r>
    </w:p>
    <w:p>
      <w:pPr>
        <w:spacing w:after="0" w:line="2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89"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2021.</w:t>
      </w:r>
    </w:p>
    <w:p>
      <w:pPr>
        <w:spacing w:after="0" w:line="252" w:lineRule="exact"/>
        <w:rPr>
          <w:sz w:val="24"/>
          <w:szCs w:val="24"/>
          <w:color w:val="auto"/>
        </w:rPr>
      </w:pPr>
    </w:p>
    <w:p>
      <w:pPr>
        <w:ind w:left="960" w:hanging="532"/>
        <w:spacing w:after="0"/>
        <w:tabs>
          <w:tab w:leader="none" w:pos="9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0"/>
          </w:cols>
          <w:pgMar w:left="440" w:top="416" w:right="7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With respect to conflict minerals necessary to the functionality or production of products manufactured by Texas Instruments Incorporated (“TI”), or contracted by TI to be manufactured, and required to be reported on Form SD for 2021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Form SD is available on our web site at ti.com/annualccr. We are not incorporating by reference the contents of our web site into this Form SD.</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registrant’s Conflict Minerals Report for 2021 is attached hereto as Exhibit 1.01.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Resource Extraction Issuer Disclosure and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1.01 – Conflict Minerals Report as required by Items 1.01 and 1.02 of this Form.</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25, 2022</w:t>
      </w:r>
    </w:p>
    <w:p>
      <w:pPr>
        <w:spacing w:after="0" w:line="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5715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640"/>
          </w:cols>
          <w:pgMar w:left="440" w:top="270"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Conflict Minerals Report of Texas Instruments Incorporated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 the Year Ended December 31, 2021</w:t>
      </w:r>
    </w:p>
    <w:p>
      <w:pPr>
        <w:spacing w:after="0" w:line="207"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ti.com/annualccr.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328"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Due Diligence</w:t>
      </w:r>
    </w:p>
    <w:p>
      <w:pPr>
        <w:spacing w:after="0" w:line="117"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2021 (collectively, “CMs”). We designed the CM Process with the intent to conform in all material respects with the five-step framework of the Organization for Economic Co-Operation and Development (“OECD”) Due Diligence Guidance for Responsible Supply Chains of Minerals from Conflict-Affected and High-Risk Areas (Third Edition):</w:t>
      </w:r>
    </w:p>
    <w:p>
      <w:pPr>
        <w:spacing w:after="0" w:line="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2: Identify and assess risks in the supply chain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supply chain due diligence</w:t>
      </w:r>
    </w:p>
    <w:p>
      <w:pPr>
        <w:spacing w:after="0" w:line="374"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Data</w:t>
      </w:r>
    </w:p>
    <w:p>
      <w:pPr>
        <w:spacing w:after="0" w:line="117" w:lineRule="exact"/>
        <w:rPr>
          <w:sz w:val="20"/>
          <w:szCs w:val="20"/>
          <w:color w:val="auto"/>
        </w:rPr>
      </w:pPr>
    </w:p>
    <w:p>
      <w:pPr>
        <w:ind w:left="4" w:right="220"/>
        <w:spacing w:after="0" w:line="258" w:lineRule="auto"/>
        <w:rPr>
          <w:sz w:val="20"/>
          <w:szCs w:val="20"/>
          <w:color w:val="auto"/>
        </w:rPr>
      </w:pPr>
      <w:r>
        <w:rPr>
          <w:rFonts w:ascii="Times New Roman" w:cs="Times New Roman" w:eastAsia="Times New Roman" w:hAnsi="Times New Roman"/>
          <w:sz w:val="18"/>
          <w:szCs w:val="18"/>
          <w:color w:val="auto"/>
        </w:rPr>
        <w:t>Our ability to determine the origin and chain of custody of CMs, and whether they directly or indirectly finance or benefit armed groups in the Democratic Republic of the Congo or any adjoining country (each a “Covered Country”) in any manner (the “Conflict Status”), is limited. Our supply chain for CMs is complex. In many cases, we are multiple steps removed from the smelter or refiner (“Smelter”), and we depend on information from our direct suppliers of materials that contain CMs and third-party manufacturers of our products that contain CMs (collectively, “Suppliers”) that themselves have incomplete information about the origin of the CMs incorporated in the products they supply to us.</w:t>
      </w:r>
    </w:p>
    <w:p>
      <w:pPr>
        <w:spacing w:after="0" w:line="183"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To gain insight into the country of origin, chain of custody and Conflict Status of the CMs in our supply chain, we relied primarily on the findings of the Responsible Minerals Assurance Process (“RMAP”). The RMAP is a voluntary program in which an independent third party evaluates Smelters’ management systems and procurement practices and determines whether the Smelter has demonstrated that all the materials it processed originated from conflict-free sources. The RMAP is overseen by the Responsible Minerals Initiative (“RMI”), which was established by members of the Responsible Business Alliance (“RBA”) and the Global e-Sustainability Initiative. TI is a member of the RBA and RMI.</w:t>
      </w:r>
    </w:p>
    <w:p>
      <w:pPr>
        <w:spacing w:after="0" w:line="332"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Measures Taken</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measures we took to exercise due diligence on the source and chain of custody of our CMs are as follows: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1: Establish strong company management systems</w:t>
      </w:r>
    </w:p>
    <w:p>
      <w:pPr>
        <w:spacing w:after="0" w:line="131" w:lineRule="exact"/>
        <w:rPr>
          <w:sz w:val="20"/>
          <w:szCs w:val="20"/>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implement a conflict minerals policy;</w:t>
      </w:r>
    </w:p>
    <w:p>
      <w:pPr>
        <w:spacing w:after="0" w:line="130"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 organizational structure and processes intended to ensure that Suppliers are made aware of TI’s policy on CMs and that information received by TI that is relevant to supply-chain due diligence reaches TI employees who have knowledge of the SEC disclosure requirements;</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process, which uses a reporting tool developed by the RMI and data gathered through the RMAP (as further described below), to achieve control and transparency over our CM supply chain and identify the risk that our products may contain CMs directly or indirectly financing or benefiting armed groups in any Covered Country;</w:t>
      </w:r>
    </w:p>
    <w:p>
      <w:pPr>
        <w:spacing w:after="0" w:line="81"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 mechanism for Suppliers and others to communicate to TI their concerns with respect to our CM Process; and</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Rely on the RMAP to validate supply chain due diligence.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121"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Step 2: Identify and assess risks in the supply chain</w:t>
      </w:r>
    </w:p>
    <w:p>
      <w:pPr>
        <w:spacing w:after="0" w:line="131" w:lineRule="exact"/>
        <w:rPr>
          <w:sz w:val="20"/>
          <w:szCs w:val="20"/>
          <w:color w:val="auto"/>
        </w:rPr>
      </w:pPr>
    </w:p>
    <w:p>
      <w:pPr>
        <w:ind w:left="964" w:hanging="532"/>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our CM policy to Suppliers;</w:t>
      </w:r>
    </w:p>
    <w:p>
      <w:pPr>
        <w:spacing w:after="0" w:line="130" w:lineRule="exact"/>
        <w:rPr>
          <w:rFonts w:ascii="Times New Roman" w:cs="Times New Roman" w:eastAsia="Times New Roman" w:hAnsi="Times New Roman"/>
          <w:sz w:val="18"/>
          <w:szCs w:val="18"/>
          <w:color w:val="auto"/>
        </w:rPr>
      </w:pPr>
    </w:p>
    <w:p>
      <w:pPr>
        <w:ind w:left="964" w:hanging="532"/>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81" w:lineRule="exact"/>
        <w:rPr>
          <w:rFonts w:ascii="Times New Roman" w:cs="Times New Roman" w:eastAsia="Times New Roman" w:hAnsi="Times New Roman"/>
          <w:sz w:val="18"/>
          <w:szCs w:val="18"/>
          <w:color w:val="auto"/>
        </w:rPr>
      </w:pPr>
    </w:p>
    <w:p>
      <w:pPr>
        <w:ind w:left="964" w:right="600" w:hanging="532"/>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 Suppliers’ Conflict Minerals Reporting Template responses for completeness and internal consistency, and follow up with Suppliers in an effort to obtain more information and ensure accuracy of information;</w:t>
      </w:r>
    </w:p>
    <w:p>
      <w:pPr>
        <w:spacing w:after="0" w:line="67" w:lineRule="exact"/>
        <w:rPr>
          <w:rFonts w:ascii="Times New Roman" w:cs="Times New Roman" w:eastAsia="Times New Roman" w:hAnsi="Times New Roman"/>
          <w:sz w:val="18"/>
          <w:szCs w:val="18"/>
          <w:color w:val="auto"/>
        </w:rPr>
      </w:pPr>
    </w:p>
    <w:p>
      <w:pPr>
        <w:ind w:left="964" w:right="600" w:hanging="532"/>
        <w:spacing w:after="0" w:line="282"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 the information received from Suppliers with the data made available by the RMAP concerning the country of origin and Conflict Status of CMs processed or refined by Smelters; and</w:t>
      </w:r>
    </w:p>
    <w:p>
      <w:pPr>
        <w:spacing w:after="0" w:line="67" w:lineRule="exact"/>
        <w:rPr>
          <w:rFonts w:ascii="Times New Roman" w:cs="Times New Roman" w:eastAsia="Times New Roman" w:hAnsi="Times New Roman"/>
          <w:sz w:val="18"/>
          <w:szCs w:val="18"/>
          <w:color w:val="auto"/>
        </w:rPr>
      </w:pPr>
    </w:p>
    <w:p>
      <w:pPr>
        <w:ind w:left="964" w:right="80" w:hanging="532"/>
        <w:spacing w:after="0" w:line="26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other source materials for Smelters that are not compliant with the RMI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131" w:lineRule="exact"/>
        <w:rPr>
          <w:sz w:val="20"/>
          <w:szCs w:val="20"/>
          <w:color w:val="auto"/>
        </w:rPr>
      </w:pPr>
    </w:p>
    <w:p>
      <w:pPr>
        <w:ind w:left="964" w:right="360" w:hanging="532"/>
        <w:spacing w:after="0" w:line="28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risk management plan in response to identified risks while continuing to do business with Supplier or suspending/terminating dealings with Supplier;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the risk management plan to senior management.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4: Carry out independent third-party audit of smelter/refiner’s due diligence practices</w:t>
      </w:r>
    </w:p>
    <w:p>
      <w:pPr>
        <w:spacing w:after="0" w:line="131" w:lineRule="exact"/>
        <w:rPr>
          <w:sz w:val="20"/>
          <w:szCs w:val="20"/>
          <w:color w:val="auto"/>
        </w:rPr>
      </w:pPr>
    </w:p>
    <w:p>
      <w:pPr>
        <w:ind w:left="964" w:right="200" w:hanging="532"/>
        <w:spacing w:after="0" w:line="282" w:lineRule="auto"/>
        <w:tabs>
          <w:tab w:leader="none" w:pos="9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information provided by independent third party audit programs, including the RMI, to confirm the existence and verify the OECD-conformance status of Smelters identified during due diligence.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Step 5: Report annually on the supply chain due diligence</w:t>
      </w:r>
    </w:p>
    <w:p>
      <w:pPr>
        <w:spacing w:after="0" w:line="131" w:lineRule="exact"/>
        <w:rPr>
          <w:sz w:val="20"/>
          <w:szCs w:val="20"/>
          <w:color w:val="auto"/>
        </w:rPr>
      </w:pPr>
    </w:p>
    <w:p>
      <w:pPr>
        <w:ind w:left="964" w:right="440" w:hanging="532"/>
        <w:spacing w:after="0" w:line="282" w:lineRule="auto"/>
        <w:tabs>
          <w:tab w:leader="none" w:pos="9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submit a Conflict Minerals Disclosure and Report to the SEC, which reports the results of TI’s due diligence. This Conflict Minerals Report has been filed with the SEC and is available on our website at ti.com/annualccr.</w:t>
      </w:r>
    </w:p>
    <w:p>
      <w:pPr>
        <w:spacing w:after="0" w:line="310"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IV.</w:t>
        <w:tab/>
        <w:t>Our Findings</w:t>
      </w:r>
    </w:p>
    <w:p>
      <w:pPr>
        <w:spacing w:after="0" w:line="117" w:lineRule="exact"/>
        <w:rPr>
          <w:sz w:val="20"/>
          <w:szCs w:val="20"/>
          <w:color w:val="auto"/>
        </w:rPr>
      </w:pPr>
    </w:p>
    <w:p>
      <w:pPr>
        <w:ind w:left="4" w:right="140"/>
        <w:spacing w:after="0" w:line="256" w:lineRule="auto"/>
        <w:rPr>
          <w:sz w:val="20"/>
          <w:szCs w:val="20"/>
          <w:color w:val="auto"/>
        </w:rPr>
      </w:pPr>
      <w:r>
        <w:rPr>
          <w:rFonts w:ascii="Times New Roman" w:cs="Times New Roman" w:eastAsia="Times New Roman" w:hAnsi="Times New Roman"/>
          <w:sz w:val="18"/>
          <w:szCs w:val="18"/>
          <w:color w:val="auto"/>
        </w:rPr>
        <w:t xml:space="preserve">We have determined that 99.6% of the 230 Smelters in the supply chain for our integrated circuits (“ICs”) </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were conflict-free. Our determination is based on the finding that 99.6% of the Smelters identified to us by our Suppliers as being potentially in the supply chain for ICs in 2021 supplied CMs exclusively from conflict-free sources. The remaining 0.4% of the Smelters identified for 2021 have been designated as “Active”.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“Active” means a Smelter has committed to undergo an RMAP assessment to determine conformance with RMI standards, completed the relevant documents, and scheduled the on-site assessment. An Active Smelter may be in the pre-assessment, assessment, or corrective-action phase. ICs accounted for approximately 92% of TI revenue in 2021.</w:t>
      </w:r>
    </w:p>
    <w:p>
      <w:pPr>
        <w:spacing w:after="0" w:line="187" w:lineRule="exact"/>
        <w:rPr>
          <w:sz w:val="20"/>
          <w:szCs w:val="20"/>
          <w:color w:val="auto"/>
        </w:rPr>
      </w:pPr>
    </w:p>
    <w:p>
      <w:pPr>
        <w:ind w:left="4" w:right="320"/>
        <w:spacing w:after="0" w:line="261" w:lineRule="auto"/>
        <w:rPr>
          <w:sz w:val="20"/>
          <w:szCs w:val="20"/>
          <w:color w:val="auto"/>
        </w:rPr>
      </w:pPr>
      <w:r>
        <w:rPr>
          <w:rFonts w:ascii="Times New Roman" w:cs="Times New Roman" w:eastAsia="Times New Roman" w:hAnsi="Times New Roman"/>
          <w:sz w:val="18"/>
          <w:szCs w:val="18"/>
          <w:color w:val="auto"/>
        </w:rPr>
        <w:t>Of the 243 Smelters identified for 2021 in our overall supply chain (including ICs as well as other products manufactured by or for TI), we have determined that the CMs potentially supplied to us by 96% of the Smelters were conflict-free. The remaining 4% of the Smelters identified for 2021 have been designated as Active.</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In no instance did we find CMs in our supply chain to be from a source that, to our knowledge, was directly or indirectly financing or benefiting armed conflict in a Covered Country.</w:t>
      </w:r>
    </w:p>
    <w:p>
      <w:pPr>
        <w:spacing w:after="0" w:line="180" w:lineRule="exact"/>
        <w:rPr>
          <w:sz w:val="20"/>
          <w:szCs w:val="20"/>
          <w:color w:val="auto"/>
        </w:rPr>
      </w:pPr>
    </w:p>
    <w:p>
      <w:pPr>
        <w:ind w:left="4" w:right="140"/>
        <w:spacing w:after="0" w:line="289" w:lineRule="auto"/>
        <w:rPr>
          <w:sz w:val="20"/>
          <w:szCs w:val="20"/>
          <w:color w:val="auto"/>
        </w:rPr>
      </w:pPr>
      <w:r>
        <w:rPr>
          <w:rFonts w:ascii="Times New Roman" w:cs="Times New Roman" w:eastAsia="Times New Roman" w:hAnsi="Times New Roman"/>
          <w:sz w:val="17"/>
          <w:szCs w:val="17"/>
          <w:color w:val="auto"/>
        </w:rPr>
        <w:t>In 2021, we continued our due diligence efforts with regard to Smelters that are not compliant with the RMI. While we primarily relied on information from our first-tier suppliers, in some cases we contacted second-tier suppliers for more complete information. That information, combined with information available through the RMI, provided us with greater insight into the Conflict Status of CMs identified as potentially in our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1"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“Integrated circuits” refers to finished semiconductor products that contain chips manufactured by or for TI and packaging subcomponents such as</w:t>
      </w:r>
    </w:p>
    <w:p>
      <w:pPr>
        <w:spacing w:after="0" w:line="38" w:lineRule="exact"/>
        <w:rPr>
          <w:sz w:val="20"/>
          <w:szCs w:val="20"/>
          <w:color w:val="auto"/>
        </w:rPr>
      </w:pPr>
    </w:p>
    <w:p>
      <w:pPr>
        <w:ind w:left="424" w:right="80"/>
        <w:spacing w:after="0" w:line="250" w:lineRule="auto"/>
        <w:rPr>
          <w:sz w:val="20"/>
          <w:szCs w:val="20"/>
          <w:color w:val="auto"/>
        </w:rPr>
      </w:pPr>
      <w:r>
        <w:rPr>
          <w:rFonts w:ascii="Times New Roman" w:cs="Times New Roman" w:eastAsia="Times New Roman" w:hAnsi="Times New Roman"/>
          <w:sz w:val="18"/>
          <w:szCs w:val="18"/>
          <w:color w:val="auto"/>
        </w:rPr>
        <w:t>mold compounds, bond wires and lead frames. It excludes DLP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semiconductor modules and all other products manufactured by or for TI.</w:t>
      </w:r>
    </w:p>
    <w:p>
      <w:pPr>
        <w:spacing w:after="0" w:line="1" w:lineRule="exact"/>
        <w:rPr>
          <w:sz w:val="20"/>
          <w:szCs w:val="20"/>
          <w:color w:val="auto"/>
        </w:rPr>
      </w:pPr>
    </w:p>
    <w:p>
      <w:pPr>
        <w:ind w:left="424" w:right="40" w:hanging="424"/>
        <w:spacing w:after="0" w:line="250" w:lineRule="auto"/>
        <w:tabs>
          <w:tab w:leader="none" w:pos="42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Of the 230 Smelters potentially in our IC supply chain for 2021, 229 were certified by the RMI as processing Conflict Minerals from conflict-free sources. The remaining Smelter, Tin Smelting Branch of Yunnan Tin Co., Ltd., was designated as Active in 2021, but was subsequently certified by the RMI as conflict-free on March 18, 2022.</w:t>
      </w:r>
    </w:p>
    <w:p>
      <w:pPr>
        <w:spacing w:after="0" w:line="1" w:lineRule="exact"/>
        <w:rPr>
          <w:sz w:val="20"/>
          <w:szCs w:val="20"/>
          <w:color w:val="auto"/>
        </w:rPr>
      </w:pPr>
    </w:p>
    <w:p>
      <w:pPr>
        <w:ind w:left="424" w:right="280" w:hanging="424"/>
        <w:spacing w:after="0" w:line="262" w:lineRule="auto"/>
        <w:tabs>
          <w:tab w:leader="none" w:pos="424"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Another Smelter in our overall supply chain designated as Active in this Conflict Minerals Report for 2021, Estanho de Rondonia S.A., Brazil, was certified by the RMI as conflict-free on March 11, 2022.</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5" w:name="page6"/>
    <w:bookmarkEnd w:id="5"/>
    <w:p>
      <w:pPr>
        <w:ind w:left="4"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do not have complete information about the CMs in our entire supply chain. For 2021, approximately 75% of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an inherent limitation. For Smelters that are designated as Active, their status is currently undeterminable because the RMAP assessments are not complete or have not yet been dispositioned by the RMI due to operational impacts from COVID-19. The results of our due diligence reflect these limitations. The Smelters identified by our Suppliers as potentially in our supply chain are listed in Appendix A hereto. Our efforts to determine the mine or location of origin of the CMs consisted of the due diligence measures described above.</w:t>
      </w:r>
    </w:p>
    <w:p>
      <w:pPr>
        <w:spacing w:after="0" w:line="340" w:lineRule="exact"/>
        <w:rPr>
          <w:sz w:val="20"/>
          <w:szCs w:val="20"/>
          <w:color w:val="auto"/>
        </w:rPr>
      </w:pPr>
    </w:p>
    <w:p>
      <w:pPr>
        <w:ind w:left="544" w:hanging="544"/>
        <w:spacing w:after="0"/>
        <w:tabs>
          <w:tab w:leader="none" w:pos="5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Scope</w:t>
      </w:r>
    </w:p>
    <w:p>
      <w:pPr>
        <w:spacing w:after="0" w:line="11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In 2021, our products were divided into two reportable segments as described in our annual report on Form 10-K for the year ended December 31, 2021: Analog (consisting of Power and Signal Chain product lines) and Embedded Processing (including microcontrollers, digital signal processors, and applications processors). 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336"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color w:val="auto"/>
        </w:rPr>
        <w:t>Risk-Mitigation Efforts</w:t>
      </w:r>
    </w:p>
    <w:p>
      <w:pPr>
        <w:spacing w:after="0" w:line="117"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Since the period covered by this Conflict Minerals Report, we have taken, or will take, the following steps to mitigate the risk that our CMs directly or indirectly finance or benefit armed groups in the Covered Countries:</w:t>
      </w:r>
    </w:p>
    <w:p>
      <w:pPr>
        <w:spacing w:after="0" w:line="67" w:lineRule="exact"/>
        <w:rPr>
          <w:sz w:val="20"/>
          <w:szCs w:val="20"/>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redistribute copies of our CM policy to Suppliers;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to Suppliers our expectation that they respond fully and promptly to our information requests;</w:t>
      </w:r>
    </w:p>
    <w:p>
      <w:pPr>
        <w:spacing w:after="0" w:line="130" w:lineRule="exact"/>
        <w:rPr>
          <w:rFonts w:ascii="Times New Roman" w:cs="Times New Roman" w:eastAsia="Times New Roman" w:hAnsi="Times New Roman"/>
          <w:sz w:val="18"/>
          <w:szCs w:val="18"/>
          <w:color w:val="auto"/>
        </w:rPr>
      </w:pPr>
    </w:p>
    <w:p>
      <w:pPr>
        <w:ind w:left="964" w:right="660" w:hanging="532"/>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Suppliers to advise us if they determine that any person or entity in their supply chain is directly or indirectly financing or benefiting armed groups in the Covered Countries;</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Suppliers to direct all Smelters in their supply chains to participate in the RMAP or a similar third-party audit program; and</w:t>
      </w:r>
    </w:p>
    <w:p>
      <w:pPr>
        <w:spacing w:after="0" w:line="130" w:lineRule="exact"/>
        <w:rPr>
          <w:rFonts w:ascii="Times New Roman" w:cs="Times New Roman" w:eastAsia="Times New Roman" w:hAnsi="Times New Roman"/>
          <w:sz w:val="18"/>
          <w:szCs w:val="18"/>
          <w:color w:val="auto"/>
        </w:rPr>
      </w:pPr>
    </w:p>
    <w:p>
      <w:pPr>
        <w:ind w:left="964" w:right="500" w:hanging="532"/>
        <w:spacing w:after="0" w:line="282" w:lineRule="auto"/>
        <w:tabs>
          <w:tab w:leader="none" w:pos="9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 various Smelters directly for information if their operating status changed, their RMI status changed, or they have refused to participate in an RMI audit.</w:t>
      </w:r>
    </w:p>
    <w:p>
      <w:pPr>
        <w:spacing w:after="0" w:line="3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VII.  Independent Private Sector Audit</w:t>
      </w:r>
    </w:p>
    <w:p>
      <w:pPr>
        <w:spacing w:after="0" w:line="117"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We obtained an independent private sector audit of this Conflict Minerals Report. The report by Crowe LLP is set forth as Appendix B to this Conflict Minerals Report.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[Intentionally blank]</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70" w:right="479" w:bottom="1440" w:gutter="0" w:footer="0" w:header="0"/>
        </w:sectPr>
      </w:pPr>
    </w:p>
    <w:bookmarkStart w:id="6" w:name="page7"/>
    <w:bookmarkEnd w:id="6"/>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Included in this Appendix A are Smelters that were identified to us by our Suppliers as potentially in our supply chain for 2021. As explained in this Conflict Minerals Report, the presence of a Smelter on the lists in this Appendix A does not mean that TI products necessarily contained CMs processed by that Smelter.</w:t>
      </w:r>
    </w:p>
    <w:p>
      <w:pPr>
        <w:spacing w:after="0" w:line="201" w:lineRule="exact"/>
        <w:rPr>
          <w:sz w:val="20"/>
          <w:szCs w:val="20"/>
          <w:color w:val="auto"/>
        </w:rPr>
      </w:pPr>
    </w:p>
    <w:tbl>
      <w:tblPr>
        <w:tblLayout w:type="fixed"/>
        <w:tblInd w:w="14" w:type="dxa"/>
        <w:tblCellMar>
          <w:top w:w="0" w:type="dxa"/>
          <w:left w:w="0" w:type="dxa"/>
          <w:bottom w:w="0" w:type="dxa"/>
          <w:right w:w="0" w:type="dxa"/>
        </w:tblCellMar>
      </w:tblPr>
      <w:tr>
        <w:trPr>
          <w:trHeight w:val="230"/>
        </w:trPr>
        <w:tc>
          <w:tcPr>
            <w:tcW w:w="9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Table 1</w:t>
            </w:r>
          </w:p>
        </w:tc>
        <w:tc>
          <w:tcPr>
            <w:tcW w:w="676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RMAP compliant Smelters: 233</w:t>
            </w:r>
          </w:p>
        </w:tc>
        <w:tc>
          <w:tcPr>
            <w:tcW w:w="25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 Smelters</w:t>
            </w:r>
          </w:p>
        </w:tc>
        <w:tc>
          <w:tcPr>
            <w:tcW w:w="86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Smelters</w:t>
            </w: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52</w:t>
            </w:r>
          </w:p>
        </w:tc>
      </w:tr>
      <w:tr>
        <w:trPr>
          <w:trHeight w:val="209"/>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 Smelters</w:t>
            </w: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Smelters</w:t>
            </w: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106</w:t>
            </w:r>
          </w:p>
        </w:tc>
      </w:tr>
      <w:tr>
        <w:trPr>
          <w:trHeight w:val="209"/>
        </w:trPr>
        <w:tc>
          <w:tcPr>
            <w:tcW w:w="9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Table 2</w:t>
            </w:r>
          </w:p>
        </w:tc>
        <w:tc>
          <w:tcPr>
            <w:tcW w:w="67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Active Smelters: 10</w:t>
            </w: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 Smelters</w:t>
            </w: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 Smelters</w:t>
            </w: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 Smelters</w:t>
            </w: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0</w:t>
            </w:r>
          </w:p>
        </w:tc>
      </w:tr>
      <w:tr>
        <w:trPr>
          <w:trHeight w:val="209"/>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676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Smelters</w:t>
            </w:r>
          </w:p>
        </w:tc>
        <w:tc>
          <w:tcPr>
            <w:tcW w:w="86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bl>
    <w:p>
      <w:pPr>
        <w:spacing w:after="0" w:line="346"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Table 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Listed below are the 233 Smelters identified to us by our Suppliers as potentially in our supply chain for 2021 that the RMAP has reported as compliant with its RMI standards. On that basis, we have determined that the CMs supplied by these Smelters were conflict-free. The location information is as reported by the RMAP as of February 1, 2022.</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*Smelters that potentially supply the CMs for our ICs.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64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6880" w:type="dxa"/>
            <w:vAlign w:val="bottom"/>
            <w:tcBorders>
              <w:top w:val="single" w:sz="8" w:color="auto"/>
              <w:bottom w:val="single" w:sz="8" w:color="auto"/>
              <w:right w:val="single" w:sz="8" w:color="auto"/>
            </w:tcBorders>
          </w:tcPr>
          <w:p>
            <w:pPr>
              <w:ind w:left="3260"/>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980" w:type="dxa"/>
            <w:vAlign w:val="bottom"/>
            <w:tcBorders>
              <w:top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5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Country Location</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A.L.M.T. Corp.*</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ACL Metais Eireli*</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Chenzhou Diamond Tungsten Products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Cronimet Brasil Ltda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Fujian Ganmin RareMetal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Ganzhou Haichuang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Ganzhou Huaxing Tungsten Products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13.</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14.</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15.</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H.C. Starck Tungsten GmbH*</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17.</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Hunan Chunchang Nonferrous Metals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18.</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Hydrometallurg, JSC*</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19.</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Japan New Metals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22.</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23.</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25.</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26.</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Kennametal Fallon*</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Kennametal Huntsville*</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358"/>
        </w:trPr>
        <w:tc>
          <w:tcPr>
            <w:tcW w:w="640" w:type="dxa"/>
            <w:vAlign w:val="bottom"/>
          </w:tcPr>
          <w:p>
            <w:pPr>
              <w:spacing w:after="0"/>
              <w:rPr>
                <w:sz w:val="24"/>
                <w:szCs w:val="24"/>
                <w:color w:val="auto"/>
              </w:rPr>
            </w:pPr>
          </w:p>
        </w:tc>
        <w:tc>
          <w:tcPr>
            <w:tcW w:w="688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7</w:t>
            </w:r>
          </w:p>
        </w:tc>
        <w:tc>
          <w:tcPr>
            <w:tcW w:w="9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24"/>
          </w:cols>
          <w:pgMar w:left="436"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640" w:type="dxa"/>
            <w:vAlign w:val="bottom"/>
            <w:tcBorders>
              <w:top w:val="single" w:sz="8" w:color="auto"/>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28.</w:t>
            </w:r>
          </w:p>
        </w:tc>
        <w:tc>
          <w:tcPr>
            <w:tcW w:w="688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KGETS Co., Ltd.*</w:t>
            </w:r>
          </w:p>
        </w:tc>
        <w:tc>
          <w:tcPr>
            <w:tcW w:w="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Lianyou Metals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30.</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Masan High-Tech Materials*</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Moliren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33.</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Niagara Refining LLC*</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35.</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36.</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37.</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Wolfram Bergbau und Hütten AG*</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38.</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Xiamen Tungsten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40.</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Xinfeng Huarui Tungsten &amp; Molybdenum New Material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Tungsten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Alpha*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44.</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China Tin Group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45.</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Dowa*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EM Vinto*</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Fenix Metals*</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Gejiu Yunxin Nonferrous Electrolysis Co., Ltd. *</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54.</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Jiangxi New Nasan Technology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Luna Smelter,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RWANDA</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56.</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57.</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58.</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MALAYSIA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Melt Metais e Ligas S.A.*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60.</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Metallic Resources, Inc.*</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Metallo Belgium N.V.*</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62.</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Metallo Spain S.L.U.*</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Mineração Taboca S.A.*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64.</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Minsur*</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PERU</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65.</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66.</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09"/>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68.</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Operaciones Metalurgical S.A.*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BOLIVIA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69.</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PT Artha Cipta Langgeng*</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70.</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40" w:type="dxa"/>
            <w:vAlign w:val="bottom"/>
            <w:tcBorders>
              <w:left w:val="single" w:sz="8" w:color="auto"/>
              <w:bottom w:val="single" w:sz="8" w:color="auto"/>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688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PT Babel Inti Perkasa*</w:t>
            </w:r>
          </w:p>
        </w:tc>
        <w:tc>
          <w:tcPr>
            <w:tcW w:w="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w:t>
            </w:r>
          </w:p>
        </w:tc>
        <w:tc>
          <w:tcPr>
            <w:tcW w:w="25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358"/>
        </w:trPr>
        <w:tc>
          <w:tcPr>
            <w:tcW w:w="640" w:type="dxa"/>
            <w:vAlign w:val="bottom"/>
          </w:tcPr>
          <w:p>
            <w:pPr>
              <w:spacing w:after="0"/>
              <w:rPr>
                <w:sz w:val="24"/>
                <w:szCs w:val="24"/>
                <w:color w:val="auto"/>
              </w:rPr>
            </w:pPr>
          </w:p>
        </w:tc>
        <w:tc>
          <w:tcPr>
            <w:tcW w:w="6880" w:type="dxa"/>
            <w:vAlign w:val="bottom"/>
          </w:tcPr>
          <w:p>
            <w:pPr>
              <w:ind w:left="4820"/>
              <w:spacing w:after="0"/>
              <w:rPr>
                <w:sz w:val="20"/>
                <w:szCs w:val="20"/>
                <w:color w:val="auto"/>
              </w:rPr>
            </w:pPr>
            <w:r>
              <w:rPr>
                <w:rFonts w:ascii="Times New Roman" w:cs="Times New Roman" w:eastAsia="Times New Roman" w:hAnsi="Times New Roman"/>
                <w:sz w:val="18"/>
                <w:szCs w:val="18"/>
                <w:color w:val="auto"/>
              </w:rPr>
              <w:t>8</w:t>
            </w:r>
          </w:p>
        </w:tc>
        <w:tc>
          <w:tcPr>
            <w:tcW w:w="98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72.</w:t>
            </w:r>
          </w:p>
        </w:tc>
        <w:tc>
          <w:tcPr>
            <w:tcW w:w="442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1760" w:type="dxa"/>
            <w:vAlign w:val="bottom"/>
            <w:tcBorders>
              <w:top w:val="single" w:sz="8" w:color="auto"/>
              <w:bottom w:val="single" w:sz="8" w:color="auto"/>
              <w:right w:val="single" w:sz="8" w:color="auto"/>
            </w:tcBorders>
          </w:tcPr>
          <w:p>
            <w:pPr>
              <w:spacing w:after="0"/>
              <w:rPr>
                <w:sz w:val="19"/>
                <w:szCs w:val="19"/>
                <w:color w:val="auto"/>
              </w:rPr>
            </w:pPr>
          </w:p>
        </w:tc>
        <w:tc>
          <w:tcPr>
            <w:tcW w:w="12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73.</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Bangka Serumpun*</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74.</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Menara Cipta Mulia*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75.</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Mitra Stania Prima*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76.</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Prima Timah Utama*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77.</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78.</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Refined Bangka Tin*</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79.</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Sariwiguna Bina Sentosa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80.</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Stanindo Inti Perkasa*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81.</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Timah Tbk Kundur*</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82.</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Timah Tbk Mentok*</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83.</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Tinindo Inter Nusa*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84.</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Resind Indústria e Comércio Ltda.*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85.</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Rui Da Hung*</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86.</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Soft Metais Ltda.*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87.</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 Nguyen Mining and Metallurgy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88.</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Thaisarco*</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89.</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90.</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White Solder Metalurgia e Mineração Ltda.*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91.</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92.</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93.</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AMG Brazil*</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94.</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95.</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 Block Metals, LLC*</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96.</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Exotech Inc.*</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97.</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98.</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FIR Metals &amp; Resource Ltd. *</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99.</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100.</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H.C. Starck Hermsdorf GmbH*</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H.C. Starck Inc.*</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104.</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105.</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106.</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Tanbre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108.</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109.</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KEMET de Mexico*</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110.</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Metallurgical Products India Pvt., Ltd. *</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111.</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Mineração Taboca S.A.*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112.</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113.</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114.</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NPM Silmet AS*</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ESTONIA</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115.</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QuantumClean*</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116.</w:t>
            </w:r>
          </w:p>
        </w:tc>
        <w:tc>
          <w:tcPr>
            <w:tcW w:w="4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Resind Indústria e Comércio Ltda.*</w:t>
            </w:r>
          </w:p>
        </w:tc>
        <w:tc>
          <w:tcPr>
            <w:tcW w:w="176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358"/>
        </w:trPr>
        <w:tc>
          <w:tcPr>
            <w:tcW w:w="6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6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12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Taki Chemical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GmbH*</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Japan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Telex Metals*</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Yanling Jincheng Tantalum * Niobium Co., Ltd. *</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Tantalum</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8853 S.p.A. *</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Allgemeine Gold-und Silberscheideanstalt A.G.*</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AngloGold Ashanti Córrego do Sítio Mineração*</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Argor-Heraeus S.A.*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Pretec Corp.*</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Asahi Refining USA Inc.*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Asaka Riken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Aurubis AG*</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Bangalore Refinery*</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Boliden AB*</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 Hafner GmbH + Co. KG*</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Cendres + Metaux S.A. *</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Chimet S.p.A.*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Chugai Mining*</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DODUCO Contacts and Refining GmbH*</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Dowa*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DSC (Do Sung Corporation)*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Emirates Gold DMCC*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Geib Refining Corporation*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Heimerle + Meule GmbH*</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358"/>
        </w:trPr>
        <w:tc>
          <w:tcPr>
            <w:tcW w:w="680" w:type="dxa"/>
            <w:vAlign w:val="bottom"/>
          </w:tcPr>
          <w:p>
            <w:pPr>
              <w:spacing w:after="0"/>
              <w:rPr>
                <w:sz w:val="24"/>
                <w:szCs w:val="24"/>
                <w:color w:val="auto"/>
              </w:rPr>
            </w:pPr>
          </w:p>
        </w:tc>
        <w:tc>
          <w:tcPr>
            <w:tcW w:w="6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10</w:t>
            </w:r>
          </w:p>
        </w:tc>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163.</w:t>
            </w:r>
          </w:p>
        </w:tc>
        <w:tc>
          <w:tcPr>
            <w:tcW w:w="6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Istanbul Gold Refinery*</w:t>
            </w:r>
          </w:p>
        </w:tc>
        <w:tc>
          <w:tcPr>
            <w:tcW w:w="12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Italpreziosi*</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 Mint*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Jiangxi Copper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JSC Novosibirsk Refinery*</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JSC Uralelectromed*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Kazzinc*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Kojima Chemicals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Zinc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L’Orfebre S.A.*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ANDORRA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LS-NIKKO Copper Inc.*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LT Metal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Marsam Metals *</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Materion*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Matsuda Sangyo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SINGAPORE</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Technologies S.A.*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Metalúrgica Met-Mex Peñoles S.A. De C.V.*</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MMTC-PAMP India Pvt.,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Nadir Metal Rafineri San. Ve Tic. 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TURKEY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UZBEKISTAN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Nihon Material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Ögussa Österreichische Gold- und Silber-Scheideanstalt GmbH*</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AUSTRIA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191"/>
        </w:trPr>
        <w:tc>
          <w:tcPr>
            <w:tcW w:w="680" w:type="dxa"/>
            <w:vAlign w:val="bottom"/>
            <w:tcBorders>
              <w:left w:val="single" w:sz="8" w:color="auto"/>
              <w:right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197.</w:t>
            </w:r>
          </w:p>
        </w:tc>
        <w:tc>
          <w:tcPr>
            <w:tcW w:w="61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OJSC “The Gulidov Krasnoyarsk Non-Ferrous Metals Plant” (OJSC</w:t>
            </w:r>
          </w:p>
        </w:tc>
        <w:tc>
          <w:tcPr>
            <w:tcW w:w="120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RUSSIAN FEDERATION</w:t>
            </w:r>
          </w:p>
        </w:tc>
      </w:tr>
      <w:tr>
        <w:trPr>
          <w:trHeight w:val="234"/>
        </w:trPr>
        <w:tc>
          <w:tcPr>
            <w:tcW w:w="680" w:type="dxa"/>
            <w:vAlign w:val="bottom"/>
            <w:tcBorders>
              <w:left w:val="single" w:sz="8" w:color="auto"/>
              <w:bottom w:val="single" w:sz="8" w:color="auto"/>
              <w:right w:val="single" w:sz="8" w:color="auto"/>
            </w:tcBorders>
          </w:tcPr>
          <w:p>
            <w:pPr>
              <w:spacing w:after="0"/>
              <w:rPr>
                <w:sz w:val="20"/>
                <w:szCs w:val="20"/>
                <w:color w:val="auto"/>
              </w:rPr>
            </w:pP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Krastsvetmet)*</w:t>
            </w:r>
          </w:p>
        </w:tc>
        <w:tc>
          <w:tcPr>
            <w:tcW w:w="1200" w:type="dxa"/>
            <w:vAlign w:val="bottom"/>
            <w:tcBorders>
              <w:bottom w:val="single" w:sz="8" w:color="auto"/>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tcPr>
          <w:p>
            <w:pPr>
              <w:spacing w:after="0"/>
              <w:rPr>
                <w:sz w:val="20"/>
                <w:szCs w:val="20"/>
                <w:color w:val="auto"/>
              </w:rPr>
            </w:pP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PAMP S.A.*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CHILE</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PX Précinox S.A.*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Rand Refinery (Pty)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REMONDIS PMR B.V.*</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NETHERLANDS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Royal Canadian Mint*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CANADA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SAAMP*</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Safimet S.p.A.*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358"/>
        </w:trPr>
        <w:tc>
          <w:tcPr>
            <w:tcW w:w="680" w:type="dxa"/>
            <w:vAlign w:val="bottom"/>
          </w:tcPr>
          <w:p>
            <w:pPr>
              <w:spacing w:after="0"/>
              <w:rPr>
                <w:sz w:val="24"/>
                <w:szCs w:val="24"/>
                <w:color w:val="auto"/>
              </w:rPr>
            </w:pPr>
          </w:p>
        </w:tc>
        <w:tc>
          <w:tcPr>
            <w:tcW w:w="618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tcPr>
          <w:p>
            <w:pPr>
              <w:spacing w:after="0"/>
              <w:rPr>
                <w:sz w:val="24"/>
                <w:szCs w:val="24"/>
                <w:color w:val="auto"/>
              </w:rPr>
            </w:pPr>
          </w:p>
        </w:tc>
        <w:tc>
          <w:tcPr>
            <w:tcW w:w="298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4" w:type="dxa"/>
        <w:tblCellMar>
          <w:top w:w="0" w:type="dxa"/>
          <w:left w:w="0" w:type="dxa"/>
          <w:bottom w:w="0" w:type="dxa"/>
          <w:right w:w="0" w:type="dxa"/>
        </w:tblCellMar>
      </w:tblPr>
      <w:tr>
        <w:trPr>
          <w:trHeight w:val="229"/>
        </w:trPr>
        <w:tc>
          <w:tcPr>
            <w:tcW w:w="680" w:type="dxa"/>
            <w:vAlign w:val="bottom"/>
            <w:tcBorders>
              <w:top w:val="single" w:sz="8" w:color="auto"/>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208.</w:t>
            </w:r>
          </w:p>
        </w:tc>
        <w:tc>
          <w:tcPr>
            <w:tcW w:w="61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SAFINA A.S.*</w:t>
            </w:r>
          </w:p>
        </w:tc>
        <w:tc>
          <w:tcPr>
            <w:tcW w:w="120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CZECHIA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Samduck Precious Metals*</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SAXONIA Edelmetalle GmbH*</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SEMPSA Joyería Platería S.A.*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SPAIN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TAIWAN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SungEel HiMetal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T.C.A S.p.A*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Tokuriki Honten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TOO Tau-Ken-Altyn*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KAZAKHSTAN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Torecom*</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225.</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226.</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227.</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228.</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Valcambi S.A.*</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229.</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Western Australian Mint trading as The Perth Mint*</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WIELAND Edelmetalle GmbH*</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0"/>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Yamakin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232.</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Yokohama Metal Co., Ltd.*</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09"/>
        </w:trPr>
        <w:tc>
          <w:tcPr>
            <w:tcW w:w="680" w:type="dxa"/>
            <w:vAlign w:val="bottom"/>
            <w:tcBorders>
              <w:left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233.</w:t>
            </w:r>
          </w:p>
        </w:tc>
        <w:tc>
          <w:tcPr>
            <w:tcW w:w="61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12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346"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Table 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Listed below are the 10 Smelters identified to us by our Suppliers as potentially in our supply chain for 2021 that have processed CMs of undeterminable origin. These Smelters have all been designated as Active. The location information and Active status are as reported by the RMAP as of February 1, 2022.</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*Smelters that potentially supply the CMs for our ICs.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62"/>
        </w:trPr>
        <w:tc>
          <w:tcPr>
            <w:tcW w:w="6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No.</w:t>
            </w:r>
          </w:p>
        </w:tc>
        <w:tc>
          <w:tcPr>
            <w:tcW w:w="4580" w:type="dxa"/>
            <w:vAlign w:val="bottom"/>
            <w:tcBorders>
              <w:top w:val="single" w:sz="8" w:color="auto"/>
              <w:bottom w:val="single" w:sz="8" w:color="auto"/>
            </w:tcBorders>
          </w:tcPr>
          <w:p>
            <w:pPr>
              <w:ind w:left="2840"/>
              <w:spacing w:after="0"/>
              <w:rPr>
                <w:sz w:val="20"/>
                <w:szCs w:val="20"/>
                <w:color w:val="auto"/>
              </w:rPr>
            </w:pPr>
            <w:r>
              <w:rPr>
                <w:rFonts w:ascii="Times New Roman" w:cs="Times New Roman" w:eastAsia="Times New Roman" w:hAnsi="Times New Roman"/>
                <w:sz w:val="14"/>
                <w:szCs w:val="14"/>
                <w:b w:val="1"/>
                <w:bCs w:val="1"/>
                <w:color w:val="auto"/>
              </w:rPr>
              <w:t>Smelter</w:t>
            </w:r>
          </w:p>
        </w:tc>
        <w:tc>
          <w:tcPr>
            <w:tcW w:w="1500" w:type="dxa"/>
            <w:vAlign w:val="bottom"/>
            <w:tcBorders>
              <w:top w:val="single" w:sz="8" w:color="auto"/>
              <w:bottom w:val="single" w:sz="8" w:color="auto"/>
              <w:right w:val="single" w:sz="8" w:color="auto"/>
            </w:tcBorders>
          </w:tcPr>
          <w:p>
            <w:pPr>
              <w:spacing w:after="0"/>
              <w:rPr>
                <w:sz w:val="14"/>
                <w:szCs w:val="14"/>
                <w:color w:val="auto"/>
              </w:rPr>
            </w:pPr>
          </w:p>
        </w:tc>
        <w:tc>
          <w:tcPr>
            <w:tcW w:w="1080" w:type="dxa"/>
            <w:vAlign w:val="bottom"/>
            <w:tcBorders>
              <w:top w:val="single" w:sz="8" w:color="auto"/>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Metal</w:t>
            </w:r>
          </w:p>
        </w:tc>
        <w:tc>
          <w:tcPr>
            <w:tcW w:w="2320" w:type="dxa"/>
            <w:vAlign w:val="bottom"/>
            <w:tcBorders>
              <w:top w:val="single" w:sz="8" w:color="auto"/>
              <w:bottom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88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Active</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Tungsten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CV Venus Inti Perkasa</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3.</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Estanho de Rondonia S.A.</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Bukit Timah</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Sukses Inti Makmur</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PT Timah Nusantara</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INDONESIA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Super Ligas</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Tin</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4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C.I Metales Procesados Industriales SAS</w:t>
            </w:r>
          </w:p>
        </w:tc>
        <w:tc>
          <w:tcPr>
            <w:tcW w:w="1500" w:type="dxa"/>
            <w:vAlign w:val="bottom"/>
            <w:tcBorders>
              <w:bottom w:val="single" w:sz="8" w:color="auto"/>
              <w:right w:val="single" w:sz="8" w:color="auto"/>
            </w:tcBorders>
          </w:tcPr>
          <w:p>
            <w:pPr>
              <w:spacing w:after="0"/>
              <w:rPr>
                <w:sz w:val="18"/>
                <w:szCs w:val="18"/>
                <w:color w:val="auto"/>
              </w:rPr>
            </w:pPr>
          </w:p>
        </w:tc>
        <w:tc>
          <w:tcPr>
            <w:tcW w:w="10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w:t>
            </w:r>
          </w:p>
        </w:tc>
        <w:tc>
          <w:tcPr>
            <w:tcW w:w="23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COLOMBIA</w:t>
            </w:r>
          </w:p>
        </w:tc>
        <w:tc>
          <w:tcPr>
            <w:tcW w:w="8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358"/>
        </w:trPr>
        <w:tc>
          <w:tcPr>
            <w:tcW w:w="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50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024"/>
          </w:cols>
          <w:pgMar w:left="436" w:top="268" w:right="4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Independent Private Sector Auditor Report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019"/>
          </w:cols>
          <w:pgMar w:left="1440" w:top="270" w:right="1440" w:bottom="1440" w:gutter="0" w:footer="0" w:header="0"/>
        </w:sectPr>
      </w:pPr>
    </w:p>
    <w:bookmarkStart w:id="13" w:name="page14"/>
    <w:bookmarkEnd w:id="13"/>
    <w:p>
      <w:pPr>
        <w:ind w:left="74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37310"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11480"/>
                    </a:xfrm>
                    <a:prstGeom prst="rect">
                      <a:avLst/>
                    </a:prstGeom>
                    <a:noFill/>
                  </pic:spPr>
                </pic:pic>
              </a:graphicData>
            </a:graphic>
          </wp:anchor>
        </w:drawing>
        <w:t>Crowe LLP</w:t>
      </w:r>
    </w:p>
    <w:p>
      <w:pPr>
        <w:spacing w:after="0" w:line="31"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Independent Member Crowe Global</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INDEPENDENT ACCOUNTANT’S REPORT ON CONFLICT MINERALS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examined:</w:t>
      </w:r>
    </w:p>
    <w:p>
      <w:pPr>
        <w:spacing w:after="0" w:line="131" w:lineRule="exact"/>
        <w:rPr>
          <w:sz w:val="20"/>
          <w:szCs w:val="20"/>
          <w:color w:val="auto"/>
        </w:rPr>
      </w:pPr>
    </w:p>
    <w:p>
      <w:pPr>
        <w:ind w:left="860" w:right="60" w:hanging="432"/>
        <w:spacing w:after="0" w:line="258"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design of Texas Instruments Incorporated’s (the “Company”) due diligence framework as set forth in the section titled “Design of Due Diligence” of the Conflict Minerals Report for the reporting period from January 1, 2021 through December 31, 2021, is in conformity, in all material respects, with the criteria set forth in the Organization for Economic Co-Operation and Development Due Diligence Guidance for Responsible Supply Chains of Minerals from Conflict-Affected and High-Risk Areas, Third Edition 2016 (“OECD Due Diligence Guidance”), and</w:t>
      </w:r>
    </w:p>
    <w:p>
      <w:pPr>
        <w:spacing w:after="0" w:line="88" w:lineRule="exact"/>
        <w:rPr>
          <w:rFonts w:ascii="Times New Roman" w:cs="Times New Roman" w:eastAsia="Times New Roman" w:hAnsi="Times New Roman"/>
          <w:sz w:val="18"/>
          <w:szCs w:val="18"/>
          <w:color w:val="auto"/>
        </w:rPr>
      </w:pPr>
    </w:p>
    <w:p>
      <w:pPr>
        <w:ind w:left="860" w:right="200" w:hanging="432"/>
        <w:spacing w:after="0" w:line="266" w:lineRule="auto"/>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Company’s description of the due diligence measures it performed, as set forth in the section titled “Due Diligence Measures Taken” of the Conflict Minerals Report for the reporting period from January 1, 2021 through December 31, 2021, is consistent, in all material respects, with the due diligence process that the Company undertook.</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8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examination was not conducted for the purpose of evaluating:</w:t>
      </w:r>
    </w:p>
    <w:p>
      <w:pPr>
        <w:spacing w:after="0" w:line="131" w:lineRule="exact"/>
        <w:rPr>
          <w:sz w:val="20"/>
          <w:szCs w:val="20"/>
          <w:color w:val="auto"/>
        </w:rPr>
      </w:pPr>
    </w:p>
    <w:p>
      <w:pPr>
        <w:ind w:left="860" w:right="680" w:hanging="432"/>
        <w:spacing w:after="0" w:line="282" w:lineRule="auto"/>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of the due diligence measures that the Company performed with either the design of the Company’s due diligence framework or the OECD Due Diligence Guidance;</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completeness of the Company’s description of the due diligence measures performed;</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suitability of the design or operating effectiveness of the Company’s due diligence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914" w:right="519" w:bottom="1440" w:gutter="0" w:footer="0" w:header="0"/>
        </w:sectPr>
      </w:pPr>
    </w:p>
    <w:bookmarkStart w:id="14" w:name="page15"/>
    <w:bookmarkEnd w:id="14"/>
    <w:p>
      <w:pPr>
        <w:ind w:left="860" w:hanging="432"/>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a third party can determine from the Conflict Minerals Report if the due diligence measures the Company performed are consistent with the OECD Due Diligence Guidance;</w:t>
      </w:r>
    </w:p>
    <w:p>
      <w:pPr>
        <w:spacing w:after="0" w:line="67" w:lineRule="exact"/>
        <w:rPr>
          <w:rFonts w:ascii="Times New Roman" w:cs="Times New Roman" w:eastAsia="Times New Roman" w:hAnsi="Times New Roman"/>
          <w:sz w:val="18"/>
          <w:szCs w:val="18"/>
          <w:color w:val="auto"/>
        </w:rPr>
      </w:pPr>
    </w:p>
    <w:p>
      <w:pPr>
        <w:ind w:left="860" w:hanging="432"/>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reasonable country of origin inquiry (RCOI), including the suitability of the design of the RCOI, its operating effectiveness, or the results thereof; or</w:t>
      </w:r>
    </w:p>
    <w:p>
      <w:pPr>
        <w:spacing w:after="0" w:line="67" w:lineRule="exact"/>
        <w:rPr>
          <w:rFonts w:ascii="Times New Roman" w:cs="Times New Roman" w:eastAsia="Times New Roman" w:hAnsi="Times New Roman"/>
          <w:sz w:val="18"/>
          <w:szCs w:val="18"/>
          <w:color w:val="auto"/>
        </w:rPr>
      </w:pPr>
    </w:p>
    <w:p>
      <w:pPr>
        <w:ind w:left="860" w:right="360" w:hanging="432"/>
        <w:spacing w:after="0" w:line="282" w:lineRule="auto"/>
        <w:tabs>
          <w:tab w:leader="none" w:pos="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conclusions about the source or chain of custody of its conflict minerals, those products subject to due diligence, or the DRC Conflict Free status of its products.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Accordingly, we do not express an opinion or any other form of assurance on the aforementioned matters or any other matters included in any section of the Conflict Minerals Report other than the sections described below.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our opinion,</w:t>
      </w:r>
    </w:p>
    <w:p>
      <w:pPr>
        <w:spacing w:after="0" w:line="131" w:lineRule="exact"/>
        <w:rPr>
          <w:sz w:val="20"/>
          <w:szCs w:val="20"/>
          <w:color w:val="auto"/>
        </w:rPr>
      </w:pPr>
    </w:p>
    <w:p>
      <w:pPr>
        <w:ind w:left="860" w:right="340" w:hanging="432"/>
        <w:spacing w:after="0" w:line="266"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Company’s due diligence framework for the reporting period from January 1, 2021 through December 31, 2021, as set forth in the section titled “Design of Due Diligence” of the Conflict Minerals Report is in conformity with the OECD Due Diligence Guidance, in all material respects and</w:t>
      </w:r>
    </w:p>
    <w:p>
      <w:pPr>
        <w:spacing w:after="0" w:line="81" w:lineRule="exact"/>
        <w:rPr>
          <w:rFonts w:ascii="Times New Roman" w:cs="Times New Roman" w:eastAsia="Times New Roman" w:hAnsi="Times New Roman"/>
          <w:sz w:val="18"/>
          <w:szCs w:val="18"/>
          <w:color w:val="auto"/>
        </w:rPr>
      </w:pPr>
    </w:p>
    <w:p>
      <w:pPr>
        <w:jc w:val="both"/>
        <w:ind w:left="860" w:right="40" w:hanging="432"/>
        <w:spacing w:after="0" w:line="266" w:lineRule="auto"/>
        <w:tabs>
          <w:tab w:leader="none" w:pos="8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description of the due diligence measures it performed, as set forth in the section titled “Due Diligence Measures Taken” of the Conflict Minerals Report for the reporting period from January 1, 2021 through December 31, 2021, is consistent with the due diligence process that the Company undertook,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140335</wp:posOffset>
            </wp:positionV>
            <wp:extent cx="1388745" cy="3600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87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Crowe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9"/>
    </w:lvl>
  </w:abstractNum>
  <w:abstractNum w:abstractNumId="3">
    <w:nsid w:val="140E0F76"/>
    <w:multiLevelType w:val="hybridMultilevel"/>
    <w:lvl w:ilvl="0">
      <w:lvlJc w:val="left"/>
      <w:lvlText w:val="%1."/>
      <w:numFmt w:val="upperLetter"/>
      <w:start w:val="35"/>
    </w:lvl>
  </w:abstractNum>
  <w:abstractNum w:abstractNumId="4">
    <w:nsid w:val="3352255A"/>
    <w:multiLevelType w:val="hybridMultilevel"/>
    <w:lvl w:ilvl="0">
      <w:lvlJc w:val="left"/>
      <w:lvlText w:val="%1."/>
      <w:numFmt w:val="upperLetter"/>
      <w:start w:val="6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bullet"/>
      <w:start w:val="1"/>
    </w:lvl>
  </w:abstractNum>
  <w:abstractNum w:abstractNumId="11">
    <w:nsid w:val="4E6AFB66"/>
    <w:multiLevelType w:val="hybridMultilevel"/>
    <w:lvl w:ilvl="0">
      <w:lvlJc w:val="left"/>
      <w:lvlText w:val="2"/>
      <w:numFmt w:val="bullet"/>
      <w:start w:val="1"/>
    </w:lvl>
  </w:abstractNum>
  <w:abstractNum w:abstractNumId="12">
    <w:nsid w:val="25E45D32"/>
    <w:multiLevelType w:val="hybridMultilevel"/>
    <w:lvl w:ilvl="0">
      <w:lvlJc w:val="left"/>
      <w:lvlText w:val="3"/>
      <w:numFmt w:val="bullet"/>
      <w:start w:val="1"/>
    </w:lvl>
  </w:abstractNum>
  <w:abstractNum w:abstractNumId="13">
    <w:nsid w:val="519B500D"/>
    <w:multiLevelType w:val="hybridMultilevel"/>
    <w:lvl w:ilvl="0">
      <w:lvlJc w:val="left"/>
      <w:lvlText w:val="%1."/>
      <w:numFmt w:val="upperLetter"/>
      <w:start w:val="2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2"/>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2022-05-25T14:42:51Z</dcterms:created>
  <dcterms:modified xsi:type="dcterms:W3CDTF">2022-05-25T14:42:51Z</dcterms:modified>
</cp:coreProperties>
</file>