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6028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2869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TEMPLETON RICHARD K</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0"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11/21/2013</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5" w:lineRule="exact"/>
        <w:rPr>
          <w:sz w:val="24"/>
          <w:szCs w:val="24"/>
          <w:color w:val="auto"/>
        </w:rPr>
      </w:pPr>
    </w:p>
    <w:tbl>
      <w:tblPr>
        <w:tblLayout w:type="fixed"/>
        <w:tblInd w:w="203" w:type="dxa"/>
        <w:tblCellMar>
          <w:top w:w="0" w:type="dxa"/>
          <w:left w:w="0" w:type="dxa"/>
          <w:bottom w:w="0" w:type="dxa"/>
          <w:right w:w="0" w:type="dxa"/>
        </w:tblCellMar>
      </w:tblPr>
      <w:tr>
        <w:trPr>
          <w:trHeight w:val="22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18"/>
          <w:szCs w:val="18"/>
          <w:color w:val="0000FF"/>
        </w:rPr>
        <w:t>Chairman, President &amp; CEO</w:t>
      </w:r>
    </w:p>
    <w:p>
      <w:pPr>
        <w:spacing w:after="0" w:line="267" w:lineRule="exact"/>
        <w:rPr>
          <w:sz w:val="24"/>
          <w:szCs w:val="24"/>
          <w:color w:val="auto"/>
        </w:rPr>
      </w:pPr>
    </w:p>
    <w:p>
      <w:pPr>
        <w:sectPr>
          <w:pgSz w:w="11900" w:h="16838" w:orient="portrait"/>
          <w:cols w:equalWidth="0" w:num="3">
            <w:col w:w="3360" w:space="720"/>
            <w:col w:w="3340" w:space="637"/>
            <w:col w:w="3363"/>
          </w:cols>
          <w:pgMar w:left="240" w:top="220" w:right="239" w:bottom="1440"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shd w:val="clear" w:color="auto" w:fill="9A9A9A"/>
          </w:tcPr>
          <w:p>
            <w:pPr>
              <w:spacing w:after="0"/>
              <w:rPr>
                <w:sz w:val="3"/>
                <w:szCs w:val="3"/>
                <w:color w:val="auto"/>
              </w:rPr>
            </w:pPr>
          </w:p>
        </w:tc>
        <w:tc>
          <w:tcPr>
            <w:tcW w:w="800" w:type="dxa"/>
            <w:vAlign w:val="bottom"/>
            <w:shd w:val="clear" w:color="auto" w:fill="9A9A9A"/>
          </w:tcPr>
          <w:p>
            <w:pPr>
              <w:spacing w:after="0"/>
              <w:rPr>
                <w:sz w:val="3"/>
                <w:szCs w:val="3"/>
                <w:color w:val="auto"/>
              </w:rPr>
            </w:pPr>
          </w:p>
        </w:tc>
        <w:tc>
          <w:tcPr>
            <w:tcW w:w="1820" w:type="dxa"/>
            <w:vAlign w:val="bottom"/>
            <w:shd w:val="clear" w:color="auto" w:fill="9A9A9A"/>
          </w:tcPr>
          <w:p>
            <w:pPr>
              <w:spacing w:after="0"/>
              <w:rPr>
                <w:sz w:val="3"/>
                <w:szCs w:val="3"/>
                <w:color w:val="auto"/>
              </w:rPr>
            </w:pPr>
          </w:p>
        </w:tc>
        <w:tc>
          <w:tcPr>
            <w:tcW w:w="3860" w:type="dxa"/>
            <w:vAlign w:val="bottom"/>
            <w:gridSpan w:val="6"/>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40" w:type="dxa"/>
            <w:vAlign w:val="bottom"/>
            <w:gridSpan w:val="5"/>
            <w:vMerge w:val="restart"/>
          </w:tcPr>
          <w:p>
            <w:pPr>
              <w:ind w:left="2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860" w:type="dxa"/>
            <w:vAlign w:val="bottom"/>
            <w:gridSpan w:val="6"/>
            <w:vMerge w:val="continue"/>
          </w:tcPr>
          <w:p>
            <w:pPr>
              <w:spacing w:after="0"/>
              <w:rPr>
                <w:sz w:val="10"/>
                <w:szCs w:val="10"/>
                <w:color w:val="auto"/>
              </w:rPr>
            </w:pPr>
          </w:p>
        </w:tc>
        <w:tc>
          <w:tcPr>
            <w:tcW w:w="364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280"/>
              <w:spacing w:after="0"/>
              <w:rPr>
                <w:sz w:val="20"/>
                <w:szCs w:val="20"/>
                <w:color w:val="auto"/>
              </w:rPr>
            </w:pPr>
            <w:r>
              <w:rPr>
                <w:rFonts w:ascii="Arial" w:cs="Arial" w:eastAsia="Arial" w:hAnsi="Arial"/>
                <w:sz w:val="14"/>
                <w:szCs w:val="14"/>
                <w:color w:val="auto"/>
              </w:rPr>
              <w:t>Line)</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DALLAS</w:t>
            </w: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TX</w:t>
            </w:r>
          </w:p>
        </w:tc>
        <w:tc>
          <w:tcPr>
            <w:tcW w:w="182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75243</w:t>
            </w:r>
          </w:p>
        </w:tc>
        <w:tc>
          <w:tcPr>
            <w:tcW w:w="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4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980" w:type="dxa"/>
            <w:vAlign w:val="bottom"/>
            <w:gridSpan w:val="4"/>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820" w:type="dxa"/>
            <w:vAlign w:val="bottom"/>
            <w:tcBorders>
              <w:top w:val="single" w:sz="8" w:color="EEEEEE"/>
            </w:tcBorders>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9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240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240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5700" w:type="dxa"/>
            <w:vAlign w:val="bottom"/>
            <w:tcBorders>
              <w:bottom w:val="single" w:sz="8" w:color="2C2C2C"/>
            </w:tcBorders>
            <w:gridSpan w:val="8"/>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118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52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80" w:type="dxa"/>
            <w:vAlign w:val="bottom"/>
            <w:tcBorders>
              <w:bottom w:val="single" w:sz="8" w:color="2C2C2C"/>
            </w:tcBorders>
            <w:gridSpan w:val="3"/>
          </w:tcPr>
          <w:p>
            <w:pPr>
              <w:spacing w:after="0"/>
              <w:rPr>
                <w:sz w:val="3"/>
                <w:szCs w:val="3"/>
                <w:color w:val="auto"/>
              </w:rPr>
            </w:pPr>
          </w:p>
        </w:tc>
        <w:tc>
          <w:tcPr>
            <w:tcW w:w="240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400" w:type="dxa"/>
            <w:vAlign w:val="bottom"/>
            <w:gridSpan w:val="2"/>
          </w:tcPr>
          <w:p>
            <w:pPr>
              <w:ind w:left="13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0" w:type="dxa"/>
            <w:vAlign w:val="bottom"/>
            <w:gridSpan w:val="2"/>
          </w:tcPr>
          <w:p>
            <w:pPr>
              <w:ind w:left="134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0" w:type="dxa"/>
            <w:vAlign w:val="bottom"/>
            <w:gridSpan w:val="2"/>
          </w:tcPr>
          <w:p>
            <w:pPr>
              <w:ind w:left="13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gridSpan w:val="2"/>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800" w:type="dxa"/>
            <w:vAlign w:val="bottom"/>
          </w:tcPr>
          <w:p>
            <w:pPr>
              <w:spacing w:after="0"/>
              <w:rPr>
                <w:sz w:val="23"/>
                <w:szCs w:val="23"/>
                <w:color w:val="auto"/>
              </w:rPr>
            </w:pPr>
          </w:p>
        </w:tc>
        <w:tc>
          <w:tcPr>
            <w:tcW w:w="24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0000FF"/>
              </w:rPr>
              <w:t>11/21/2013</w:t>
            </w:r>
          </w:p>
        </w:tc>
        <w:tc>
          <w:tcPr>
            <w:tcW w:w="11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4"/>
                <w:szCs w:val="14"/>
                <w:color w:val="0000FF"/>
              </w:rPr>
              <w:t>G</w:t>
            </w:r>
          </w:p>
        </w:tc>
        <w:tc>
          <w:tcPr>
            <w:tcW w:w="380" w:type="dxa"/>
            <w:vAlign w:val="bottom"/>
          </w:tcPr>
          <w:p>
            <w:pPr>
              <w:ind w:left="140"/>
              <w:spacing w:after="0"/>
              <w:rPr>
                <w:sz w:val="20"/>
                <w:szCs w:val="20"/>
                <w:color w:val="auto"/>
              </w:rPr>
            </w:pPr>
            <w:r>
              <w:rPr>
                <w:rFonts w:ascii="Times New Roman" w:cs="Times New Roman" w:eastAsia="Times New Roman" w:hAnsi="Times New Roman"/>
                <w:sz w:val="14"/>
                <w:szCs w:val="14"/>
                <w:color w:val="0000FF"/>
              </w:rPr>
              <w:t>V</w:t>
            </w:r>
          </w:p>
        </w:tc>
        <w:tc>
          <w:tcPr>
            <w:tcW w:w="78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72,000</w:t>
            </w: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D</w:t>
            </w:r>
          </w:p>
        </w:tc>
        <w:tc>
          <w:tcPr>
            <w:tcW w:w="660" w:type="dxa"/>
            <w:vAlign w:val="bottom"/>
          </w:tcPr>
          <w:p>
            <w:pPr>
              <w:ind w:left="26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7"/>
              </w:rPr>
              <w:t>1,263,189</w:t>
            </w:r>
          </w:p>
        </w:tc>
        <w:tc>
          <w:tcPr>
            <w:tcW w:w="96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3"/>
              </w:rPr>
              <w:t>43,056</w:t>
            </w:r>
            <w:r>
              <w:rPr>
                <w:rFonts w:ascii="Times New Roman" w:cs="Times New Roman" w:eastAsia="Times New Roman" w:hAnsi="Times New Roman"/>
                <w:sz w:val="22"/>
                <w:szCs w:val="22"/>
                <w:color w:val="008000"/>
                <w:w w:val="93"/>
                <w:vertAlign w:val="superscript"/>
              </w:rPr>
              <w:t>(1)</w:t>
            </w:r>
          </w:p>
        </w:tc>
        <w:tc>
          <w:tcPr>
            <w:tcW w:w="96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0000FF"/>
              </w:rPr>
              <w:t>I</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0000FF"/>
              </w:rPr>
              <w:t>Children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line="216" w:lineRule="exact"/>
              <w:rPr>
                <w:sz w:val="20"/>
                <w:szCs w:val="20"/>
                <w:color w:val="auto"/>
              </w:rPr>
            </w:pPr>
            <w:r>
              <w:rPr>
                <w:rFonts w:ascii="Times New Roman" w:cs="Times New Roman" w:eastAsia="Times New Roman" w:hAnsi="Times New Roman"/>
                <w:sz w:val="18"/>
                <w:szCs w:val="18"/>
                <w:color w:val="0000FF"/>
                <w:w w:val="93"/>
              </w:rPr>
              <w:t>294.85</w:t>
            </w:r>
            <w:r>
              <w:rPr>
                <w:rFonts w:ascii="Times New Roman" w:cs="Times New Roman" w:eastAsia="Times New Roman" w:hAnsi="Times New Roman"/>
                <w:sz w:val="22"/>
                <w:szCs w:val="22"/>
                <w:color w:val="008000"/>
                <w:w w:val="93"/>
                <w:vertAlign w:val="superscript"/>
              </w:rPr>
              <w:t>(2)</w:t>
            </w:r>
          </w:p>
        </w:tc>
        <w:tc>
          <w:tcPr>
            <w:tcW w:w="960" w:type="dxa"/>
            <w:vAlign w:val="bottom"/>
          </w:tcPr>
          <w:p>
            <w:pPr>
              <w:ind w:left="480"/>
              <w:spacing w:after="0"/>
              <w:rPr>
                <w:sz w:val="20"/>
                <w:szCs w:val="20"/>
                <w:color w:val="auto"/>
              </w:rPr>
            </w:pPr>
            <w:r>
              <w:rPr>
                <w:rFonts w:ascii="Times New Roman" w:cs="Times New Roman" w:eastAsia="Times New Roman" w:hAnsi="Times New Roman"/>
                <w:sz w:val="18"/>
                <w:szCs w:val="18"/>
                <w:color w:val="0000FF"/>
              </w:rPr>
              <w:t>I</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0000FF"/>
              </w:rPr>
              <w:t>Trust-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0000FF"/>
              </w:rPr>
              <w:t>-401(k)</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line="216" w:lineRule="exact"/>
              <w:rPr>
                <w:sz w:val="20"/>
                <w:szCs w:val="20"/>
                <w:color w:val="auto"/>
              </w:rPr>
            </w:pPr>
            <w:r>
              <w:rPr>
                <w:rFonts w:ascii="Times New Roman" w:cs="Times New Roman" w:eastAsia="Times New Roman" w:hAnsi="Times New Roman"/>
                <w:sz w:val="18"/>
                <w:szCs w:val="18"/>
                <w:color w:val="0000FF"/>
                <w:w w:val="94"/>
              </w:rPr>
              <w:t>12,144.14</w:t>
            </w:r>
            <w:r>
              <w:rPr>
                <w:rFonts w:ascii="Times New Roman" w:cs="Times New Roman" w:eastAsia="Times New Roman" w:hAnsi="Times New Roman"/>
                <w:sz w:val="22"/>
                <w:szCs w:val="22"/>
                <w:color w:val="008000"/>
                <w:w w:val="94"/>
                <w:vertAlign w:val="superscript"/>
              </w:rPr>
              <w:t>(3)</w:t>
            </w:r>
          </w:p>
        </w:tc>
        <w:tc>
          <w:tcPr>
            <w:tcW w:w="960" w:type="dxa"/>
            <w:vAlign w:val="bottom"/>
          </w:tcPr>
          <w:p>
            <w:pPr>
              <w:ind w:left="480"/>
              <w:spacing w:after="0"/>
              <w:rPr>
                <w:sz w:val="20"/>
                <w:szCs w:val="20"/>
                <w:color w:val="auto"/>
              </w:rPr>
            </w:pPr>
            <w:r>
              <w:rPr>
                <w:rFonts w:ascii="Times New Roman" w:cs="Times New Roman" w:eastAsia="Times New Roman" w:hAnsi="Times New Roman"/>
                <w:sz w:val="18"/>
                <w:szCs w:val="18"/>
                <w:color w:val="0000FF"/>
              </w:rPr>
              <w:t>I</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0000FF"/>
              </w:rPr>
              <w:t>Trust--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0000FF"/>
              </w:rPr>
              <w:t>PS</w:t>
            </w: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7"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vMerge w:val="continue"/>
          </w:tcPr>
          <w:p>
            <w:pPr>
              <w:spacing w:after="0"/>
              <w:rPr>
                <w:sz w:val="14"/>
                <w:szCs w:val="14"/>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Beneficial ownership by reporting person disclaimed.</w:t>
      </w:r>
    </w:p>
    <w:p>
      <w:pPr>
        <w:spacing w:after="0" w:line="41" w:lineRule="exact"/>
        <w:rPr>
          <w:rFonts w:ascii="Times New Roman" w:cs="Times New Roman" w:eastAsia="Times New Roman" w:hAnsi="Times New Roman"/>
          <w:sz w:val="14"/>
          <w:szCs w:val="14"/>
          <w:color w:val="008000"/>
        </w:rPr>
      </w:pPr>
    </w:p>
    <w:p>
      <w:pPr>
        <w:ind w:left="40" w:right="28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Estimated shares attributable to TI 401(k) Account as of 9-30-2013. (Interests in this account are denominated in units. Consequently, share amount shown is an estimate.) This statement does not include changes in beneficial ownership of shares held in this account occurring after 9-30-2013 that are eligible for deferred reporting on Form 5.</w:t>
      </w:r>
    </w:p>
    <w:p>
      <w:pPr>
        <w:spacing w:after="0" w:line="27" w:lineRule="exact"/>
        <w:rPr>
          <w:rFonts w:ascii="Times New Roman" w:cs="Times New Roman" w:eastAsia="Times New Roman" w:hAnsi="Times New Roman"/>
          <w:sz w:val="14"/>
          <w:szCs w:val="14"/>
          <w:color w:val="008000"/>
        </w:rPr>
      </w:pPr>
    </w:p>
    <w:p>
      <w:pPr>
        <w:ind w:left="40" w:right="8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Estimated shares attributable to TI Universal Profit Sharing Account as of 9-30-13. (Interests in this account are denominated in units. Consequently, share amount shown is an estimate.) This statement does not include changes in beneficial ownership of shares held in such account occurring after 9-30-13 that are eligible for deferred reporting on Form 5.</w:t>
      </w:r>
    </w:p>
    <w:p>
      <w:pPr>
        <w:spacing w:after="0" w:line="36"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/s/ Daniel M. Drory, Attorney</w:t>
            </w:r>
          </w:p>
        </w:tc>
        <w:tc>
          <w:tcPr>
            <w:tcW w:w="10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0000FF"/>
                <w:w w:val="95"/>
              </w:rPr>
              <w:t>12/04/2013</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In 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2019-12-17T02:17:33Z</dcterms:created>
  <dcterms:modified xsi:type="dcterms:W3CDTF">2019-12-17T02:17:33Z</dcterms:modified>
</cp:coreProperties>
</file>