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 2009</w:t>
      </w:r>
    </w:p>
    <w:p>
      <w:pPr>
        <w:spacing w:after="0" w:line="27" w:lineRule="exact"/>
        <w:rPr>
          <w:sz w:val="24"/>
          <w:szCs w:val="24"/>
          <w:color w:val="auto"/>
        </w:rPr>
      </w:pPr>
    </w:p>
    <w:p>
      <w:pPr>
        <w:ind w:left="9620"/>
        <w:spacing w:after="0"/>
        <w:rPr>
          <w:sz w:val="20"/>
          <w:szCs w:val="20"/>
          <w:color w:val="auto"/>
        </w:rPr>
      </w:pPr>
      <w:r>
        <w:rPr>
          <w:rFonts w:ascii="Arial" w:cs="Arial" w:eastAsia="Arial" w:hAnsi="Arial"/>
          <w:sz w:val="18"/>
          <w:szCs w:val="18"/>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3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75-0289970</w:t>
            </w:r>
          </w:p>
        </w:tc>
      </w:tr>
      <w:tr>
        <w:trPr>
          <w:trHeight w:val="216"/>
        </w:trPr>
        <w:tc>
          <w:tcPr>
            <w:tcW w:w="43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0"/>
              </w:rPr>
              <w:t>(State or other jurisdiction of</w:t>
            </w:r>
          </w:p>
        </w:tc>
        <w:tc>
          <w:tcPr>
            <w:tcW w:w="3400" w:type="dxa"/>
            <w:vAlign w:val="bottom"/>
          </w:tcPr>
          <w:p>
            <w:pPr>
              <w:jc w:val="center"/>
              <w:ind w:left="18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3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incorporation or organization)</w:t>
            </w:r>
          </w:p>
        </w:tc>
        <w:tc>
          <w:tcPr>
            <w:tcW w:w="3400" w:type="dxa"/>
            <w:vAlign w:val="bottom"/>
          </w:tcPr>
          <w:p>
            <w:pPr>
              <w:jc w:val="center"/>
              <w:ind w:left="189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655474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75265-5474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2009 Director Compensation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F. Hubach,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75265-0199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972-995-3773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Large accelerated filer S</w:t>
            </w:r>
          </w:p>
        </w:tc>
        <w:tc>
          <w:tcPr>
            <w:tcW w:w="1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520" w:type="dxa"/>
            <w:vAlign w:val="bottom"/>
            <w:gridSpan w:val="2"/>
          </w:tcPr>
          <w:p>
            <w:pPr>
              <w:ind w:left="1160"/>
              <w:spacing w:after="0"/>
              <w:rPr>
                <w:sz w:val="20"/>
                <w:szCs w:val="20"/>
                <w:color w:val="auto"/>
              </w:rPr>
            </w:pPr>
            <w:r>
              <w:rPr>
                <w:rFonts w:ascii="Arial" w:cs="Arial" w:eastAsia="Arial" w:hAnsi="Arial"/>
                <w:sz w:val="18"/>
                <w:szCs w:val="18"/>
                <w:color w:val="auto"/>
              </w:rPr>
              <w:t>Accelerated filer</w:t>
            </w:r>
          </w:p>
        </w:tc>
        <w:tc>
          <w:tcPr>
            <w:tcW w:w="140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Non-accelerated filer</w:t>
            </w:r>
          </w:p>
        </w:tc>
        <w:tc>
          <w:tcPr>
            <w:tcW w:w="3920" w:type="dxa"/>
            <w:vAlign w:val="bottom"/>
            <w:gridSpan w:val="2"/>
          </w:tcPr>
          <w:p>
            <w:pPr>
              <w:ind w:left="400"/>
              <w:spacing w:after="0"/>
              <w:rPr>
                <w:sz w:val="20"/>
                <w:szCs w:val="20"/>
                <w:color w:val="auto"/>
              </w:rPr>
            </w:pPr>
            <w:r>
              <w:rPr>
                <w:rFonts w:ascii="Arial" w:cs="Arial" w:eastAsia="Arial" w:hAnsi="Arial"/>
                <w:sz w:val="18"/>
                <w:szCs w:val="18"/>
                <w:color w:val="auto"/>
                <w:w w:val="96"/>
              </w:rPr>
              <w:t>(Do not check if a smaller reporting company)</w:t>
            </w:r>
          </w:p>
        </w:tc>
        <w:tc>
          <w:tcPr>
            <w:tcW w:w="3520" w:type="dxa"/>
            <w:vAlign w:val="bottom"/>
            <w:gridSpan w:val="2"/>
          </w:tcPr>
          <w:p>
            <w:pPr>
              <w:ind w:left="1160"/>
              <w:spacing w:after="0"/>
              <w:rPr>
                <w:sz w:val="20"/>
                <w:szCs w:val="20"/>
                <w:color w:val="auto"/>
              </w:rPr>
            </w:pPr>
            <w:r>
              <w:rPr>
                <w:rFonts w:ascii="Arial" w:cs="Arial" w:eastAsia="Arial" w:hAnsi="Arial"/>
                <w:sz w:val="18"/>
                <w:szCs w:val="18"/>
                <w:color w:val="auto"/>
              </w:rPr>
              <w:t>Smaller reporting company</w:t>
            </w:r>
          </w:p>
        </w:tc>
        <w:tc>
          <w:tcPr>
            <w:tcW w:w="1400" w:type="dxa"/>
            <w:vAlign w:val="bottom"/>
          </w:tcPr>
          <w:p>
            <w:pPr>
              <w:spacing w:after="0"/>
              <w:rPr>
                <w:sz w:val="20"/>
                <w:szCs w:val="20"/>
                <w:color w:val="auto"/>
              </w:rPr>
            </w:pPr>
          </w:p>
        </w:tc>
      </w:tr>
      <w:tr>
        <w:trPr>
          <w:trHeight w:val="459"/>
        </w:trPr>
        <w:tc>
          <w:tcPr>
            <w:tcW w:w="2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b w:val="1"/>
                <w:bCs w:val="1"/>
                <w:color w:val="auto"/>
              </w:rPr>
              <w:t>CALCULATION OF REGISTRATION FEE</w:t>
            </w: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2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Proposed</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40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Maximum</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140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2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40" w:type="dxa"/>
            <w:vAlign w:val="bottom"/>
          </w:tcPr>
          <w:p>
            <w:pPr>
              <w:ind w:left="1260"/>
              <w:spacing w:after="0"/>
              <w:rPr>
                <w:sz w:val="20"/>
                <w:szCs w:val="20"/>
                <w:color w:val="auto"/>
              </w:rPr>
            </w:pPr>
            <w:r>
              <w:rPr>
                <w:rFonts w:ascii="Arial" w:cs="Arial" w:eastAsia="Arial" w:hAnsi="Arial"/>
                <w:sz w:val="18"/>
                <w:szCs w:val="18"/>
                <w:b w:val="1"/>
                <w:bCs w:val="1"/>
                <w:color w:val="auto"/>
              </w:rPr>
              <w:t>Amount to be</w:t>
            </w:r>
          </w:p>
        </w:tc>
        <w:tc>
          <w:tcPr>
            <w:tcW w:w="16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Offering Price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40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Registration</w:t>
            </w:r>
          </w:p>
        </w:tc>
      </w:tr>
      <w:tr>
        <w:trPr>
          <w:trHeight w:val="241"/>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Title of Each Class of Securities to be Registered</w:t>
            </w:r>
          </w:p>
        </w:tc>
        <w:tc>
          <w:tcPr>
            <w:tcW w:w="26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Registered*</w:t>
            </w:r>
          </w:p>
        </w:tc>
        <w:tc>
          <w:tcPr>
            <w:tcW w:w="1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Per Share**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Offering Price**</w:t>
            </w:r>
          </w:p>
        </w:tc>
        <w:tc>
          <w:tcPr>
            <w:tcW w:w="14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7"/>
              </w:rPr>
              <w:t>Fee**</w:t>
            </w:r>
          </w:p>
        </w:tc>
      </w:tr>
      <w:tr>
        <w:trPr>
          <w:trHeight w:val="223"/>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($1 par value)</w:t>
            </w:r>
          </w:p>
        </w:tc>
        <w:tc>
          <w:tcPr>
            <w:tcW w:w="12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2,000,000</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$17.345</w:t>
            </w:r>
          </w:p>
        </w:tc>
        <w:tc>
          <w:tcPr>
            <w:tcW w:w="1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$34,690,000</w:t>
            </w:r>
          </w:p>
        </w:tc>
        <w:tc>
          <w:tcPr>
            <w:tcW w:w="14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0"/>
              </w:rPr>
              <w:t>$1935.70</w:t>
            </w:r>
          </w:p>
        </w:tc>
      </w:tr>
    </w:tbl>
    <w:p>
      <w:pPr>
        <w:spacing w:after="0" w:line="200" w:lineRule="exact"/>
        <w:rPr>
          <w:sz w:val="24"/>
          <w:szCs w:val="24"/>
          <w:color w:val="auto"/>
        </w:rPr>
      </w:pPr>
    </w:p>
    <w:p>
      <w:pPr>
        <w:spacing w:after="0" w:line="272" w:lineRule="exact"/>
        <w:rPr>
          <w:sz w:val="24"/>
          <w:szCs w:val="24"/>
          <w:color w:val="auto"/>
        </w:rPr>
      </w:pPr>
    </w:p>
    <w:p>
      <w:pPr>
        <w:ind w:left="500" w:right="300" w:hanging="492"/>
        <w:spacing w:after="0" w:line="258"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an indeterminate number of additional shares which may be offered or issued to prevent dilution resulting from stock splits, stock dividends or similar transactions.</w:t>
      </w:r>
    </w:p>
    <w:p>
      <w:pPr>
        <w:spacing w:after="0" w:line="1" w:lineRule="exact"/>
        <w:rPr>
          <w:sz w:val="24"/>
          <w:szCs w:val="24"/>
          <w:color w:val="auto"/>
        </w:rPr>
      </w:pPr>
    </w:p>
    <w:p>
      <w:pPr>
        <w:ind w:left="500" w:right="80" w:hanging="492"/>
        <w:spacing w:after="0" w:line="261"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Computed on the basis of the average of the high and low prices for the common stock on April 29, 2009, which is used in the estimated offering price solely for the purpose of determining the registration fee in accordance with Rule 457 under the Securities Act of 1933.</w:t>
      </w:r>
    </w:p>
    <w:p>
      <w:pPr>
        <w:sectPr>
          <w:pgSz w:w="11900" w:h="16838" w:orient="portrait"/>
          <w:cols w:equalWidth="0" w:num="1">
            <w:col w:w="11420"/>
          </w:cols>
          <w:pgMar w:left="240" w:top="715"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Incorporation of Documents by Reference</w:t>
      </w:r>
    </w:p>
    <w:p>
      <w:pPr>
        <w:spacing w:after="0" w:line="25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following documents have been filed by Texas Instruments Incorporated (the “Company”) with the Securities and Exchange Commission (the “Commission”) pursuant to the Securities Exchange Act of 1934 (the “Exchange Act”) and are incorporated herein by reference and made a part of this registration statement:</w:t>
      </w:r>
    </w:p>
    <w:p>
      <w:pPr>
        <w:spacing w:after="0" w:line="208"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2008;</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2009;</w:t>
      </w:r>
    </w:p>
    <w:p>
      <w:pPr>
        <w:spacing w:after="0" w:line="252" w:lineRule="exact"/>
        <w:rPr>
          <w:rFonts w:ascii="Arial" w:cs="Arial" w:eastAsia="Arial" w:hAnsi="Arial"/>
          <w:sz w:val="18"/>
          <w:szCs w:val="18"/>
          <w:color w:val="auto"/>
        </w:rPr>
      </w:pPr>
    </w:p>
    <w:p>
      <w:pPr>
        <w:ind w:right="440" w:firstLine="8"/>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Current Reports on Form 8-K filed January 7, 2009, January 26, 2009, March 9, 2009, March 19, 2009; April 17, 2009 and April 20, 2009; and</w:t>
      </w:r>
    </w:p>
    <w:p>
      <w:pPr>
        <w:spacing w:after="0" w:line="197" w:lineRule="exact"/>
        <w:rPr>
          <w:rFonts w:ascii="Arial" w:cs="Arial" w:eastAsia="Arial" w:hAnsi="Arial"/>
          <w:sz w:val="18"/>
          <w:szCs w:val="18"/>
          <w:color w:val="auto"/>
        </w:rPr>
      </w:pPr>
    </w:p>
    <w:p>
      <w:pPr>
        <w:ind w:right="80" w:firstLine="8"/>
        <w:spacing w:after="0" w:line="308"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description of the Company’s common stock contained in its Registration Statements on Form 10 filed with the Commission pursuant to Section 12 of the Exchange Act together with any amendment or report filed with the Commission for the purpose of updating such description.</w:t>
      </w:r>
    </w:p>
    <w:p>
      <w:pPr>
        <w:spacing w:after="0" w:line="17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Item 4. Description of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of Named Experts and Counsel</w:t>
      </w:r>
    </w:p>
    <w:p>
      <w:pPr>
        <w:spacing w:after="0" w:line="252"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Joseph F. Hubach, Senior Vice President and General Counsel of the Company, has given an opinion on the validity of the security being registered. Mr. Hubach beneficially owns common stock of the Company and, as a participant in the Company’s equity compensation plans, holds options and restricted stock units for Company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Item 6. Indemnification of Directors and Officers</w:t>
      </w:r>
    </w:p>
    <w:p>
      <w:pPr>
        <w:spacing w:after="0" w:line="2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such person shall be indemnified against expenses (including attorneys’ fees) actually and reasonably incurred by such person in connection therewith. The determination that the person to be indemnified met the applicable standard of conduct, if not made by a court and if such person is a director or officer at the time of such determination,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21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above-described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1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19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Seventh of the Company’s Restated Certificate of Incorporation contains such a provision.</w:t>
      </w:r>
    </w:p>
    <w:p>
      <w:pPr>
        <w:sectPr>
          <w:pgSz w:w="11900" w:h="16838" w:orient="portrait"/>
          <w:cols w:equalWidth="0" w:num="1">
            <w:col w:w="11420"/>
          </w:cols>
          <w:pgMar w:left="240" w:top="517" w:right="239" w:bottom="0" w:gutter="0" w:footer="0" w:header="0"/>
        </w:sectPr>
      </w:pPr>
    </w:p>
    <w:bookmarkStart w:id="3" w:name="page4"/>
    <w:bookmarkEnd w:id="3"/>
    <w:p>
      <w:pPr>
        <w:spacing w:after="0" w:line="342" w:lineRule="auto"/>
        <w:rPr>
          <w:sz w:val="20"/>
          <w:szCs w:val="20"/>
          <w:color w:val="auto"/>
        </w:rPr>
      </w:pPr>
      <w:r>
        <w:rPr>
          <w:rFonts w:ascii="Arial" w:cs="Arial" w:eastAsia="Arial" w:hAnsi="Arial"/>
          <w:sz w:val="16"/>
          <w:szCs w:val="16"/>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39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25" w:right="7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Item 7. Exemption from Registration Claimed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252" w:lineRule="exact"/>
        <w:rPr>
          <w:sz w:val="20"/>
          <w:szCs w:val="20"/>
          <w:color w:val="auto"/>
        </w:rPr>
      </w:pPr>
    </w:p>
    <w:p>
      <w:pPr>
        <w:ind w:right="8200" w:firstLine="8"/>
        <w:spacing w:after="0" w:line="291" w:lineRule="auto"/>
        <w:tabs>
          <w:tab w:leader="none" w:pos="675" w:val="left"/>
        </w:tabs>
        <w:numPr>
          <w:ilvl w:val="0"/>
          <w:numId w:val="4"/>
        </w:numPr>
        <w:rPr>
          <w:rFonts w:ascii="Arial" w:cs="Arial" w:eastAsia="Arial" w:hAnsi="Arial"/>
          <w:sz w:val="16"/>
          <w:szCs w:val="16"/>
          <w:color w:val="auto"/>
        </w:rPr>
      </w:pPr>
      <w:r>
        <w:rPr>
          <w:rFonts w:ascii="Arial" w:cs="Arial" w:eastAsia="Arial" w:hAnsi="Arial"/>
          <w:sz w:val="16"/>
          <w:szCs w:val="16"/>
          <w:color w:val="auto"/>
        </w:rPr>
        <w:t>Opinion of Joseph F. Hubach, Esq. 23(a) Consent of Ernst &amp; Young LLP.</w:t>
      </w:r>
    </w:p>
    <w:p>
      <w:pPr>
        <w:spacing w:after="0"/>
        <w:rPr>
          <w:rFonts w:ascii="Arial" w:cs="Arial" w:eastAsia="Arial" w:hAnsi="Arial"/>
          <w:sz w:val="16"/>
          <w:szCs w:val="16"/>
          <w:color w:val="auto"/>
        </w:rPr>
      </w:pPr>
      <w:r>
        <w:rPr>
          <w:rFonts w:ascii="Arial" w:cs="Arial" w:eastAsia="Arial" w:hAnsi="Arial"/>
          <w:sz w:val="18"/>
          <w:szCs w:val="18"/>
          <w:color w:val="auto"/>
        </w:rPr>
        <w:t>23(b)</w:t>
      </w:r>
      <w:r>
        <w:rPr>
          <w:rFonts w:ascii="Arial" w:cs="Arial" w:eastAsia="Arial" w:hAnsi="Arial"/>
          <w:sz w:val="16"/>
          <w:szCs w:val="16"/>
          <w:color w:val="auto"/>
        </w:rPr>
        <w:t>Consent of Joseph F. Hubach, Esq. (included in Exhibit 5).</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24</w:t>
      </w:r>
      <w:r>
        <w:rPr>
          <w:rFonts w:ascii="Arial" w:cs="Arial" w:eastAsia="Arial" w:hAnsi="Arial"/>
          <w:sz w:val="16"/>
          <w:szCs w:val="16"/>
          <w:color w:val="auto"/>
        </w:rPr>
        <w:t>Power of Attorney (included on signature pages).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Item 9. Undertakings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undertakes:</w:t>
      </w:r>
    </w:p>
    <w:p>
      <w:pPr>
        <w:spacing w:after="0" w:line="252" w:lineRule="exact"/>
        <w:rPr>
          <w:sz w:val="20"/>
          <w:szCs w:val="20"/>
          <w:color w:val="auto"/>
        </w:rPr>
      </w:pPr>
    </w:p>
    <w:p>
      <w:pPr>
        <w:ind w:left="180" w:right="340" w:hanging="10"/>
        <w:spacing w:after="0" w:line="277" w:lineRule="auto"/>
        <w:tabs>
          <w:tab w:leader="none" w:pos="4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the securities registered hereby, a post-effective amendment to this registration statement:</w:t>
      </w:r>
    </w:p>
    <w:p>
      <w:pPr>
        <w:spacing w:after="0" w:line="197" w:lineRule="exact"/>
        <w:rPr>
          <w:sz w:val="20"/>
          <w:szCs w:val="20"/>
          <w:color w:val="auto"/>
        </w:rPr>
      </w:pPr>
    </w:p>
    <w:p>
      <w:pPr>
        <w:ind w:left="380" w:hanging="21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80" w:hanging="10"/>
        <w:spacing w:after="0" w:line="342" w:lineRule="auto"/>
        <w:tabs>
          <w:tab w:leader="none" w:pos="445"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50" w:lineRule="exact"/>
        <w:rPr>
          <w:rFonts w:ascii="Arial" w:cs="Arial" w:eastAsia="Arial" w:hAnsi="Arial"/>
          <w:sz w:val="16"/>
          <w:szCs w:val="16"/>
          <w:color w:val="auto"/>
        </w:rPr>
      </w:pPr>
    </w:p>
    <w:p>
      <w:pPr>
        <w:ind w:left="180" w:right="480" w:hanging="10"/>
        <w:spacing w:after="0" w:line="27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97" w:lineRule="exact"/>
        <w:rPr>
          <w:sz w:val="20"/>
          <w:szCs w:val="20"/>
          <w:color w:val="auto"/>
        </w:rPr>
      </w:pPr>
    </w:p>
    <w:p>
      <w:pPr>
        <w:ind w:left="180" w:right="240"/>
        <w:spacing w:after="0" w:line="264" w:lineRule="auto"/>
        <w:rPr>
          <w:sz w:val="20"/>
          <w:szCs w:val="20"/>
          <w:color w:val="auto"/>
        </w:rPr>
      </w:pPr>
      <w:r>
        <w:rPr>
          <w:rFonts w:ascii="Arial" w:cs="Arial" w:eastAsia="Arial" w:hAnsi="Arial"/>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208" w:lineRule="exact"/>
        <w:rPr>
          <w:sz w:val="20"/>
          <w:szCs w:val="20"/>
          <w:color w:val="auto"/>
        </w:rPr>
      </w:pPr>
    </w:p>
    <w:p>
      <w:pPr>
        <w:ind w:left="180" w:right="260" w:hanging="10"/>
        <w:spacing w:after="0" w:line="264" w:lineRule="auto"/>
        <w:tabs>
          <w:tab w:leader="none" w:pos="4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left="180" w:right="200" w:hanging="10"/>
        <w:spacing w:after="0" w:line="277" w:lineRule="auto"/>
        <w:tabs>
          <w:tab w:leader="none" w:pos="4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Company pursuant to the provisions set forth or described in Item 6 of this registration statement, or otherwise,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5" w:name="page6"/>
    <w:bookmarkEnd w:id="5"/>
    <w:p>
      <w:pPr>
        <w:jc w:val="center"/>
        <w:ind w:right="-19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30th day of April,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568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670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60" w:right="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POWER OF ATTORNEY</w:t>
      </w:r>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KNOW ALL MEN BY THESE PRESENTS, that the undersigned constitutes and appoints RICHARD K. TEMPLETON, JOSEPH F. HUBACH and KEVIN P. MARCH, and each of them, with full power to act without the others, his or her true and lawful attorneys-in-fact and agents, with full and several power of substitution, for him or her and in his or her name, place and stead, in any and all capacities, to sign the Registration Statement on Form S-8 under the Securities Act of 1933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or her substitutes, may lawfully do or cause to be done by virtue hereof.</w:t>
      </w:r>
    </w:p>
    <w:p>
      <w:pPr>
        <w:spacing w:after="0" w:line="2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16th day of April, 2009.</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20" w:type="dxa"/>
            <w:vAlign w:val="bottom"/>
            <w:gridSpan w:val="11"/>
          </w:tcPr>
          <w:p>
            <w:pPr>
              <w:jc w:val="center"/>
              <w:ind w:right="1340"/>
              <w:spacing w:after="0"/>
              <w:rPr>
                <w:sz w:val="20"/>
                <w:szCs w:val="20"/>
                <w:color w:val="auto"/>
              </w:rPr>
            </w:pPr>
            <w:r>
              <w:rPr>
                <w:rFonts w:ascii="Arial" w:cs="Arial" w:eastAsia="Arial" w:hAnsi="Arial"/>
                <w:sz w:val="18"/>
                <w:szCs w:val="18"/>
                <w:b w:val="1"/>
                <w:bCs w:val="1"/>
                <w:color w:val="auto"/>
                <w:w w:val="89"/>
              </w:rPr>
              <w:t>Signature</w:t>
            </w:r>
          </w:p>
        </w:tc>
        <w:tc>
          <w:tcPr>
            <w:tcW w:w="6160" w:type="dxa"/>
            <w:vAlign w:val="bottom"/>
          </w:tcPr>
          <w:p>
            <w:pPr>
              <w:ind w:left="2100"/>
              <w:spacing w:after="0"/>
              <w:rPr>
                <w:sz w:val="20"/>
                <w:szCs w:val="20"/>
                <w:color w:val="auto"/>
              </w:rPr>
            </w:pPr>
            <w:r>
              <w:rPr>
                <w:rFonts w:ascii="Arial" w:cs="Arial" w:eastAsia="Arial" w:hAnsi="Arial"/>
                <w:sz w:val="18"/>
                <w:szCs w:val="18"/>
                <w:b w:val="1"/>
                <w:bCs w:val="1"/>
                <w:color w:val="auto"/>
              </w:rPr>
              <w:t>Title</w:t>
            </w:r>
          </w:p>
        </w:tc>
      </w:tr>
      <w:tr>
        <w:trPr>
          <w:trHeight w:val="419"/>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gridSpan w:val="10"/>
          </w:tcPr>
          <w:p>
            <w:pPr>
              <w:spacing w:after="0"/>
              <w:rPr>
                <w:sz w:val="20"/>
                <w:szCs w:val="20"/>
                <w:color w:val="auto"/>
              </w:rPr>
            </w:pPr>
            <w:r>
              <w:rPr>
                <w:rFonts w:ascii="Arial" w:cs="Arial" w:eastAsia="Arial" w:hAnsi="Arial"/>
                <w:sz w:val="18"/>
                <w:szCs w:val="18"/>
                <w:color w:val="auto"/>
              </w:rPr>
              <w:t>/s/ James R. Adams</w:t>
            </w:r>
          </w:p>
        </w:tc>
        <w:tc>
          <w:tcPr>
            <w:tcW w:w="6160" w:type="dxa"/>
            <w:vAlign w:val="bottom"/>
          </w:tcPr>
          <w:p>
            <w:pPr>
              <w:spacing w:after="0"/>
              <w:rPr>
                <w:sz w:val="24"/>
                <w:szCs w:val="24"/>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12"/>
          </w:tcPr>
          <w:p>
            <w:pPr>
              <w:jc w:val="center"/>
              <w:ind w:right="1280"/>
              <w:spacing w:after="0"/>
              <w:rPr>
                <w:sz w:val="20"/>
                <w:szCs w:val="20"/>
                <w:color w:val="auto"/>
              </w:rPr>
            </w:pPr>
            <w:r>
              <w:rPr>
                <w:rFonts w:ascii="Arial" w:cs="Arial" w:eastAsia="Arial" w:hAnsi="Arial"/>
                <w:sz w:val="18"/>
                <w:szCs w:val="18"/>
                <w:color w:val="auto"/>
                <w:w w:val="88"/>
              </w:rPr>
              <w:t>James R. Adams</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13"/>
          </w:tcPr>
          <w:p>
            <w:pPr>
              <w:jc w:val="center"/>
              <w:ind w:right="1260"/>
              <w:spacing w:after="0"/>
              <w:rPr>
                <w:sz w:val="20"/>
                <w:szCs w:val="20"/>
                <w:color w:val="auto"/>
              </w:rPr>
            </w:pPr>
            <w:r>
              <w:rPr>
                <w:rFonts w:ascii="Arial" w:cs="Arial" w:eastAsia="Arial" w:hAnsi="Arial"/>
                <w:sz w:val="18"/>
                <w:szCs w:val="18"/>
                <w:color w:val="auto"/>
                <w:w w:val="93"/>
              </w:rPr>
              <w:t>/s/ David L. Boren</w:t>
            </w: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5"/>
              </w:rPr>
              <w:t>David L. Boren</w:t>
            </w:r>
          </w:p>
        </w:tc>
        <w:tc>
          <w:tcPr>
            <w:tcW w:w="1260" w:type="dxa"/>
            <w:vAlign w:val="bottom"/>
            <w:gridSpan w:val="7"/>
          </w:tcPr>
          <w:p>
            <w:pPr>
              <w:spacing w:after="0"/>
              <w:rPr>
                <w:sz w:val="20"/>
                <w:szCs w:val="20"/>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12"/>
          </w:tcPr>
          <w:p>
            <w:pPr>
              <w:jc w:val="center"/>
              <w:ind w:right="1280"/>
              <w:spacing w:after="0"/>
              <w:rPr>
                <w:sz w:val="20"/>
                <w:szCs w:val="20"/>
                <w:color w:val="auto"/>
              </w:rPr>
            </w:pPr>
            <w:r>
              <w:rPr>
                <w:rFonts w:ascii="Arial" w:cs="Arial" w:eastAsia="Arial" w:hAnsi="Arial"/>
                <w:sz w:val="18"/>
                <w:szCs w:val="18"/>
                <w:color w:val="auto"/>
                <w:w w:val="92"/>
              </w:rPr>
              <w:t>/s/ Daniel A. Carp</w:t>
            </w: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3"/>
              </w:rPr>
              <w:t>Daniel A. Carp</w:t>
            </w:r>
          </w:p>
        </w:tc>
        <w:tc>
          <w:tcPr>
            <w:tcW w:w="1280" w:type="dxa"/>
            <w:vAlign w:val="bottom"/>
            <w:gridSpan w:val="8"/>
          </w:tcPr>
          <w:p>
            <w:pPr>
              <w:spacing w:after="0"/>
              <w:rPr>
                <w:sz w:val="20"/>
                <w:szCs w:val="20"/>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/s/ Carrie S. Cox</w:t>
            </w:r>
          </w:p>
        </w:tc>
        <w:tc>
          <w:tcPr>
            <w:tcW w:w="1320" w:type="dxa"/>
            <w:vAlign w:val="bottom"/>
            <w:gridSpan w:val="9"/>
          </w:tcPr>
          <w:p>
            <w:pPr>
              <w:spacing w:after="0"/>
              <w:rPr>
                <w:sz w:val="24"/>
                <w:szCs w:val="24"/>
                <w:color w:val="auto"/>
              </w:rPr>
            </w:pP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20" w:type="dxa"/>
            <w:vAlign w:val="bottom"/>
            <w:gridSpan w:val="11"/>
          </w:tcPr>
          <w:p>
            <w:pPr>
              <w:jc w:val="center"/>
              <w:ind w:right="1340"/>
              <w:spacing w:after="0"/>
              <w:rPr>
                <w:sz w:val="20"/>
                <w:szCs w:val="20"/>
                <w:color w:val="auto"/>
              </w:rPr>
            </w:pPr>
            <w:r>
              <w:rPr>
                <w:rFonts w:ascii="Arial" w:cs="Arial" w:eastAsia="Arial" w:hAnsi="Arial"/>
                <w:sz w:val="18"/>
                <w:szCs w:val="18"/>
                <w:color w:val="auto"/>
                <w:w w:val="90"/>
              </w:rPr>
              <w:t>Carrie S. Cox</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15"/>
          </w:tcPr>
          <w:p>
            <w:pPr>
              <w:jc w:val="center"/>
              <w:ind w:right="1200"/>
              <w:spacing w:after="0"/>
              <w:rPr>
                <w:sz w:val="20"/>
                <w:szCs w:val="20"/>
                <w:color w:val="auto"/>
              </w:rPr>
            </w:pPr>
            <w:r>
              <w:rPr>
                <w:rFonts w:ascii="Arial" w:cs="Arial" w:eastAsia="Arial" w:hAnsi="Arial"/>
                <w:sz w:val="18"/>
                <w:szCs w:val="18"/>
                <w:color w:val="auto"/>
                <w:w w:val="90"/>
              </w:rPr>
              <w:t>/s/ David R. Goode</w:t>
            </w: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5"/>
          </w:tcPr>
          <w:p>
            <w:pPr>
              <w:jc w:val="center"/>
              <w:ind w:right="100"/>
              <w:spacing w:after="0"/>
              <w:rPr>
                <w:sz w:val="20"/>
                <w:szCs w:val="20"/>
                <w:color w:val="auto"/>
              </w:rPr>
            </w:pPr>
            <w:r>
              <w:rPr>
                <w:rFonts w:ascii="Arial" w:cs="Arial" w:eastAsia="Arial" w:hAnsi="Arial"/>
                <w:sz w:val="18"/>
                <w:szCs w:val="18"/>
                <w:color w:val="auto"/>
                <w:w w:val="92"/>
              </w:rPr>
              <w:t>David R. Goode</w:t>
            </w:r>
          </w:p>
        </w:tc>
        <w:tc>
          <w:tcPr>
            <w:tcW w:w="1240" w:type="dxa"/>
            <w:vAlign w:val="bottom"/>
            <w:gridSpan w:val="6"/>
          </w:tcPr>
          <w:p>
            <w:pPr>
              <w:spacing w:after="0"/>
              <w:rPr>
                <w:sz w:val="20"/>
                <w:szCs w:val="20"/>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color w:val="auto"/>
                <w:w w:val="91"/>
              </w:rPr>
              <w:t>/s/ Stephen P. MacMillan</w:t>
            </w:r>
          </w:p>
        </w:tc>
        <w:tc>
          <w:tcPr>
            <w:tcW w:w="1020" w:type="dxa"/>
            <w:vAlign w:val="bottom"/>
            <w:gridSpan w:val="3"/>
          </w:tcPr>
          <w:p>
            <w:pPr>
              <w:spacing w:after="0"/>
              <w:rPr>
                <w:sz w:val="24"/>
                <w:szCs w:val="24"/>
                <w:color w:val="auto"/>
              </w:rPr>
            </w:pP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17"/>
          </w:tcPr>
          <w:p>
            <w:pPr>
              <w:jc w:val="center"/>
              <w:ind w:right="1020"/>
              <w:spacing w:after="0"/>
              <w:rPr>
                <w:sz w:val="20"/>
                <w:szCs w:val="20"/>
                <w:color w:val="auto"/>
              </w:rPr>
            </w:pPr>
            <w:r>
              <w:rPr>
                <w:rFonts w:ascii="Arial" w:cs="Arial" w:eastAsia="Arial" w:hAnsi="Arial"/>
                <w:sz w:val="18"/>
                <w:szCs w:val="18"/>
                <w:color w:val="auto"/>
                <w:w w:val="90"/>
              </w:rPr>
              <w:t>Stephen P. MacMillan</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color w:val="auto"/>
                <w:w w:val="89"/>
              </w:rPr>
              <w:t>/s/ Pamela H. Patsley</w:t>
            </w:r>
          </w:p>
        </w:tc>
        <w:tc>
          <w:tcPr>
            <w:tcW w:w="1160" w:type="dxa"/>
            <w:vAlign w:val="bottom"/>
            <w:gridSpan w:val="4"/>
          </w:tcPr>
          <w:p>
            <w:pPr>
              <w:spacing w:after="0"/>
              <w:rPr>
                <w:sz w:val="24"/>
                <w:szCs w:val="24"/>
                <w:color w:val="auto"/>
              </w:rPr>
            </w:pP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13"/>
          </w:tcPr>
          <w:p>
            <w:pPr>
              <w:jc w:val="center"/>
              <w:ind w:right="1260"/>
              <w:spacing w:after="0"/>
              <w:rPr>
                <w:sz w:val="20"/>
                <w:szCs w:val="20"/>
                <w:color w:val="auto"/>
              </w:rPr>
            </w:pPr>
            <w:r>
              <w:rPr>
                <w:rFonts w:ascii="Arial" w:cs="Arial" w:eastAsia="Arial" w:hAnsi="Arial"/>
                <w:sz w:val="18"/>
                <w:szCs w:val="18"/>
                <w:color w:val="auto"/>
                <w:w w:val="87"/>
              </w:rPr>
              <w:t>Pamela H. Patsley</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color w:val="auto"/>
                <w:w w:val="87"/>
              </w:rPr>
              <w:t>/s/ Wayne R. Sanders</w:t>
            </w:r>
          </w:p>
        </w:tc>
        <w:tc>
          <w:tcPr>
            <w:tcW w:w="1160" w:type="dxa"/>
            <w:vAlign w:val="bottom"/>
            <w:gridSpan w:val="4"/>
          </w:tcPr>
          <w:p>
            <w:pPr>
              <w:spacing w:after="0"/>
              <w:rPr>
                <w:sz w:val="24"/>
                <w:szCs w:val="24"/>
                <w:color w:val="auto"/>
              </w:rPr>
            </w:pP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13"/>
          </w:tcPr>
          <w:p>
            <w:pPr>
              <w:jc w:val="center"/>
              <w:ind w:right="1240"/>
              <w:spacing w:after="0"/>
              <w:rPr>
                <w:sz w:val="20"/>
                <w:szCs w:val="20"/>
                <w:color w:val="auto"/>
              </w:rPr>
            </w:pPr>
            <w:r>
              <w:rPr>
                <w:rFonts w:ascii="Arial" w:cs="Arial" w:eastAsia="Arial" w:hAnsi="Arial"/>
                <w:sz w:val="18"/>
                <w:szCs w:val="18"/>
                <w:color w:val="auto"/>
                <w:w w:val="87"/>
              </w:rPr>
              <w:t>Wayne R. Sanders</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0"/>
              </w:rPr>
              <w:t>/s/ Ruth J. Simmons</w:t>
            </w:r>
          </w:p>
        </w:tc>
        <w:tc>
          <w:tcPr>
            <w:tcW w:w="1200" w:type="dxa"/>
            <w:vAlign w:val="bottom"/>
            <w:gridSpan w:val="5"/>
          </w:tcPr>
          <w:p>
            <w:pPr>
              <w:spacing w:after="0"/>
              <w:rPr>
                <w:sz w:val="24"/>
                <w:szCs w:val="24"/>
                <w:color w:val="auto"/>
              </w:rPr>
            </w:pP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12"/>
          </w:tcPr>
          <w:p>
            <w:pPr>
              <w:jc w:val="center"/>
              <w:ind w:right="1280"/>
              <w:spacing w:after="0"/>
              <w:rPr>
                <w:sz w:val="20"/>
                <w:szCs w:val="20"/>
                <w:color w:val="auto"/>
              </w:rPr>
            </w:pPr>
            <w:r>
              <w:rPr>
                <w:rFonts w:ascii="Arial" w:cs="Arial" w:eastAsia="Arial" w:hAnsi="Arial"/>
                <w:sz w:val="18"/>
                <w:szCs w:val="18"/>
                <w:color w:val="auto"/>
                <w:w w:val="88"/>
              </w:rPr>
              <w:t>Ruth J. Simmons</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color w:val="auto"/>
                <w:w w:val="91"/>
              </w:rPr>
              <w:t>/s/ Richard K. Templeton</w:t>
            </w:r>
          </w:p>
        </w:tc>
        <w:tc>
          <w:tcPr>
            <w:tcW w:w="1020" w:type="dxa"/>
            <w:vAlign w:val="bottom"/>
            <w:gridSpan w:val="3"/>
          </w:tcPr>
          <w:p>
            <w:pPr>
              <w:spacing w:after="0"/>
              <w:rPr>
                <w:sz w:val="24"/>
                <w:szCs w:val="24"/>
                <w:color w:val="auto"/>
              </w:rPr>
            </w:pPr>
          </w:p>
        </w:tc>
        <w:tc>
          <w:tcPr>
            <w:tcW w:w="6160" w:type="dxa"/>
            <w:vAlign w:val="bottom"/>
          </w:tcPr>
          <w:p>
            <w:pPr>
              <w:spacing w:after="0"/>
              <w:rPr>
                <w:sz w:val="24"/>
                <w:szCs w:val="24"/>
                <w:color w:val="auto"/>
              </w:rPr>
            </w:pP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17"/>
          </w:tcPr>
          <w:p>
            <w:pPr>
              <w:jc w:val="center"/>
              <w:ind w:right="1020"/>
              <w:spacing w:after="0"/>
              <w:rPr>
                <w:sz w:val="20"/>
                <w:szCs w:val="20"/>
                <w:color w:val="auto"/>
              </w:rPr>
            </w:pPr>
            <w:r>
              <w:rPr>
                <w:rFonts w:ascii="Arial" w:cs="Arial" w:eastAsia="Arial" w:hAnsi="Arial"/>
                <w:sz w:val="18"/>
                <w:szCs w:val="18"/>
                <w:color w:val="auto"/>
                <w:w w:val="93"/>
              </w:rPr>
              <w:t>Richard K. Templeton</w:t>
            </w:r>
          </w:p>
        </w:tc>
        <w:tc>
          <w:tcPr>
            <w:tcW w:w="6160" w:type="dxa"/>
            <w:vAlign w:val="bottom"/>
          </w:tcPr>
          <w:p>
            <w:pPr>
              <w:ind w:left="2160"/>
              <w:spacing w:after="0"/>
              <w:rPr>
                <w:sz w:val="20"/>
                <w:szCs w:val="20"/>
                <w:color w:val="auto"/>
              </w:rPr>
            </w:pPr>
            <w:r>
              <w:rPr>
                <w:rFonts w:ascii="Arial" w:cs="Arial" w:eastAsia="Arial" w:hAnsi="Arial"/>
                <w:sz w:val="18"/>
                <w:szCs w:val="18"/>
                <w:color w:val="auto"/>
              </w:rPr>
              <w:t>Chairman; President;</w:t>
            </w: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Chief Executive Officer;</w:t>
            </w: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394"/>
        </w:trPr>
        <w:tc>
          <w:tcPr>
            <w:tcW w:w="2320" w:type="dxa"/>
            <w:vAlign w:val="bottom"/>
          </w:tcPr>
          <w:p>
            <w:pPr>
              <w:spacing w:after="0"/>
              <w:rPr>
                <w:sz w:val="24"/>
                <w:szCs w:val="24"/>
                <w:color w:val="auto"/>
              </w:rPr>
            </w:pPr>
          </w:p>
        </w:tc>
        <w:tc>
          <w:tcPr>
            <w:tcW w:w="2020" w:type="dxa"/>
            <w:vAlign w:val="bottom"/>
            <w:tcBorders>
              <w:bottom w:val="single" w:sz="8" w:color="auto"/>
            </w:tcBorders>
            <w:gridSpan w:val="16"/>
          </w:tcPr>
          <w:p>
            <w:pPr>
              <w:jc w:val="center"/>
              <w:spacing w:after="0"/>
              <w:rPr>
                <w:sz w:val="20"/>
                <w:szCs w:val="20"/>
                <w:color w:val="auto"/>
              </w:rPr>
            </w:pPr>
            <w:r>
              <w:rPr>
                <w:rFonts w:ascii="Arial" w:cs="Arial" w:eastAsia="Arial" w:hAnsi="Arial"/>
                <w:sz w:val="18"/>
                <w:szCs w:val="18"/>
                <w:color w:val="auto"/>
                <w:w w:val="93"/>
              </w:rPr>
              <w:t>/s/ Christine Todd Whitman</w:t>
            </w:r>
          </w:p>
        </w:tc>
        <w:tc>
          <w:tcPr>
            <w:tcW w:w="920" w:type="dxa"/>
            <w:vAlign w:val="bottom"/>
            <w:gridSpan w:val="2"/>
          </w:tcPr>
          <w:p>
            <w:pPr>
              <w:spacing w:after="0"/>
              <w:rPr>
                <w:sz w:val="24"/>
                <w:szCs w:val="24"/>
                <w:color w:val="auto"/>
              </w:rPr>
            </w:pP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17"/>
          </w:tcPr>
          <w:p>
            <w:pPr>
              <w:jc w:val="center"/>
              <w:ind w:right="1020"/>
              <w:spacing w:after="0"/>
              <w:rPr>
                <w:sz w:val="20"/>
                <w:szCs w:val="20"/>
                <w:color w:val="auto"/>
              </w:rPr>
            </w:pPr>
            <w:r>
              <w:rPr>
                <w:rFonts w:ascii="Arial" w:cs="Arial" w:eastAsia="Arial" w:hAnsi="Arial"/>
                <w:sz w:val="18"/>
                <w:szCs w:val="18"/>
                <w:color w:val="auto"/>
                <w:w w:val="92"/>
              </w:rPr>
              <w:t>Christine Todd Whitman</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13"/>
          </w:tcPr>
          <w:p>
            <w:pPr>
              <w:jc w:val="center"/>
              <w:ind w:right="1260"/>
              <w:spacing w:after="0"/>
              <w:rPr>
                <w:sz w:val="20"/>
                <w:szCs w:val="20"/>
                <w:color w:val="auto"/>
              </w:rPr>
            </w:pPr>
            <w:r>
              <w:rPr>
                <w:rFonts w:ascii="Arial" w:cs="Arial" w:eastAsia="Arial" w:hAnsi="Arial"/>
                <w:sz w:val="18"/>
                <w:szCs w:val="18"/>
                <w:color w:val="auto"/>
                <w:w w:val="91"/>
              </w:rPr>
              <w:t>/s/ Kevin P. March</w:t>
            </w:r>
          </w:p>
        </w:tc>
        <w:tc>
          <w:tcPr>
            <w:tcW w:w="6160" w:type="dxa"/>
            <w:vAlign w:val="bottom"/>
          </w:tcPr>
          <w:p>
            <w:pPr>
              <w:spacing w:after="0"/>
              <w:rPr>
                <w:sz w:val="24"/>
                <w:szCs w:val="24"/>
                <w:color w:val="auto"/>
              </w:rPr>
            </w:pP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3"/>
              </w:rPr>
              <w:t>Kevin P. March</w:t>
            </w:r>
          </w:p>
        </w:tc>
        <w:tc>
          <w:tcPr>
            <w:tcW w:w="1260" w:type="dxa"/>
            <w:vAlign w:val="bottom"/>
            <w:gridSpan w:val="7"/>
          </w:tcPr>
          <w:p>
            <w:pPr>
              <w:spacing w:after="0"/>
              <w:rPr>
                <w:sz w:val="19"/>
                <w:szCs w:val="19"/>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Senior Vice President;</w:t>
            </w: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Chief Financial Officer;</w:t>
            </w: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Chief Accounting Officer</w:t>
            </w:r>
          </w:p>
        </w:tc>
      </w:tr>
      <w:tr>
        <w:trPr>
          <w:trHeight w:val="853"/>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5</w:t>
            </w:r>
          </w:p>
        </w:tc>
      </w:tr>
      <w:tr>
        <w:trPr>
          <w:trHeight w:val="118"/>
        </w:trPr>
        <w:tc>
          <w:tcPr>
            <w:tcW w:w="2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10100" w:type="dxa"/>
            <w:vAlign w:val="bottom"/>
          </w:tcPr>
          <w:p>
            <w:pPr>
              <w:ind w:left="3540"/>
              <w:spacing w:after="0"/>
              <w:rPr>
                <w:sz w:val="20"/>
                <w:szCs w:val="20"/>
                <w:color w:val="auto"/>
              </w:rPr>
            </w:pPr>
            <w:r>
              <w:rPr>
                <w:rFonts w:ascii="Arial" w:cs="Arial" w:eastAsia="Arial" w:hAnsi="Arial"/>
                <w:sz w:val="18"/>
                <w:szCs w:val="18"/>
                <w:color w:val="auto"/>
              </w:rPr>
              <w:t>INDEX TO EXHIBITS</w:t>
            </w:r>
          </w:p>
        </w:tc>
      </w:tr>
      <w:tr>
        <w:trPr>
          <w:trHeight w:val="657"/>
        </w:trPr>
        <w:tc>
          <w:tcPr>
            <w:tcW w:w="13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tcPr>
          <w:p>
            <w:pPr>
              <w:spacing w:after="0"/>
              <w:rPr>
                <w:sz w:val="24"/>
                <w:szCs w:val="24"/>
                <w:color w:val="auto"/>
              </w:rPr>
            </w:pPr>
          </w:p>
        </w:tc>
      </w:t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tcPr>
          <w:p>
            <w:pPr>
              <w:ind w:left="700"/>
              <w:spacing w:after="0"/>
              <w:rPr>
                <w:sz w:val="20"/>
                <w:szCs w:val="20"/>
                <w:color w:val="auto"/>
              </w:rPr>
            </w:pPr>
            <w:r>
              <w:rPr>
                <w:rFonts w:ascii="Arial" w:cs="Arial" w:eastAsia="Arial" w:hAnsi="Arial"/>
                <w:sz w:val="18"/>
                <w:szCs w:val="18"/>
                <w:b w:val="1"/>
                <w:bCs w:val="1"/>
                <w:color w:val="auto"/>
              </w:rPr>
              <w:t>Exhibit</w:t>
            </w:r>
          </w:p>
        </w:tc>
      </w:tr>
      <w:tr>
        <w:trPr>
          <w:trHeight w:val="445"/>
        </w:trPr>
        <w:tc>
          <w:tcPr>
            <w:tcW w:w="1320" w:type="dxa"/>
            <w:vAlign w:val="bottom"/>
          </w:tcPr>
          <w:p>
            <w:pPr>
              <w:spacing w:after="0"/>
              <w:rPr>
                <w:sz w:val="20"/>
                <w:szCs w:val="20"/>
                <w:color w:val="auto"/>
              </w:rPr>
            </w:pPr>
            <w:r>
              <w:rPr>
                <w:rFonts w:ascii="Arial" w:cs="Arial" w:eastAsia="Arial" w:hAnsi="Arial"/>
                <w:sz w:val="18"/>
                <w:szCs w:val="18"/>
                <w:color w:val="auto"/>
              </w:rPr>
              <w:t>5</w:t>
            </w:r>
          </w:p>
        </w:tc>
        <w:tc>
          <w:tcPr>
            <w:tcW w:w="10100" w:type="dxa"/>
            <w:vAlign w:val="bottom"/>
          </w:tcPr>
          <w:p>
            <w:pPr>
              <w:ind w:left="680"/>
              <w:spacing w:after="0"/>
              <w:rPr>
                <w:sz w:val="20"/>
                <w:szCs w:val="20"/>
                <w:color w:val="auto"/>
              </w:rPr>
            </w:pPr>
            <w:r>
              <w:rPr>
                <w:rFonts w:ascii="Arial" w:cs="Arial" w:eastAsia="Arial" w:hAnsi="Arial"/>
                <w:sz w:val="18"/>
                <w:szCs w:val="18"/>
                <w:color w:val="auto"/>
              </w:rPr>
              <w:t>Opinion of Joseph F. Hubach, Esq.</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23(a)</w:t>
            </w:r>
          </w:p>
        </w:tc>
        <w:tc>
          <w:tcPr>
            <w:tcW w:w="10100" w:type="dxa"/>
            <w:vAlign w:val="bottom"/>
          </w:tcPr>
          <w:p>
            <w:pPr>
              <w:ind w:left="72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23(b)</w:t>
            </w:r>
          </w:p>
        </w:tc>
        <w:tc>
          <w:tcPr>
            <w:tcW w:w="10100" w:type="dxa"/>
            <w:vAlign w:val="bottom"/>
          </w:tcPr>
          <w:p>
            <w:pPr>
              <w:ind w:left="720"/>
              <w:spacing w:after="0"/>
              <w:rPr>
                <w:sz w:val="20"/>
                <w:szCs w:val="20"/>
                <w:color w:val="auto"/>
              </w:rPr>
            </w:pPr>
            <w:r>
              <w:rPr>
                <w:rFonts w:ascii="Arial" w:cs="Arial" w:eastAsia="Arial" w:hAnsi="Arial"/>
                <w:sz w:val="18"/>
                <w:szCs w:val="18"/>
                <w:color w:val="auto"/>
              </w:rPr>
              <w:t>Consent of Joseph F. Hubach, Esq. (included in Exhibit 5).</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24</w:t>
            </w:r>
          </w:p>
        </w:tc>
        <w:tc>
          <w:tcPr>
            <w:tcW w:w="10100" w:type="dxa"/>
            <w:vAlign w:val="bottom"/>
          </w:tcPr>
          <w:p>
            <w:pPr>
              <w:ind w:left="700"/>
              <w:spacing w:after="0"/>
              <w:rPr>
                <w:sz w:val="20"/>
                <w:szCs w:val="20"/>
                <w:color w:val="auto"/>
              </w:rPr>
            </w:pPr>
            <w:r>
              <w:rPr>
                <w:rFonts w:ascii="Arial" w:cs="Arial" w:eastAsia="Arial" w:hAnsi="Arial"/>
                <w:sz w:val="18"/>
                <w:szCs w:val="18"/>
                <w:color w:val="auto"/>
              </w:rPr>
              <w:t>Power of Attorney (included on signature pages).</w:t>
            </w:r>
          </w:p>
        </w:tc>
      </w:tr>
      <w:tr>
        <w:trPr>
          <w:trHeight w:val="608"/>
        </w:trPr>
        <w:tc>
          <w:tcPr>
            <w:tcW w:w="1320" w:type="dxa"/>
            <w:vAlign w:val="bottom"/>
          </w:tcPr>
          <w:p>
            <w:pPr>
              <w:spacing w:after="0"/>
              <w:rPr>
                <w:sz w:val="24"/>
                <w:szCs w:val="24"/>
                <w:color w:val="auto"/>
              </w:rPr>
            </w:pPr>
          </w:p>
        </w:tc>
        <w:tc>
          <w:tcPr>
            <w:tcW w:w="10100" w:type="dxa"/>
            <w:vAlign w:val="bottom"/>
          </w:tcPr>
          <w:p>
            <w:pPr>
              <w:ind w:left="4340"/>
              <w:spacing w:after="0"/>
              <w:rPr>
                <w:sz w:val="20"/>
                <w:szCs w:val="20"/>
                <w:color w:val="auto"/>
              </w:rPr>
            </w:pPr>
            <w:r>
              <w:rPr>
                <w:rFonts w:ascii="Arial" w:cs="Arial" w:eastAsia="Arial" w:hAnsi="Arial"/>
                <w:sz w:val="18"/>
                <w:szCs w:val="18"/>
                <w:color w:val="auto"/>
              </w:rPr>
              <w:t>6</w:t>
            </w:r>
          </w:p>
        </w:tc>
      </w:tr>
      <w:tr>
        <w:trPr>
          <w:trHeight w:val="118"/>
        </w:trPr>
        <w:tc>
          <w:tcPr>
            <w:tcW w:w="1320" w:type="dxa"/>
            <w:vAlign w:val="bottom"/>
            <w:tcBorders>
              <w:bottom w:val="single" w:sz="8" w:color="808080"/>
            </w:tcBorders>
          </w:tcPr>
          <w:p>
            <w:pPr>
              <w:spacing w:after="0"/>
              <w:rPr>
                <w:sz w:val="10"/>
                <w:szCs w:val="10"/>
                <w:color w:val="auto"/>
              </w:rPr>
            </w:pPr>
          </w:p>
        </w:tc>
        <w:tc>
          <w:tcPr>
            <w:tcW w:w="10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5</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29,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38"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Re:</w:t>
        <w:tab/>
        <w:t>Texas Instruments Incorporated</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Registration Statement (Form S-8)</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opinion of counsel is given in connection with a Registration Statement (Form S-8) being filed by you with the Securities and Exchange Commission relating to 2,000,000 shares of common stock of Texas Instruments Incorporated (“TI”) to be issued under the Texas Instruments 2009 Director Compensation Plan (the “Plan”).</w:t>
      </w:r>
    </w:p>
    <w:p>
      <w:pPr>
        <w:spacing w:after="0" w:line="2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Senior Vice President, Secretary and General Counsel of TI, I am familiar with all corporate action taken or expected to be taken with respect to the Plan and the common stock expected to be issued thereunder.</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am pleased to advise that the 2,000,000 shares of common stock of TI, when issued and delivered in accordance with the terms of the Plan and applicable Delaware General Corporation Law, will be duly authorized, validly issued, fully paid and nonassessable.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hereby consent to the use of this opinion as an exhibit to the above-referenced Registration Statement.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Joseph F. Hubach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F. Hubach</w:t>
      </w:r>
    </w:p>
    <w:p>
      <w:pPr>
        <w:sectPr>
          <w:pgSz w:w="11900" w:h="16838" w:orient="portrait"/>
          <w:cols w:equalWidth="0" w:num="1">
            <w:col w:w="11420"/>
          </w:cols>
          <w:pgMar w:left="240" w:top="36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auto"/>
        </w:rPr>
        <w:t>Exhibit 23(a)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Texas Instruments 2009 Director Compensation Plan of our reports dated February 20, 2009, with respect to the consolidated financial statements and the effectiveness of internal control over financial reporting of Texas Instruments Incorporated incorporated by reference in its Annual Report (Form 10-K) for the year ended December 31, 2008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Ernst &amp;Young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5"/>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2019-12-10T02:15:19Z</dcterms:created>
  <dcterms:modified xsi:type="dcterms:W3CDTF">2019-12-10T02:15:19Z</dcterms:modified>
</cp:coreProperties>
</file>