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SCHEDULE 13D</w:t>
      </w:r>
    </w:p>
    <w:p>
      <w:pPr>
        <w:jc w:val="center"/>
        <w:ind w:right="23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ACTEL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ectPr>
          <w:pgSz w:w="11900" w:h="16838" w:orient="portrait"/>
          <w:cols w:equalWidth="0" w:num="1">
            <w:col w:w="10219"/>
          </w:cols>
          <w:pgMar w:left="240" w:top="1440" w:right="1440" w:bottom="1440" w:gutter="0" w:footer="0" w:header="0"/>
        </w:sectPr>
      </w:pP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COMMON STOCK, $0.001 PAR VALUE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004934 10 5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ectPr>
          <w:pgSz w:w="11900" w:h="16838" w:orient="portrait"/>
          <w:cols w:equalWidth="0" w:num="2">
            <w:col w:w="3900" w:space="320"/>
            <w:col w:w="5999"/>
          </w:cols>
          <w:pgMar w:left="240" w:top="1440" w:right="1440" w:bottom="1440" w:gutter="0" w:footer="0" w:header="0"/>
          <w:type w:val="continuous"/>
        </w:sectPr>
      </w:pPr>
    </w:p>
    <w:p>
      <w:pPr>
        <w:spacing w:after="0" w:line="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Texas Instruments Incorporated</w:t>
      </w:r>
    </w:p>
    <w:p>
      <w:pPr>
        <w:ind w:left="232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2960"/>
        <w:spacing w:after="0"/>
        <w:rPr>
          <w:sz w:val="20"/>
          <w:szCs w:val="20"/>
          <w:color w:val="auto"/>
        </w:rPr>
      </w:pPr>
      <w:r>
        <w:rPr>
          <w:rFonts w:ascii="Courier New" w:cs="Courier New" w:eastAsia="Courier New" w:hAnsi="Courier New"/>
          <w:sz w:val="18"/>
          <w:szCs w:val="18"/>
          <w:color w:val="auto"/>
        </w:rPr>
        <w:t>Dallas, Texas 75265</w:t>
      </w:r>
    </w:p>
    <w:p>
      <w:pPr>
        <w:ind w:left="2440"/>
        <w:spacing w:after="0" w:line="237" w:lineRule="auto"/>
        <w:rPr>
          <w:sz w:val="20"/>
          <w:szCs w:val="20"/>
          <w:color w:val="auto"/>
        </w:rPr>
      </w:pPr>
      <w:r>
        <w:rPr>
          <w:rFonts w:ascii="Courier New" w:cs="Courier New" w:eastAsia="Courier New" w:hAnsi="Courier New"/>
          <w:sz w:val="18"/>
          <w:szCs w:val="18"/>
          <w:color w:val="auto"/>
        </w:rPr>
        <w:t>Attention: Richard J. Agnich</w:t>
      </w:r>
    </w:p>
    <w:p>
      <w:pPr>
        <w:ind w:left="3800" w:hanging="632"/>
        <w:spacing w:after="0" w:line="238" w:lineRule="auto"/>
        <w:tabs>
          <w:tab w:leader="none" w:pos="38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995-4855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w:t>
      </w:r>
    </w:p>
    <w:p>
      <w:pPr>
        <w:jc w:val="center"/>
        <w:ind w:right="2319"/>
        <w:spacing w:after="0"/>
        <w:rPr>
          <w:sz w:val="20"/>
          <w:szCs w:val="20"/>
          <w:color w:val="auto"/>
        </w:rPr>
      </w:pPr>
      <w:r>
        <w:rPr>
          <w:rFonts w:ascii="Courier New" w:cs="Courier New" w:eastAsia="Courier New" w:hAnsi="Courier New"/>
          <w:sz w:val="18"/>
          <w:szCs w:val="18"/>
          <w:color w:val="auto"/>
        </w:rPr>
        <w:t>notices and communications)</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April 7, 1997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1440" w:right="1440" w:bottom="144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660" w:val="left"/>
          <w:tab w:leader="none" w:pos="4180" w:val="left"/>
          <w:tab w:leader="none" w:pos="57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004934 10 5</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 of 4</w:t>
      </w:r>
    </w:p>
    <w:p>
      <w:pPr>
        <w:spacing w:after="0" w:line="200" w:lineRule="exact"/>
        <w:rPr>
          <w:sz w:val="20"/>
          <w:szCs w:val="20"/>
          <w:color w:val="auto"/>
        </w:rPr>
      </w:pPr>
    </w:p>
    <w:p>
      <w:pPr>
        <w:spacing w:after="0" w:line="204" w:lineRule="exact"/>
        <w:rPr>
          <w:sz w:val="20"/>
          <w:szCs w:val="20"/>
          <w:color w:val="auto"/>
        </w:rPr>
      </w:pPr>
    </w:p>
    <w:p>
      <w:pPr>
        <w:ind w:left="1040" w:hanging="625"/>
        <w:spacing w:after="0"/>
        <w:tabs>
          <w:tab w:leader="none" w:pos="10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r>
        <w:rPr>
          <w:rFonts w:ascii="Courier New" w:cs="Courier New" w:eastAsia="Courier New" w:hAnsi="Courier New"/>
          <w:sz w:val="16"/>
          <w:szCs w:val="16"/>
          <w:color w:val="auto"/>
        </w:rPr>
        <w:t>Texas Instruments Incorporated</w:t>
      </w:r>
    </w:p>
    <w:p>
      <w:pPr>
        <w:spacing w:after="0" w:line="207" w:lineRule="exact"/>
        <w:rPr>
          <w:sz w:val="20"/>
          <w:szCs w:val="20"/>
          <w:color w:val="auto"/>
        </w:rPr>
      </w:pPr>
    </w:p>
    <w:p>
      <w:pPr>
        <w:ind w:left="1040" w:right="5579" w:firstLine="7"/>
        <w:spacing w:after="0" w:line="235" w:lineRule="auto"/>
        <w:tabs>
          <w:tab w:leader="none" w:pos="156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80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N/A</w:t>
            </w:r>
          </w:p>
        </w:tc>
      </w:tr>
      <w:tr>
        <w:trPr>
          <w:trHeight w:val="203"/>
        </w:trPr>
        <w:tc>
          <w:tcPr>
            <w:tcW w:w="3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3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1" w:lineRule="exact"/>
        <w:rPr>
          <w:sz w:val="20"/>
          <w:szCs w:val="20"/>
          <w:color w:val="auto"/>
        </w:rPr>
      </w:pPr>
    </w:p>
    <w:p>
      <w:pPr>
        <w:ind w:left="1040" w:hanging="625"/>
        <w:spacing w:after="0"/>
        <w:tabs>
          <w:tab w:leader="none" w:pos="10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1040" w:hanging="625"/>
        <w:spacing w:after="0"/>
        <w:tabs>
          <w:tab w:leader="none" w:pos="10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5640" w:type="dxa"/>
            <w:vAlign w:val="bottom"/>
            <w:gridSpan w:val="5"/>
          </w:tcPr>
          <w:p>
            <w:pPr>
              <w:spacing w:after="0"/>
              <w:rPr>
                <w:sz w:val="20"/>
                <w:szCs w:val="20"/>
                <w:color w:val="auto"/>
              </w:rPr>
            </w:pPr>
            <w:r>
              <w:rPr>
                <w:rFonts w:ascii="Courier New" w:cs="Courier New" w:eastAsia="Courier New" w:hAnsi="Courier New"/>
                <w:sz w:val="18"/>
                <w:szCs w:val="18"/>
                <w:color w:val="auto"/>
              </w:rPr>
              <w:t>CHECK BOX IF DISCLOSURE OF LEGAL PROCEEDINGS IS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940" w:type="dxa"/>
            <w:vAlign w:val="bottom"/>
          </w:tcPr>
          <w:p>
            <w:pPr>
              <w:spacing w:after="0"/>
              <w:rPr>
                <w:sz w:val="17"/>
                <w:szCs w:val="17"/>
                <w:color w:val="auto"/>
              </w:rPr>
            </w:pPr>
          </w:p>
        </w:tc>
        <w:tc>
          <w:tcPr>
            <w:tcW w:w="5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REQUIRED PURSUANT TO ITEM 2(d) OR 2(e):</w:t>
            </w:r>
          </w:p>
        </w:tc>
        <w:tc>
          <w:tcPr>
            <w:tcW w:w="1000" w:type="dxa"/>
            <w:vAlign w:val="bottom"/>
          </w:tcPr>
          <w:p>
            <w:pPr>
              <w:spacing w:after="0"/>
              <w:rPr>
                <w:sz w:val="17"/>
                <w:szCs w:val="17"/>
                <w:color w:val="auto"/>
              </w:rPr>
            </w:pPr>
          </w:p>
        </w:tc>
      </w:tr>
      <w:tr>
        <w:trPr>
          <w:trHeight w:val="405"/>
        </w:trPr>
        <w:tc>
          <w:tcPr>
            <w:tcW w:w="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w:t>
            </w:r>
          </w:p>
        </w:tc>
        <w:tc>
          <w:tcPr>
            <w:tcW w:w="3060" w:type="dxa"/>
            <w:vAlign w:val="bottom"/>
            <w:gridSpan w:val="3"/>
          </w:tcPr>
          <w:p>
            <w:pPr>
              <w:spacing w:after="0"/>
              <w:rPr>
                <w:sz w:val="20"/>
                <w:szCs w:val="20"/>
                <w:color w:val="auto"/>
              </w:rPr>
            </w:pPr>
            <w:r>
              <w:rPr>
                <w:rFonts w:ascii="Courier New" w:cs="Courier New" w:eastAsia="Courier New" w:hAnsi="Courier New"/>
                <w:sz w:val="18"/>
                <w:szCs w:val="18"/>
                <w:color w:val="auto"/>
              </w:rPr>
              <w:t>CITIZENSHIP OR PLACE OF</w:t>
            </w:r>
          </w:p>
        </w:tc>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Delaware</w:t>
            </w:r>
          </w:p>
        </w:tc>
        <w:tc>
          <w:tcPr>
            <w:tcW w:w="100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NUMBER</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SOLE VOTING POWER:</w:t>
            </w:r>
          </w:p>
        </w:tc>
        <w:tc>
          <w:tcPr>
            <w:tcW w:w="64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rPr>
              <w:t>2,031,578</w:t>
            </w:r>
          </w:p>
        </w:tc>
        <w:tc>
          <w:tcPr>
            <w:tcW w:w="1000" w:type="dxa"/>
            <w:vAlign w:val="bottom"/>
          </w:tcPr>
          <w:p>
            <w:pPr>
              <w:spacing w:after="0"/>
              <w:rPr>
                <w:sz w:val="24"/>
                <w:szCs w:val="24"/>
                <w:color w:val="auto"/>
              </w:rPr>
            </w:pPr>
          </w:p>
        </w:tc>
      </w:tr>
      <w:tr>
        <w:trPr>
          <w:trHeight w:val="203"/>
        </w:trPr>
        <w:tc>
          <w:tcPr>
            <w:tcW w:w="9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42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r>
      <w:tr>
        <w:trPr>
          <w:trHeight w:val="203"/>
        </w:trPr>
        <w:tc>
          <w:tcPr>
            <w:tcW w:w="142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94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EACH</w:t>
            </w:r>
          </w:p>
        </w:tc>
        <w:tc>
          <w:tcPr>
            <w:tcW w:w="48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w:t>
            </w:r>
          </w:p>
        </w:tc>
        <w:tc>
          <w:tcPr>
            <w:tcW w:w="2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rPr>
              <w:t>2,031,578</w:t>
            </w:r>
          </w:p>
        </w:tc>
        <w:tc>
          <w:tcPr>
            <w:tcW w:w="1000" w:type="dxa"/>
            <w:vAlign w:val="bottom"/>
          </w:tcPr>
          <w:p>
            <w:pPr>
              <w:spacing w:after="0"/>
              <w:rPr>
                <w:sz w:val="24"/>
                <w:szCs w:val="24"/>
                <w:color w:val="auto"/>
              </w:rPr>
            </w:pPr>
          </w:p>
        </w:tc>
      </w:tr>
      <w:tr>
        <w:trPr>
          <w:trHeight w:val="203"/>
        </w:trPr>
        <w:tc>
          <w:tcPr>
            <w:tcW w:w="1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PERSON WITH</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SHARED DISPOSITIVE</w:t>
            </w:r>
          </w:p>
        </w:tc>
        <w:tc>
          <w:tcPr>
            <w:tcW w:w="640" w:type="dxa"/>
            <w:vAlign w:val="bottom"/>
          </w:tcPr>
          <w:p>
            <w:pPr>
              <w:spacing w:after="0"/>
              <w:rPr>
                <w:sz w:val="17"/>
                <w:szCs w:val="17"/>
                <w:color w:val="auto"/>
              </w:rPr>
            </w:pP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w:t>
            </w: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w:t>
            </w:r>
          </w:p>
        </w:tc>
        <w:tc>
          <w:tcPr>
            <w:tcW w:w="3060" w:type="dxa"/>
            <w:vAlign w:val="bottom"/>
            <w:gridSpan w:val="3"/>
          </w:tcPr>
          <w:p>
            <w:pPr>
              <w:spacing w:after="0"/>
              <w:rPr>
                <w:sz w:val="20"/>
                <w:szCs w:val="20"/>
                <w:color w:val="auto"/>
              </w:rPr>
            </w:pPr>
            <w:r>
              <w:rPr>
                <w:rFonts w:ascii="Courier New" w:cs="Courier New" w:eastAsia="Courier New" w:hAnsi="Courier New"/>
                <w:sz w:val="18"/>
                <w:szCs w:val="18"/>
                <w:color w:val="auto"/>
                <w:w w:val="97"/>
              </w:rPr>
              <w:t>AGGREGATE AMOUNT BENEFICIALLY</w:t>
            </w:r>
          </w:p>
        </w:tc>
        <w:tc>
          <w:tcPr>
            <w:tcW w:w="64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rPr>
              <w:t>2,031,578</w:t>
            </w:r>
          </w:p>
        </w:tc>
        <w:tc>
          <w:tcPr>
            <w:tcW w:w="100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OWNED BY REPORTING PERSON:</w:t>
            </w: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w:t>
            </w:r>
          </w:p>
        </w:tc>
        <w:tc>
          <w:tcPr>
            <w:tcW w:w="5640" w:type="dxa"/>
            <w:vAlign w:val="bottom"/>
            <w:gridSpan w:val="5"/>
          </w:tcPr>
          <w:p>
            <w:pPr>
              <w:spacing w:after="0"/>
              <w:rPr>
                <w:sz w:val="20"/>
                <w:szCs w:val="20"/>
                <w:color w:val="auto"/>
              </w:rPr>
            </w:pPr>
            <w:r>
              <w:rPr>
                <w:rFonts w:ascii="Courier New" w:cs="Courier New" w:eastAsia="Courier New" w:hAnsi="Courier New"/>
                <w:sz w:val="18"/>
                <w:szCs w:val="18"/>
                <w:color w:val="auto"/>
              </w:rPr>
              <w:t>CHECK BOX IF THE 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940" w:type="dxa"/>
            <w:vAlign w:val="bottom"/>
          </w:tcPr>
          <w:p>
            <w:pPr>
              <w:spacing w:after="0"/>
              <w:rPr>
                <w:sz w:val="17"/>
                <w:szCs w:val="17"/>
                <w:color w:val="auto"/>
              </w:rPr>
            </w:pPr>
          </w:p>
        </w:tc>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EXCLUDES CERTAIN SHARES:</w:t>
            </w: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1040" w:hanging="731"/>
        <w:spacing w:after="0"/>
        <w:tabs>
          <w:tab w:leader="none" w:pos="10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9.8%</w:t>
      </w:r>
    </w:p>
    <w:p>
      <w:pPr>
        <w:spacing w:after="0" w:line="201" w:lineRule="exact"/>
        <w:rPr>
          <w:rFonts w:ascii="Courier New" w:cs="Courier New" w:eastAsia="Courier New" w:hAnsi="Courier New"/>
          <w:sz w:val="18"/>
          <w:szCs w:val="18"/>
          <w:color w:val="auto"/>
        </w:rPr>
      </w:pPr>
    </w:p>
    <w:p>
      <w:pPr>
        <w:ind w:left="1040" w:hanging="731"/>
        <w:spacing w:after="0"/>
        <w:tabs>
          <w:tab w:leader="none" w:pos="10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PERSON:CO</w:t>
      </w:r>
    </w:p>
    <w:p>
      <w:pPr>
        <w:sectPr>
          <w:pgSz w:w="11900" w:h="16838" w:orient="portrait"/>
          <w:cols w:equalWidth="0" w:num="1">
            <w:col w:w="10099"/>
          </w:cols>
          <w:pgMar w:left="360" w:top="919" w:right="1440" w:bottom="1440" w:gutter="0" w:footer="0" w:header="0"/>
        </w:sectPr>
      </w:pPr>
    </w:p>
    <w:bookmarkStart w:id="3" w:name="page4"/>
    <w:bookmarkEnd w:id="3"/>
    <w:p>
      <w:pPr>
        <w:spacing w:after="0"/>
        <w:tabs>
          <w:tab w:leader="none" w:pos="104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0"/>
        <w:spacing w:after="0"/>
        <w:tabs>
          <w:tab w:leader="none" w:pos="3460" w:val="left"/>
          <w:tab w:leader="none" w:pos="5040" w:val="left"/>
        </w:tabs>
        <w:rPr>
          <w:sz w:val="20"/>
          <w:szCs w:val="20"/>
          <w:color w:val="auto"/>
        </w:rPr>
      </w:pPr>
      <w:r>
        <w:rPr>
          <w:rFonts w:ascii="Courier New" w:cs="Courier New" w:eastAsia="Courier New" w:hAnsi="Courier New"/>
          <w:sz w:val="18"/>
          <w:szCs w:val="18"/>
          <w:color w:val="auto"/>
        </w:rPr>
        <w:t>CUSIP No. 004934 10 5</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This Amendment No. 2 to Schedule 13D amends and supplements the Statement on Schedule 13D initially filed with the Securities and Exchange Commission (the "SEC") on or about November 7, 1995, as amended and restated by Amendment No. 1 filed with the SEC on April 8, 1997 (the "Schedule 13D"), by Texas Instruments Incorporated ("TI"). Unless otherwise indicated, capitalized terms used herein shall have the respective meanings given such terms in the Schedule 13D.</w:t>
      </w:r>
    </w:p>
    <w:p>
      <w:pPr>
        <w:spacing w:after="0" w:line="18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left="1040" w:right="2519" w:hanging="519"/>
        <w:spacing w:after="0" w:line="236" w:lineRule="auto"/>
        <w:tabs>
          <w:tab w:leader="none" w:pos="10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beneficially owns 1,946,578 shares of the Issuer Common Stock (representing approximately 9.4% of the outstanding shares of such class of securities).</w:t>
      </w:r>
    </w:p>
    <w:p>
      <w:pPr>
        <w:spacing w:after="0" w:line="208" w:lineRule="exact"/>
        <w:rPr>
          <w:rFonts w:ascii="Courier New" w:cs="Courier New" w:eastAsia="Courier New" w:hAnsi="Courier New"/>
          <w:sz w:val="18"/>
          <w:szCs w:val="18"/>
          <w:color w:val="auto"/>
        </w:rPr>
      </w:pPr>
    </w:p>
    <w:p>
      <w:pPr>
        <w:ind w:left="1040" w:right="2419" w:hanging="519"/>
        <w:spacing w:after="0" w:line="236" w:lineRule="auto"/>
        <w:tabs>
          <w:tab w:leader="none" w:pos="10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has the sole power to vote or to direct the vote and the sole power to dispose or to direct the disposition of 1,946,578 shares of Issuer Common Stock.</w:t>
      </w:r>
    </w:p>
    <w:p>
      <w:pPr>
        <w:spacing w:after="0" w:line="208" w:lineRule="exact"/>
        <w:rPr>
          <w:rFonts w:ascii="Courier New" w:cs="Courier New" w:eastAsia="Courier New" w:hAnsi="Courier New"/>
          <w:sz w:val="18"/>
          <w:szCs w:val="18"/>
          <w:color w:val="auto"/>
        </w:rPr>
      </w:pPr>
    </w:p>
    <w:p>
      <w:pPr>
        <w:ind w:left="1040" w:right="2519" w:hanging="519"/>
        <w:spacing w:after="0" w:line="279" w:lineRule="auto"/>
        <w:tabs>
          <w:tab w:leader="none" w:pos="10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transactions in the Issuer Common Stock were effected by TI since the date of the event requiring the filing of the most recent amendment to the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360" w:type="dxa"/>
        <w:tblCellMar>
          <w:top w:w="0" w:type="dxa"/>
          <w:left w:w="0" w:type="dxa"/>
          <w:bottom w:w="0" w:type="dxa"/>
          <w:right w:w="0" w:type="dxa"/>
        </w:tblCellMar>
      </w:tblPr>
      <w:tr>
        <w:trPr>
          <w:trHeight w:val="204"/>
        </w:trPr>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c>
          <w:tcPr>
            <w:tcW w:w="1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No. of Shares</w:t>
            </w:r>
          </w:p>
        </w:tc>
        <w:tc>
          <w:tcPr>
            <w:tcW w:w="1900" w:type="dxa"/>
            <w:vAlign w:val="bottom"/>
          </w:tcPr>
          <w:p>
            <w:pPr>
              <w:ind w:left="260"/>
              <w:spacing w:after="0"/>
              <w:rPr>
                <w:sz w:val="20"/>
                <w:szCs w:val="20"/>
                <w:color w:val="auto"/>
              </w:rPr>
            </w:pPr>
            <w:r>
              <w:rPr>
                <w:rFonts w:ascii="Courier New" w:cs="Courier New" w:eastAsia="Courier New" w:hAnsi="Courier New"/>
                <w:sz w:val="18"/>
                <w:szCs w:val="18"/>
                <w:color w:val="auto"/>
              </w:rPr>
              <w:t>Sale/Purchase</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w w:val="96"/>
              </w:rPr>
              <w:t>Price per Share</w:t>
            </w:r>
          </w:p>
        </w:tc>
      </w:tr>
      <w:tr>
        <w:trPr>
          <w:trHeight w:val="203"/>
        </w:trPr>
        <w:tc>
          <w:tcPr>
            <w:tcW w:w="9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810"/>
        </w:trPr>
        <w:tc>
          <w:tcPr>
            <w:tcW w:w="9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4/4/97</w:t>
            </w:r>
          </w:p>
        </w:tc>
        <w:tc>
          <w:tcPr>
            <w:tcW w:w="19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190,000</w:t>
            </w:r>
          </w:p>
        </w:tc>
        <w:tc>
          <w:tcPr>
            <w:tcW w:w="1900" w:type="dxa"/>
            <w:vAlign w:val="bottom"/>
          </w:tcPr>
          <w:p>
            <w:pPr>
              <w:ind w:left="680"/>
              <w:spacing w:after="0"/>
              <w:rPr>
                <w:sz w:val="20"/>
                <w:szCs w:val="20"/>
                <w:color w:val="auto"/>
              </w:rPr>
            </w:pPr>
            <w:r>
              <w:rPr>
                <w:rFonts w:ascii="Courier New" w:cs="Courier New" w:eastAsia="Courier New" w:hAnsi="Courier New"/>
                <w:sz w:val="18"/>
                <w:szCs w:val="18"/>
                <w:color w:val="auto"/>
              </w:rPr>
              <w:t>Sale</w:t>
            </w:r>
          </w:p>
        </w:tc>
        <w:tc>
          <w:tcPr>
            <w:tcW w:w="1840" w:type="dxa"/>
            <w:vAlign w:val="bottom"/>
          </w:tcPr>
          <w:p>
            <w:pPr>
              <w:ind w:left="580"/>
              <w:spacing w:after="0"/>
              <w:rPr>
                <w:sz w:val="20"/>
                <w:szCs w:val="20"/>
                <w:color w:val="auto"/>
              </w:rPr>
            </w:pPr>
            <w:r>
              <w:rPr>
                <w:rFonts w:ascii="Courier New" w:cs="Courier New" w:eastAsia="Courier New" w:hAnsi="Courier New"/>
                <w:sz w:val="18"/>
                <w:szCs w:val="18"/>
                <w:color w:val="auto"/>
              </w:rPr>
              <w:t>$20.553</w:t>
            </w:r>
          </w:p>
        </w:tc>
      </w:tr>
      <w:tr>
        <w:trPr>
          <w:trHeight w:val="203"/>
        </w:trPr>
        <w:tc>
          <w:tcPr>
            <w:tcW w:w="9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4/7/97</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130,000</w:t>
            </w: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$20.928674</w:t>
            </w:r>
          </w:p>
        </w:tc>
      </w:tr>
      <w:tr>
        <w:trPr>
          <w:trHeight w:val="203"/>
        </w:trPr>
        <w:tc>
          <w:tcPr>
            <w:tcW w:w="9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4/8/97</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135,000</w:t>
            </w: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$20.928674</w:t>
            </w:r>
          </w:p>
        </w:tc>
      </w:tr>
      <w:tr>
        <w:trPr>
          <w:trHeight w:val="203"/>
        </w:trPr>
        <w:tc>
          <w:tcPr>
            <w:tcW w:w="9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4/9/97</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w:t>
            </w: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$20.6375</w:t>
            </w:r>
          </w:p>
        </w:tc>
      </w:tr>
      <w:tr>
        <w:trPr>
          <w:trHeight w:val="203"/>
        </w:trPr>
        <w:tc>
          <w:tcPr>
            <w:tcW w:w="9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4/9/97</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w:t>
            </w: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$21.00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40" w:right="2319"/>
        <w:spacing w:after="0" w:line="273" w:lineRule="auto"/>
        <w:rPr>
          <w:sz w:val="20"/>
          <w:szCs w:val="20"/>
          <w:color w:val="auto"/>
        </w:rPr>
      </w:pPr>
      <w:r>
        <w:rPr>
          <w:rFonts w:ascii="Courier New" w:cs="Courier New" w:eastAsia="Courier New" w:hAnsi="Courier New"/>
          <w:sz w:val="16"/>
          <w:szCs w:val="16"/>
          <w:color w:val="auto"/>
        </w:rPr>
        <w:t>All of the above transactions were effected in brokers' transactions on the Nasdaq National Market pursuant to Rule 144 under the Securities Act of 1933, as amended. The price per share is the average price for the sale of such shares on the referenced date, excluding brokerage commissions.</w:t>
      </w:r>
    </w:p>
    <w:p>
      <w:pPr>
        <w:spacing w:after="0" w:line="179" w:lineRule="exact"/>
        <w:rPr>
          <w:sz w:val="20"/>
          <w:szCs w:val="20"/>
          <w:color w:val="auto"/>
        </w:rPr>
      </w:pPr>
    </w:p>
    <w:p>
      <w:pPr>
        <w:ind w:left="1040" w:hanging="519"/>
        <w:spacing w:after="0"/>
        <w:tabs>
          <w:tab w:leader="none" w:pos="10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9679"/>
          </w:cols>
          <w:pgMar w:left="780" w:top="514"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0"/>
        <w:spacing w:after="0"/>
        <w:tabs>
          <w:tab w:leader="none" w:pos="3460" w:val="left"/>
          <w:tab w:leader="none" w:pos="5040" w:val="left"/>
        </w:tabs>
        <w:rPr>
          <w:sz w:val="20"/>
          <w:szCs w:val="20"/>
          <w:color w:val="auto"/>
        </w:rPr>
      </w:pPr>
      <w:r>
        <w:rPr>
          <w:rFonts w:ascii="Courier New" w:cs="Courier New" w:eastAsia="Courier New" w:hAnsi="Courier New"/>
          <w:sz w:val="18"/>
          <w:szCs w:val="18"/>
          <w:color w:val="auto"/>
        </w:rPr>
        <w:t>CUSIP No. 004934 10 5</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9679"/>
          </w:cols>
          <w:pgMar w:left="78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April 10,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By:</w:t>
        <w:tab/>
        <w:t>/s/ William A. Aylesworth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William A. Aylesworth</w:t>
      </w:r>
    </w:p>
    <w:p>
      <w:pPr>
        <w:spacing w:after="0" w:line="238" w:lineRule="auto"/>
        <w:tabs>
          <w:tab w:leader="none" w:pos="9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 Vice President</w:t>
      </w:r>
    </w:p>
    <w:p>
      <w:pPr>
        <w:sectPr>
          <w:pgSz w:w="11900" w:h="16838" w:orient="portrait"/>
          <w:cols w:equalWidth="0" w:num="2">
            <w:col w:w="2440" w:space="720"/>
            <w:col w:w="6519"/>
          </w:cols>
          <w:pgMar w:left="780" w:top="514" w:right="1440" w:bottom="1440" w:gutter="0" w:footer="0" w:header="0"/>
          <w:type w:val="continuous"/>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decimal"/>
      <w:start w:val="972"/>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S.%1."/>
      <w:numFmt w:val="upperLetter"/>
      <w:start w:val="19"/>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1"/>
      <w:numFmt w:val="decimal"/>
      <w:start w:val="13"/>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2019-12-16T09:04:27Z</dcterms:created>
  <dcterms:modified xsi:type="dcterms:W3CDTF">2019-12-16T09:04:27Z</dcterms:modified>
</cp:coreProperties>
</file>