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420"/>
          </w:cols>
          <w:pgMar w:left="240" w:top="482" w:right="239" w:bottom="1440" w:gutter="0" w:footer="0" w:header="0"/>
        </w:sect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000" w:space="140"/>
            <w:col w:w="8280"/>
          </w:cols>
          <w:pgMar w:left="240" w:top="482"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by Rule 14a-6(e)(2))</w:t>
      </w:r>
    </w:p>
    <w:p>
      <w:pPr>
        <w:spacing w:after="0" w:line="1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950" w:lineRule="exact"/>
        <w:rPr>
          <w:sz w:val="24"/>
          <w:szCs w:val="24"/>
          <w:color w:val="auto"/>
        </w:rPr>
      </w:pPr>
    </w:p>
    <w:p>
      <w:pPr>
        <w:sectPr>
          <w:pgSz w:w="11900" w:h="16838" w:orient="portrait"/>
          <w:cols w:equalWidth="0" w:num="2">
            <w:col w:w="2800" w:space="440"/>
            <w:col w:w="8180"/>
          </w:cols>
          <w:pgMar w:left="240" w:top="482" w:right="239" w:bottom="1440" w:gutter="0" w:footer="0" w:header="0"/>
          <w:type w:val="continuous"/>
        </w:sect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328295</wp:posOffset>
            </wp:positionV>
            <wp:extent cx="6809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36"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-459740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-931545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-1249045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540" w:right="620" w:hanging="524"/>
        <w:spacing w:after="0" w:line="290" w:lineRule="auto"/>
        <w:tabs>
          <w:tab w:leader="none" w:pos="211"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-502920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-862965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type w:val="continuous"/>
        </w:sectPr>
      </w:pPr>
    </w:p>
    <w:bookmarkStart w:id="1" w:name="page2"/>
    <w:bookmarkEnd w:id="1"/>
    <w:p>
      <w:pPr>
        <w:jc w:val="center"/>
        <w:ind w:right="44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40" w:lineRule="exact"/>
        <w:rPr>
          <w:sz w:val="20"/>
          <w:szCs w:val="20"/>
          <w:color w:val="auto"/>
        </w:rPr>
      </w:pPr>
    </w:p>
    <w:p>
      <w:pPr>
        <w:jc w:val="center"/>
        <w:ind w:right="440"/>
        <w:spacing w:after="0"/>
        <w:rPr>
          <w:sz w:val="20"/>
          <w:szCs w:val="20"/>
          <w:color w:val="auto"/>
        </w:rPr>
      </w:pPr>
      <w:r>
        <w:rPr>
          <w:rFonts w:ascii="Arial" w:cs="Arial" w:eastAsia="Arial" w:hAnsi="Arial"/>
          <w:sz w:val="21"/>
          <w:szCs w:val="21"/>
          <w:b w:val="1"/>
          <w:bCs w:val="1"/>
          <w:color w:val="auto"/>
        </w:rPr>
        <w:t>Important Notice Regarding the Availability of Proxy Materials for the Shareholder</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Meeting to Be Held on April 21, 2011</w:t>
      </w:r>
    </w:p>
    <w:p>
      <w:pPr>
        <w:sectPr>
          <w:pgSz w:w="11900" w:h="16838" w:orient="portrait"/>
          <w:cols w:equalWidth="0" w:num="1">
            <w:col w:w="10960"/>
          </w:cols>
          <w:pgMar w:left="700" w:top="589"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right"/>
        <w:ind w:right="1340"/>
        <w:spacing w:after="0"/>
        <w:rPr>
          <w:sz w:val="20"/>
          <w:szCs w:val="20"/>
          <w:color w:val="auto"/>
        </w:rPr>
      </w:pPr>
      <w:r>
        <w:rPr>
          <w:rFonts w:ascii="Arial" w:cs="Arial" w:eastAsia="Arial" w:hAnsi="Arial"/>
          <w:sz w:val="22"/>
          <w:szCs w:val="22"/>
          <w:b w:val="1"/>
          <w:bCs w:val="1"/>
          <w:color w:val="auto"/>
        </w:rPr>
        <w:t>TEXAS INSTRUMENTS</w:t>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461010</wp:posOffset>
            </wp:positionV>
            <wp:extent cx="132080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ATTN: JANE NAHRA</w:t>
      </w:r>
    </w:p>
    <w:p>
      <w:pPr>
        <w:spacing w:after="0" w:line="223" w:lineRule="auto"/>
        <w:rPr>
          <w:sz w:val="20"/>
          <w:szCs w:val="20"/>
          <w:color w:val="auto"/>
        </w:rPr>
      </w:pPr>
      <w:r>
        <w:rPr>
          <w:rFonts w:ascii="Arial" w:cs="Arial" w:eastAsia="Arial" w:hAnsi="Arial"/>
          <w:sz w:val="14"/>
          <w:szCs w:val="14"/>
          <w:i w:val="1"/>
          <w:iCs w:val="1"/>
          <w:color w:val="auto"/>
        </w:rPr>
        <w:t>7839 CHURCHILL WAY</w:t>
      </w:r>
    </w:p>
    <w:p>
      <w:pPr>
        <w:spacing w:after="0" w:line="222"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1227455</wp:posOffset>
            </wp:positionV>
            <wp:extent cx="180340"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340"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b w:val="1"/>
                <w:bCs w:val="1"/>
                <w:color w:val="auto"/>
                <w:w w:val="97"/>
              </w:rPr>
              <w:t>Meeting Information</w:t>
            </w:r>
          </w:p>
        </w:tc>
      </w:tr>
      <w:tr>
        <w:trPr>
          <w:trHeight w:val="316"/>
        </w:trPr>
        <w:tc>
          <w:tcPr>
            <w:tcW w:w="13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Annual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-401320</wp:posOffset>
            </wp:positionV>
            <wp:extent cx="3473450" cy="1509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15093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22, 2011</w:t>
      </w:r>
    </w:p>
    <w:p>
      <w:pPr>
        <w:spacing w:after="0" w:line="50" w:lineRule="exact"/>
        <w:rPr>
          <w:sz w:val="20"/>
          <w:szCs w:val="20"/>
          <w:color w:val="auto"/>
        </w:rPr>
      </w:pPr>
    </w:p>
    <w:p>
      <w:pPr>
        <w:ind w:left="120"/>
        <w:spacing w:after="0"/>
        <w:tabs>
          <w:tab w:leader="none" w:pos="800" w:val="left"/>
          <w:tab w:leader="none" w:pos="21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21, 2011</w:t>
      </w:r>
      <w:r>
        <w:rPr>
          <w:sz w:val="20"/>
          <w:szCs w:val="20"/>
          <w:color w:val="auto"/>
        </w:rPr>
        <w:tab/>
      </w: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p>
      <w:pPr>
        <w:spacing w:after="0" w:line="36" w:lineRule="exact"/>
        <w:rPr>
          <w:sz w:val="20"/>
          <w:szCs w:val="20"/>
          <w:color w:val="auto"/>
        </w:rPr>
      </w:pPr>
    </w:p>
    <w:p>
      <w:pPr>
        <w:jc w:val="both"/>
        <w:ind w:left="120"/>
        <w:spacing w:after="0"/>
        <w:tabs>
          <w:tab w:leader="none" w:pos="114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12500 TI Boulevard</w:t>
      </w:r>
    </w:p>
    <w:p>
      <w:pPr>
        <w:spacing w:after="0" w:line="58"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Dallas, Texas 75243</w:t>
      </w:r>
    </w:p>
    <w:p>
      <w:pPr>
        <w:spacing w:after="0" w:line="257" w:lineRule="exact"/>
        <w:rPr>
          <w:sz w:val="20"/>
          <w:szCs w:val="20"/>
          <w:color w:val="auto"/>
        </w:rPr>
      </w:pPr>
    </w:p>
    <w:p>
      <w:pPr>
        <w:ind w:left="20" w:right="520"/>
        <w:spacing w:after="0" w:line="380" w:lineRule="auto"/>
        <w:rPr>
          <w:sz w:val="20"/>
          <w:szCs w:val="20"/>
          <w:color w:val="auto"/>
        </w:rPr>
      </w:pPr>
      <w:r>
        <w:rPr>
          <w:rFonts w:ascii="Arial" w:cs="Arial" w:eastAsia="Arial" w:hAnsi="Arial"/>
          <w:sz w:val="16"/>
          <w:szCs w:val="16"/>
          <w:b w:val="1"/>
          <w:bCs w:val="1"/>
          <w:color w:val="auto"/>
        </w:rPr>
        <w:t>See page 93 of the Proxy Statement (available at www.proxyvote.com) for directions to the meeting location.</w:t>
      </w:r>
    </w:p>
    <w:p>
      <w:pPr>
        <w:spacing w:after="0" w:line="16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This is not a ballot. You cannot use this notice to vote these shares.</w:t>
      </w:r>
    </w:p>
    <w:p>
      <w:pPr>
        <w:jc w:val="both"/>
        <w:spacing w:after="0" w:line="236" w:lineRule="auto"/>
        <w:rPr>
          <w:sz w:val="20"/>
          <w:szCs w:val="20"/>
          <w:color w:val="auto"/>
        </w:rPr>
      </w:pPr>
      <w:r>
        <w:rPr>
          <w:rFonts w:ascii="Arial" w:cs="Arial" w:eastAsia="Arial" w:hAnsi="Arial"/>
          <w:sz w:val="18"/>
          <w:szCs w:val="18"/>
          <w:b w:val="1"/>
          <w:bCs w:val="1"/>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8"/>
          <w:szCs w:val="18"/>
          <w:b w:val="1"/>
          <w:bCs w:val="1"/>
          <w:i w:val="1"/>
          <w:iCs w:val="1"/>
          <w:color w:val="auto"/>
        </w:rPr>
        <w:t xml:space="preserve">www.proxyvote.com </w:t>
      </w:r>
      <w:r>
        <w:rPr>
          <w:rFonts w:ascii="Arial" w:cs="Arial" w:eastAsia="Arial" w:hAnsi="Arial"/>
          <w:sz w:val="18"/>
          <w:szCs w:val="18"/>
          <w:b w:val="1"/>
          <w:bCs w:val="1"/>
          <w:color w:val="auto"/>
        </w:rPr>
        <w:t>or easily request a paper copy (see reverse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side).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3477260" cy="347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7260" cy="347345"/>
                    </a:xfrm>
                    <a:prstGeom prst="rect">
                      <a:avLst/>
                    </a:prstGeom>
                    <a:noFill/>
                  </pic:spPr>
                </pic:pic>
              </a:graphicData>
            </a:graphic>
          </wp:anchor>
        </w:drawing>
      </w:r>
    </w:p>
    <w:p>
      <w:pPr>
        <w:spacing w:after="0" w:line="240" w:lineRule="exact"/>
        <w:rPr>
          <w:sz w:val="20"/>
          <w:szCs w:val="20"/>
          <w:color w:val="auto"/>
        </w:rPr>
      </w:pPr>
    </w:p>
    <w:p>
      <w:pPr>
        <w:ind w:left="80" w:right="8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784225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760" w:space="720"/>
            <w:col w:w="5480"/>
          </w:cols>
          <w:pgMar w:left="700" w:top="589" w:right="239" w:bottom="1440" w:gutter="0" w:footer="0" w:header="0"/>
          <w:type w:val="continuous"/>
        </w:sectPr>
      </w:pPr>
    </w:p>
    <w:bookmarkStart w:id="2" w:name="page3"/>
    <w:bookmarkEnd w:id="2"/>
    <w:p>
      <w:pPr>
        <w:ind w:left="3260"/>
        <w:spacing w:after="0"/>
        <w:rPr>
          <w:sz w:val="20"/>
          <w:szCs w:val="20"/>
          <w:color w:val="auto"/>
        </w:rPr>
      </w:pPr>
      <w:r>
        <w:rPr>
          <w:rFonts w:ascii="Arial" w:cs="Arial" w:eastAsia="Arial" w:hAnsi="Arial"/>
          <w:sz w:val="32"/>
          <w:szCs w:val="32"/>
          <w:b w:val="1"/>
          <w:bCs w:val="1"/>
          <w:color w:val="auto"/>
        </w:rPr>
        <w:t>— Before You Vote —</w:t>
      </w:r>
    </w:p>
    <w:p>
      <w:pPr>
        <w:spacing w:after="0" w:line="40"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6740525" cy="2847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284734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1. 2011 NOTICE AND PROXY STATEMENT</w:t>
      </w:r>
      <w:r>
        <w:rPr>
          <w:sz w:val="20"/>
          <w:szCs w:val="20"/>
          <w:color w:val="auto"/>
        </w:rPr>
        <w:tab/>
      </w:r>
      <w:r>
        <w:rPr>
          <w:rFonts w:ascii="Arial" w:cs="Arial" w:eastAsia="Arial" w:hAnsi="Arial"/>
          <w:sz w:val="16"/>
          <w:szCs w:val="16"/>
          <w:color w:val="auto"/>
        </w:rPr>
        <w:t>2. 2010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Have the information that is printed in the box marked by the arrow è XXXX XXXX XXXX (located on the following page) and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207" w:lineRule="exact"/>
        <w:rPr>
          <w:sz w:val="20"/>
          <w:szCs w:val="20"/>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21"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218" w:lineRule="exact"/>
        <w:rPr>
          <w:rFonts w:ascii="Arial" w:cs="Arial" w:eastAsia="Arial" w:hAnsi="Arial"/>
          <w:sz w:val="18"/>
          <w:szCs w:val="18"/>
          <w:color w:val="auto"/>
        </w:rPr>
      </w:pPr>
    </w:p>
    <w:p>
      <w:pPr>
        <w:ind w:left="420" w:right="20" w:hanging="419"/>
        <w:spacing w:after="0" w:line="268"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 è XXXX XXXX XXXX (located on the following page) in the subject 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make the request as instructed above on or before April 7, 2011, to facilitate timely delivery.</w:t>
      </w:r>
    </w:p>
    <w:p>
      <w:pPr>
        <w:spacing w:after="0" w:line="299" w:lineRule="exact"/>
        <w:rPr>
          <w:sz w:val="20"/>
          <w:szCs w:val="20"/>
          <w:color w:val="auto"/>
        </w:rPr>
      </w:pPr>
    </w:p>
    <w:p>
      <w:pPr>
        <w:jc w:val="center"/>
        <w:ind w:right="580"/>
        <w:spacing w:after="0"/>
        <w:rPr>
          <w:sz w:val="20"/>
          <w:szCs w:val="20"/>
          <w:color w:val="auto"/>
        </w:rPr>
      </w:pPr>
      <w:r>
        <w:rPr>
          <w:rFonts w:ascii="Arial" w:cs="Arial" w:eastAsia="Arial" w:hAnsi="Arial"/>
          <w:sz w:val="32"/>
          <w:szCs w:val="32"/>
          <w:b w:val="1"/>
          <w:bCs w:val="1"/>
          <w:color w:val="auto"/>
        </w:rPr>
        <w:t>— How To Vote —</w:t>
      </w:r>
    </w:p>
    <w:p>
      <w:pPr>
        <w:spacing w:after="0" w:line="40"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152400</wp:posOffset>
            </wp:positionV>
            <wp:extent cx="6740525" cy="1440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0525" cy="14408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-233680</wp:posOffset>
            </wp:positionV>
            <wp:extent cx="188595"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05815"/>
                    </a:xfrm>
                    <a:prstGeom prst="rect">
                      <a:avLst/>
                    </a:prstGeom>
                    <a:noFill/>
                  </pic:spPr>
                </pic:pic>
              </a:graphicData>
            </a:graphic>
          </wp:anchor>
        </w:drawing>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arrow è XXXX XXXX XXXX (located on the following page) and follow the instructions. You may vote by Internet up until 11:59 p.m.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April 20, 2011.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(as indicated above),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510540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589" w:right="359" w:bottom="1440" w:gutter="0" w:footer="0" w:header="0"/>
        </w:sectPr>
      </w:pPr>
    </w:p>
    <w:bookmarkStart w:id="3" w:name="page4"/>
    <w:bookmarkEnd w:id="3"/>
    <w:p>
      <w:pPr>
        <w:jc w:val="center"/>
        <w:ind w:right="1371"/>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314325</wp:posOffset>
            </wp:positionH>
            <wp:positionV relativeFrom="page">
              <wp:posOffset>400050</wp:posOffset>
            </wp:positionV>
            <wp:extent cx="2148205" cy="167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8205" cy="167005"/>
                    </a:xfrm>
                    <a:prstGeom prst="rect">
                      <a:avLst/>
                    </a:prstGeom>
                    <a:noFill/>
                  </pic:spPr>
                </pic:pic>
              </a:graphicData>
            </a:graphic>
          </wp:anchor>
        </w:drawing>
        <w:t>Voting items</w:t>
      </w:r>
    </w:p>
    <w:p>
      <w:pPr>
        <w:spacing w:after="0" w:line="55" w:lineRule="exact"/>
        <w:rPr>
          <w:sz w:val="20"/>
          <w:szCs w:val="20"/>
          <w:color w:val="auto"/>
        </w:rPr>
      </w:pPr>
    </w:p>
    <w:p>
      <w:pPr>
        <w:jc w:val="both"/>
        <w:ind w:left="9" w:right="1380"/>
        <w:spacing w:after="0" w:line="236" w:lineRule="auto"/>
        <w:rPr>
          <w:sz w:val="20"/>
          <w:szCs w:val="20"/>
          <w:color w:val="auto"/>
        </w:rPr>
      </w:pPr>
      <w:r>
        <w:rPr>
          <w:rFonts w:ascii="Arial" w:cs="Arial" w:eastAsia="Arial" w:hAnsi="Arial"/>
          <w:sz w:val="14"/>
          <w:szCs w:val="14"/>
          <w:b w:val="1"/>
          <w:bCs w:val="1"/>
          <w:color w:val="auto"/>
        </w:rPr>
        <w:t>The Board of Directors recommends you vote FOR each of the nominees for director, FOR Proposals 2 and 4, and for "3 YEARS" on Proposal 3.</w:t>
      </w:r>
    </w:p>
    <w:p>
      <w:pPr>
        <w:spacing w:after="0" w:line="135" w:lineRule="exact"/>
        <w:rPr>
          <w:sz w:val="20"/>
          <w:szCs w:val="20"/>
          <w:color w:val="auto"/>
        </w:rPr>
      </w:pPr>
    </w:p>
    <w:p>
      <w:pPr>
        <w:ind w:left="289" w:hanging="289"/>
        <w:spacing w:after="0"/>
        <w:tabs>
          <w:tab w:leader="none" w:pos="289"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0"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246"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1a.  R. W. Babb, Jr.</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1b.  D. A. Carp</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1c.   C. S. Cox</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1d.  S. P. MacMillan</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1e.  P. H. Patsley</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1f.   R. E. Sanchez</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1g.  W. R. Sanders</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1h.  R. J. Simmons</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1i.   R. K. Templeton</w:t>
      </w:r>
    </w:p>
    <w:p>
      <w:pPr>
        <w:spacing w:after="0" w:line="284" w:lineRule="exact"/>
        <w:rPr>
          <w:rFonts w:ascii="Arial" w:cs="Arial" w:eastAsia="Arial" w:hAnsi="Arial"/>
          <w:sz w:val="14"/>
          <w:szCs w:val="14"/>
          <w:color w:val="auto"/>
        </w:rPr>
      </w:pPr>
    </w:p>
    <w:p>
      <w:pPr>
        <w:ind w:left="289"/>
        <w:spacing w:after="0"/>
        <w:rPr>
          <w:rFonts w:ascii="Arial" w:cs="Arial" w:eastAsia="Arial" w:hAnsi="Arial"/>
          <w:sz w:val="14"/>
          <w:szCs w:val="14"/>
          <w:color w:val="auto"/>
        </w:rPr>
      </w:pPr>
      <w:r>
        <w:rPr>
          <w:rFonts w:ascii="Arial" w:cs="Arial" w:eastAsia="Arial" w:hAnsi="Arial"/>
          <w:sz w:val="14"/>
          <w:szCs w:val="14"/>
          <w:color w:val="auto"/>
        </w:rPr>
        <w:t>1j.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-521335</wp:posOffset>
            </wp:positionV>
            <wp:extent cx="154305" cy="763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763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419" w:hanging="312"/>
        <w:spacing w:after="0" w:line="231"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an advisory vote on named executive officer compensation.</w:t>
      </w:r>
    </w:p>
    <w:p>
      <w:pPr>
        <w:spacing w:after="0" w:line="378" w:lineRule="exact"/>
        <w:rPr>
          <w:rFonts w:ascii="Arial" w:cs="Arial" w:eastAsia="Arial" w:hAnsi="Arial"/>
          <w:sz w:val="14"/>
          <w:szCs w:val="14"/>
          <w:color w:val="auto"/>
        </w:rPr>
      </w:pPr>
    </w:p>
    <w:p>
      <w:pPr>
        <w:jc w:val="both"/>
        <w:ind w:left="320" w:right="419" w:hanging="312"/>
        <w:spacing w:after="0" w:line="228"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an advisory vote on the frequency of future advisory votes on named executive officer compensation.</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jc w:val="both"/>
        <w:ind w:left="320" w:right="419" w:hanging="312"/>
        <w:spacing w:after="0" w:line="228"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-1842770</wp:posOffset>
            </wp:positionV>
            <wp:extent cx="36004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397" w:lineRule="exact"/>
        <w:rPr>
          <w:sz w:val="20"/>
          <w:szCs w:val="20"/>
          <w:color w:val="auto"/>
        </w:rPr>
      </w:pPr>
    </w:p>
    <w:p>
      <w:pPr>
        <w:ind w:right="419"/>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2242185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769" w:space="720"/>
            <w:col w:w="4479"/>
          </w:cols>
          <w:pgMar w:left="491" w:top="663"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1791335</wp:posOffset>
            </wp:positionV>
            <wp:extent cx="710057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057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4786630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2867660</wp:posOffset>
            </wp:positionV>
            <wp:extent cx="171450" cy="771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1450" cy="771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2019-12-10T04:01:52Z</dcterms:created>
  <dcterms:modified xsi:type="dcterms:W3CDTF">2019-12-10T04:01:52Z</dcterms:modified>
</cp:coreProperties>
</file>