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tc>
      </w:tr>
      <w:tr>
        <w:trPr>
          <w:trHeight w:val="216"/>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333-229797</w:t>
            </w:r>
          </w:p>
        </w:tc>
      </w:tr>
      <w:tr>
        <w:trPr>
          <w:trHeight w:val="216"/>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Issuer Free Writing Prospectus dated March 1, 2019</w:t>
            </w:r>
          </w:p>
        </w:tc>
      </w:tr>
      <w:tr>
        <w:trPr>
          <w:trHeight w:val="238"/>
        </w:trPr>
        <w:tc>
          <w:tcPr>
            <w:tcW w:w="3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Relating to Preliminary Prospectus Supplement dated March 1, 2019</w:t>
            </w:r>
          </w:p>
        </w:tc>
      </w:tr>
      <w:tr>
        <w:trPr>
          <w:trHeight w:val="432"/>
        </w:trPr>
        <w:tc>
          <w:tcPr>
            <w:tcW w:w="3240" w:type="dxa"/>
            <w:vAlign w:val="bottom"/>
          </w:tcPr>
          <w:p>
            <w:pPr>
              <w:spacing w:after="0"/>
              <w:rPr>
                <w:sz w:val="24"/>
                <w:szCs w:val="24"/>
                <w:color w:val="auto"/>
              </w:rPr>
            </w:pPr>
          </w:p>
        </w:tc>
        <w:tc>
          <w:tcPr>
            <w:tcW w:w="7780" w:type="dxa"/>
            <w:vAlign w:val="bottom"/>
            <w:gridSpan w:val="3"/>
          </w:tcPr>
          <w:p>
            <w:pPr>
              <w:jc w:val="center"/>
              <w:ind w:right="3130"/>
              <w:spacing w:after="0"/>
              <w:rPr>
                <w:sz w:val="20"/>
                <w:szCs w:val="20"/>
                <w:color w:val="auto"/>
              </w:rPr>
            </w:pPr>
            <w:r>
              <w:rPr>
                <w:rFonts w:ascii="Times New Roman" w:cs="Times New Roman" w:eastAsia="Times New Roman" w:hAnsi="Times New Roman"/>
                <w:sz w:val="18"/>
                <w:szCs w:val="18"/>
                <w:b w:val="1"/>
                <w:bCs w:val="1"/>
                <w:color w:val="auto"/>
                <w:w w:val="99"/>
              </w:rPr>
              <w:t>TEXAS INSTRUMENTS INCORPORATED</w:t>
            </w:r>
          </w:p>
        </w:tc>
      </w:tr>
      <w:tr>
        <w:trPr>
          <w:trHeight w:val="432"/>
        </w:trPr>
        <w:tc>
          <w:tcPr>
            <w:tcW w:w="3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380" w:type="dxa"/>
            <w:vAlign w:val="bottom"/>
            <w:gridSpan w:val="2"/>
          </w:tcPr>
          <w:p>
            <w:pPr>
              <w:jc w:val="center"/>
              <w:ind w:right="4530"/>
              <w:spacing w:after="0"/>
              <w:rPr>
                <w:sz w:val="20"/>
                <w:szCs w:val="20"/>
                <w:color w:val="auto"/>
              </w:rPr>
            </w:pPr>
            <w:r>
              <w:rPr>
                <w:rFonts w:ascii="Times New Roman" w:cs="Times New Roman" w:eastAsia="Times New Roman" w:hAnsi="Times New Roman"/>
                <w:sz w:val="18"/>
                <w:szCs w:val="18"/>
                <w:b w:val="1"/>
                <w:bCs w:val="1"/>
                <w:color w:val="auto"/>
                <w:w w:val="98"/>
              </w:rPr>
              <w:t>Pricing Term Sheet</w:t>
            </w:r>
          </w:p>
        </w:tc>
      </w:tr>
      <w:tr>
        <w:trPr>
          <w:trHeight w:val="392"/>
        </w:trPr>
        <w:tc>
          <w:tcPr>
            <w:tcW w:w="3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u w:val="single" w:color="auto"/>
                <w:color w:val="auto"/>
              </w:rPr>
              <w:t>875%</w:t>
            </w:r>
            <w:r>
              <w:rPr>
                <w:rFonts w:ascii="Times New Roman" w:cs="Times New Roman" w:eastAsia="Times New Roman" w:hAnsi="Times New Roman"/>
                <w:sz w:val="18"/>
                <w:szCs w:val="18"/>
                <w:color w:val="auto"/>
              </w:rPr>
              <w:t xml:space="preserve"> Notes due 2039</w:t>
            </w:r>
          </w:p>
        </w:tc>
        <w:tc>
          <w:tcPr>
            <w:tcW w:w="4640" w:type="dxa"/>
            <w:vAlign w:val="bottom"/>
          </w:tcPr>
          <w:p>
            <w:pPr>
              <w:spacing w:after="0"/>
              <w:rPr>
                <w:sz w:val="24"/>
                <w:szCs w:val="24"/>
                <w:color w:val="auto"/>
              </w:rPr>
            </w:pPr>
          </w:p>
        </w:tc>
      </w:tr>
      <w:tr>
        <w:trPr>
          <w:trHeight w:val="588"/>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Texas Instruments Incorporated (“TI”)</w:t>
            </w:r>
          </w:p>
        </w:tc>
      </w:tr>
      <w:tr>
        <w:trPr>
          <w:trHeight w:val="32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31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$750,000,000</w:t>
            </w:r>
          </w:p>
        </w:tc>
        <w:tc>
          <w:tcPr>
            <w:tcW w:w="4640" w:type="dxa"/>
            <w:vAlign w:val="bottom"/>
          </w:tcPr>
          <w:p>
            <w:pPr>
              <w:spacing w:after="0"/>
              <w:rPr>
                <w:sz w:val="24"/>
                <w:szCs w:val="24"/>
                <w:color w:val="auto"/>
              </w:rPr>
            </w:pPr>
          </w:p>
        </w:tc>
      </w:tr>
      <w:tr>
        <w:trPr>
          <w:trHeight w:val="32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Maturity:</w:t>
            </w: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March 15, 2039</w:t>
            </w:r>
          </w:p>
        </w:tc>
      </w:tr>
      <w:tr>
        <w:trPr>
          <w:trHeight w:val="32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Coupon:</w:t>
            </w:r>
          </w:p>
        </w:tc>
        <w:tc>
          <w:tcPr>
            <w:tcW w:w="14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3.875%</w:t>
            </w:r>
          </w:p>
        </w:tc>
        <w:tc>
          <w:tcPr>
            <w:tcW w:w="174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32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Price to Public:</w:t>
            </w: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99.106% of principal amount</w:t>
            </w:r>
          </w:p>
        </w:tc>
      </w:tr>
      <w:tr>
        <w:trPr>
          <w:trHeight w:val="32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March 15 and September 15, beginning on September 15, 2019, and on the maturity date</w:t>
            </w:r>
          </w:p>
        </w:tc>
      </w:tr>
      <w:tr>
        <w:trPr>
          <w:trHeight w:val="32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Day Count Convention:</w:t>
            </w:r>
          </w:p>
        </w:tc>
        <w:tc>
          <w:tcPr>
            <w:tcW w:w="14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30/360</w:t>
            </w:r>
          </w:p>
        </w:tc>
        <w:tc>
          <w:tcPr>
            <w:tcW w:w="174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32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Proceeds (before expenses) to TI:</w:t>
            </w:r>
          </w:p>
        </w:tc>
        <w:tc>
          <w:tcPr>
            <w:tcW w:w="31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$737,670,000</w:t>
            </w:r>
          </w:p>
        </w:tc>
        <w:tc>
          <w:tcPr>
            <w:tcW w:w="4640" w:type="dxa"/>
            <w:vAlign w:val="bottom"/>
          </w:tcPr>
          <w:p>
            <w:pPr>
              <w:spacing w:after="0"/>
              <w:rPr>
                <w:sz w:val="24"/>
                <w:szCs w:val="24"/>
                <w:color w:val="auto"/>
              </w:rPr>
            </w:pPr>
          </w:p>
        </w:tc>
      </w:tr>
      <w:tr>
        <w:trPr>
          <w:trHeight w:val="32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w:t>
            </w: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3.375% due November 15, 2048</w:t>
            </w:r>
          </w:p>
        </w:tc>
      </w:tr>
      <w:tr>
        <w:trPr>
          <w:trHeight w:val="32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Spread to Benchmark Treasury:</w:t>
            </w: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82 basis points</w:t>
            </w:r>
          </w:p>
        </w:tc>
      </w:tr>
      <w:tr>
        <w:trPr>
          <w:trHeight w:val="32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Yield to Maturity:</w:t>
            </w:r>
          </w:p>
        </w:tc>
        <w:tc>
          <w:tcPr>
            <w:tcW w:w="14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3.94%</w:t>
            </w:r>
          </w:p>
        </w:tc>
        <w:tc>
          <w:tcPr>
            <w:tcW w:w="174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32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 Price and Yield:</w:t>
            </w:r>
          </w:p>
        </w:tc>
        <w:tc>
          <w:tcPr>
            <w:tcW w:w="31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104-29; 3.12%</w:t>
            </w:r>
          </w:p>
        </w:tc>
        <w:tc>
          <w:tcPr>
            <w:tcW w:w="4640" w:type="dxa"/>
            <w:vAlign w:val="bottom"/>
          </w:tcPr>
          <w:p>
            <w:pPr>
              <w:spacing w:after="0"/>
              <w:rPr>
                <w:sz w:val="24"/>
                <w:szCs w:val="24"/>
                <w:color w:val="auto"/>
              </w:rPr>
            </w:pPr>
          </w:p>
        </w:tc>
      </w:tr>
      <w:tr>
        <w:trPr>
          <w:trHeight w:val="30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Make-Whole Call:</w:t>
            </w: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At any time before September 15, 2038 (six months before the maturity date) at the greater of: (i)</w:t>
            </w:r>
          </w:p>
        </w:tc>
      </w:tr>
      <w:tr>
        <w:trPr>
          <w:trHeight w:val="216"/>
        </w:trPr>
        <w:tc>
          <w:tcPr>
            <w:tcW w:w="3240" w:type="dxa"/>
            <w:vAlign w:val="bottom"/>
          </w:tcPr>
          <w:p>
            <w:pPr>
              <w:spacing w:after="0"/>
              <w:rPr>
                <w:sz w:val="18"/>
                <w:szCs w:val="18"/>
                <w:color w:val="auto"/>
              </w:rPr>
            </w:pP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100% of the principal amount of the notes being redeemed; and (ii) the sum of the present values</w:t>
            </w:r>
          </w:p>
        </w:tc>
      </w:tr>
      <w:tr>
        <w:trPr>
          <w:trHeight w:val="216"/>
        </w:trPr>
        <w:tc>
          <w:tcPr>
            <w:tcW w:w="3240" w:type="dxa"/>
            <w:vAlign w:val="bottom"/>
          </w:tcPr>
          <w:p>
            <w:pPr>
              <w:spacing w:after="0"/>
              <w:rPr>
                <w:sz w:val="18"/>
                <w:szCs w:val="18"/>
                <w:color w:val="auto"/>
              </w:rPr>
            </w:pP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of the principal amount of such notes and the scheduled payments of interest thereon (not</w:t>
            </w:r>
          </w:p>
        </w:tc>
      </w:tr>
      <w:tr>
        <w:trPr>
          <w:trHeight w:val="216"/>
        </w:trPr>
        <w:tc>
          <w:tcPr>
            <w:tcW w:w="3240" w:type="dxa"/>
            <w:vAlign w:val="bottom"/>
          </w:tcPr>
          <w:p>
            <w:pPr>
              <w:spacing w:after="0"/>
              <w:rPr>
                <w:sz w:val="18"/>
                <w:szCs w:val="18"/>
                <w:color w:val="auto"/>
              </w:rPr>
            </w:pP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including any portion of such payments of interest accrued as of the date of redemption) from the</w:t>
            </w:r>
          </w:p>
        </w:tc>
      </w:tr>
      <w:tr>
        <w:trPr>
          <w:trHeight w:val="216"/>
        </w:trPr>
        <w:tc>
          <w:tcPr>
            <w:tcW w:w="3240" w:type="dxa"/>
            <w:vAlign w:val="bottom"/>
          </w:tcPr>
          <w:p>
            <w:pPr>
              <w:spacing w:after="0"/>
              <w:rPr>
                <w:sz w:val="18"/>
                <w:szCs w:val="18"/>
                <w:color w:val="auto"/>
              </w:rPr>
            </w:pP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date of redemption to September 15, 2038 (six months before the maturity date), in each case</w:t>
            </w:r>
          </w:p>
        </w:tc>
      </w:tr>
      <w:tr>
        <w:trPr>
          <w:trHeight w:val="216"/>
        </w:trPr>
        <w:tc>
          <w:tcPr>
            <w:tcW w:w="3240" w:type="dxa"/>
            <w:vAlign w:val="bottom"/>
          </w:tcPr>
          <w:p>
            <w:pPr>
              <w:spacing w:after="0"/>
              <w:rPr>
                <w:sz w:val="18"/>
                <w:szCs w:val="18"/>
                <w:color w:val="auto"/>
              </w:rPr>
            </w:pP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discounted to the date of redemption on a semi-annual basis at the rate of Treasury plus 15 basis</w:t>
            </w:r>
          </w:p>
        </w:tc>
      </w:tr>
      <w:tr>
        <w:trPr>
          <w:trHeight w:val="234"/>
        </w:trPr>
        <w:tc>
          <w:tcPr>
            <w:tcW w:w="3240" w:type="dxa"/>
            <w:vAlign w:val="bottom"/>
          </w:tcPr>
          <w:p>
            <w:pPr>
              <w:spacing w:after="0"/>
              <w:rPr>
                <w:sz w:val="20"/>
                <w:szCs w:val="20"/>
                <w:color w:val="auto"/>
              </w:rPr>
            </w:pP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points</w:t>
            </w:r>
          </w:p>
        </w:tc>
      </w:tr>
      <w:tr>
        <w:trPr>
          <w:trHeight w:val="30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Par Call:</w:t>
            </w: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At any time on or after September 15, 2038 (six months before the maturity date) at 100% of the</w:t>
            </w:r>
          </w:p>
        </w:tc>
      </w:tr>
      <w:tr>
        <w:trPr>
          <w:trHeight w:val="234"/>
        </w:trPr>
        <w:tc>
          <w:tcPr>
            <w:tcW w:w="3240" w:type="dxa"/>
            <w:vAlign w:val="bottom"/>
          </w:tcPr>
          <w:p>
            <w:pPr>
              <w:spacing w:after="0"/>
              <w:rPr>
                <w:sz w:val="20"/>
                <w:szCs w:val="20"/>
                <w:color w:val="auto"/>
              </w:rPr>
            </w:pP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principal amount of notes being redeemed</w:t>
            </w:r>
          </w:p>
        </w:tc>
      </w:tr>
      <w:tr>
        <w:trPr>
          <w:trHeight w:val="32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March 1, 2019</w:t>
            </w:r>
          </w:p>
        </w:tc>
      </w:tr>
      <w:tr>
        <w:trPr>
          <w:trHeight w:val="32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w:t>
            </w: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March 11, 2019 (T+6)</w:t>
            </w:r>
          </w:p>
        </w:tc>
      </w:tr>
      <w:tr>
        <w:trPr>
          <w:trHeight w:val="32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Denominations:</w:t>
            </w: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$2,000 and multiples of $1,000 thereafter</w:t>
            </w:r>
          </w:p>
        </w:tc>
      </w:tr>
      <w:tr>
        <w:trPr>
          <w:trHeight w:val="32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CUSIP/ISIN:</w:t>
            </w: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882508 BF0 / US882508BF00</w:t>
            </w:r>
          </w:p>
        </w:tc>
      </w:tr>
      <w:tr>
        <w:trPr>
          <w:trHeight w:val="30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Ratings:*</w:t>
            </w: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Moody’s: A1 (stable outlook)</w:t>
            </w:r>
          </w:p>
        </w:tc>
      </w:tr>
      <w:tr>
        <w:trPr>
          <w:trHeight w:val="234"/>
        </w:trPr>
        <w:tc>
          <w:tcPr>
            <w:tcW w:w="3240" w:type="dxa"/>
            <w:vAlign w:val="bottom"/>
          </w:tcPr>
          <w:p>
            <w:pPr>
              <w:spacing w:after="0"/>
              <w:rPr>
                <w:sz w:val="20"/>
                <w:szCs w:val="20"/>
                <w:color w:val="auto"/>
              </w:rPr>
            </w:pP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S&amp;P: A+ (stable outlook)</w:t>
            </w:r>
          </w:p>
        </w:tc>
      </w:tr>
      <w:tr>
        <w:trPr>
          <w:trHeight w:val="30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Joint Book-Running Managers:</w:t>
            </w: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Barclays Capital Inc.</w:t>
            </w:r>
          </w:p>
        </w:tc>
      </w:tr>
      <w:tr>
        <w:trPr>
          <w:trHeight w:val="216"/>
        </w:trPr>
        <w:tc>
          <w:tcPr>
            <w:tcW w:w="3240" w:type="dxa"/>
            <w:vAlign w:val="bottom"/>
          </w:tcPr>
          <w:p>
            <w:pPr>
              <w:spacing w:after="0"/>
              <w:rPr>
                <w:sz w:val="18"/>
                <w:szCs w:val="18"/>
                <w:color w:val="auto"/>
              </w:rPr>
            </w:pP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J.P. Morgan Securities LLC</w:t>
            </w:r>
          </w:p>
        </w:tc>
      </w:tr>
      <w:tr>
        <w:trPr>
          <w:trHeight w:val="216"/>
        </w:trPr>
        <w:tc>
          <w:tcPr>
            <w:tcW w:w="3240" w:type="dxa"/>
            <w:vAlign w:val="bottom"/>
          </w:tcPr>
          <w:p>
            <w:pPr>
              <w:spacing w:after="0"/>
              <w:rPr>
                <w:sz w:val="18"/>
                <w:szCs w:val="18"/>
                <w:color w:val="auto"/>
              </w:rPr>
            </w:pP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MUFG Securities Americas Inc.</w:t>
            </w:r>
          </w:p>
        </w:tc>
      </w:tr>
      <w:tr>
        <w:trPr>
          <w:trHeight w:val="216"/>
        </w:trPr>
        <w:tc>
          <w:tcPr>
            <w:tcW w:w="3240" w:type="dxa"/>
            <w:vAlign w:val="bottom"/>
          </w:tcPr>
          <w:p>
            <w:pPr>
              <w:spacing w:after="0"/>
              <w:rPr>
                <w:sz w:val="18"/>
                <w:szCs w:val="18"/>
                <w:color w:val="auto"/>
              </w:rPr>
            </w:pP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Citigroup Global Markets Inc.</w:t>
            </w:r>
          </w:p>
        </w:tc>
      </w:tr>
      <w:tr>
        <w:trPr>
          <w:trHeight w:val="216"/>
        </w:trPr>
        <w:tc>
          <w:tcPr>
            <w:tcW w:w="3240" w:type="dxa"/>
            <w:vAlign w:val="bottom"/>
          </w:tcPr>
          <w:p>
            <w:pPr>
              <w:spacing w:after="0"/>
              <w:rPr>
                <w:sz w:val="18"/>
                <w:szCs w:val="18"/>
                <w:color w:val="auto"/>
              </w:rPr>
            </w:pP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Merrill Lynch, Pierce, Fenner &amp; Smith</w:t>
            </w:r>
          </w:p>
        </w:tc>
      </w:tr>
      <w:tr>
        <w:trPr>
          <w:trHeight w:val="216"/>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380" w:type="dxa"/>
            <w:vAlign w:val="bottom"/>
            <w:gridSpan w:val="2"/>
          </w:tcPr>
          <w:p>
            <w:pPr>
              <w:jc w:val="right"/>
              <w:ind w:right="5190"/>
              <w:spacing w:after="0"/>
              <w:rPr>
                <w:sz w:val="20"/>
                <w:szCs w:val="20"/>
                <w:color w:val="auto"/>
              </w:rPr>
            </w:pPr>
            <w:r>
              <w:rPr>
                <w:rFonts w:ascii="Times New Roman" w:cs="Times New Roman" w:eastAsia="Times New Roman" w:hAnsi="Times New Roman"/>
                <w:sz w:val="18"/>
                <w:szCs w:val="18"/>
                <w:color w:val="auto"/>
              </w:rPr>
              <w:t>Incorporated</w:t>
            </w:r>
          </w:p>
        </w:tc>
      </w:tr>
      <w:tr>
        <w:trPr>
          <w:trHeight w:val="216"/>
        </w:trPr>
        <w:tc>
          <w:tcPr>
            <w:tcW w:w="3240" w:type="dxa"/>
            <w:vAlign w:val="bottom"/>
          </w:tcPr>
          <w:p>
            <w:pPr>
              <w:spacing w:after="0"/>
              <w:rPr>
                <w:sz w:val="18"/>
                <w:szCs w:val="18"/>
                <w:color w:val="auto"/>
              </w:rPr>
            </w:pP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Mizuho Securities USA LLC</w:t>
            </w:r>
          </w:p>
        </w:tc>
      </w:tr>
      <w:tr>
        <w:trPr>
          <w:trHeight w:val="234"/>
        </w:trPr>
        <w:tc>
          <w:tcPr>
            <w:tcW w:w="3240" w:type="dxa"/>
            <w:vAlign w:val="bottom"/>
          </w:tcPr>
          <w:p>
            <w:pPr>
              <w:spacing w:after="0"/>
              <w:rPr>
                <w:sz w:val="20"/>
                <w:szCs w:val="20"/>
                <w:color w:val="auto"/>
              </w:rPr>
            </w:pP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Morgan Stanley &amp; Co. LLC</w:t>
            </w:r>
          </w:p>
        </w:tc>
      </w:tr>
      <w:tr>
        <w:trPr>
          <w:trHeight w:val="31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Co-Managers:</w:t>
            </w: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U.S. Bancorp Investments, Inc.</w:t>
            </w:r>
          </w:p>
        </w:tc>
      </w:tr>
      <w:tr>
        <w:trPr>
          <w:trHeight w:val="216"/>
        </w:trPr>
        <w:tc>
          <w:tcPr>
            <w:tcW w:w="3240" w:type="dxa"/>
            <w:vAlign w:val="bottom"/>
          </w:tcPr>
          <w:p>
            <w:pPr>
              <w:spacing w:after="0"/>
              <w:rPr>
                <w:sz w:val="18"/>
                <w:szCs w:val="18"/>
                <w:color w:val="auto"/>
              </w:rPr>
            </w:pP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The Williams Capital Group, L.P.</w:t>
            </w:r>
          </w:p>
        </w:tc>
      </w:tr>
      <w:tr>
        <w:trPr>
          <w:trHeight w:val="216"/>
        </w:trPr>
        <w:tc>
          <w:tcPr>
            <w:tcW w:w="3240" w:type="dxa"/>
            <w:vAlign w:val="bottom"/>
          </w:tcPr>
          <w:p>
            <w:pPr>
              <w:spacing w:after="0"/>
              <w:rPr>
                <w:sz w:val="18"/>
                <w:szCs w:val="18"/>
                <w:color w:val="auto"/>
              </w:rPr>
            </w:pP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BNP Paribas Securities Corp.</w:t>
            </w:r>
          </w:p>
        </w:tc>
      </w:tr>
      <w:tr>
        <w:trPr>
          <w:trHeight w:val="234"/>
        </w:trPr>
        <w:tc>
          <w:tcPr>
            <w:tcW w:w="3240" w:type="dxa"/>
            <w:vAlign w:val="bottom"/>
          </w:tcPr>
          <w:p>
            <w:pPr>
              <w:spacing w:after="0"/>
              <w:rPr>
                <w:sz w:val="20"/>
                <w:szCs w:val="20"/>
                <w:color w:val="auto"/>
              </w:rPr>
            </w:pP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HSBC Securities (USA) Inc.</w:t>
            </w:r>
          </w:p>
        </w:tc>
      </w:tr>
    </w:tbl>
    <w:p>
      <w:pPr>
        <w:sectPr>
          <w:pgSz w:w="11900" w:h="16838" w:orient="portrait"/>
          <w:cols w:equalWidth="0" w:num="1">
            <w:col w:w="11020"/>
          </w:cols>
          <w:pgMar w:left="44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securities rating is not a recommendation to buy, sell or hold securities and may be subject to revision or withdrawal at any time.</w:t>
      </w:r>
    </w:p>
    <w:p>
      <w:pPr>
        <w:spacing w:after="0" w:line="22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It is expected that delivery of the notes will be made against payment therefore on or about March 11, 2019, which is the sixth business day following the date hereof (such settlement cycle being referred to as “T+6”). Under Rule 15c6-1 under the Securities Exchange Act of 1934, as amended, trades in the secondary market generally are required to settle in two business days unless the parties to any such trade expressly agree otherwise. Accordingly, purchasers who wish to trade the notes prior to the second business day before the delivery of the notes will be required, by virtue of the fact that the notes initially will settle in T+6, to specify an alternative settlement cycle at the time of any such trade to prevent failed settlement. Purchasers of the notes who wish to trade the notes on the date of pricing should consult their own advisors.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The issuer has filed a registration statement (including a prospectus) and a prospectus supplement with the Securities and Exchange Commission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Barclays Capital Inc. at (888) 603-5847, J.P. Morgan Securities LLC at (212) 834-4533 and MUFG Securities Americas Inc. at (877) 649-6848.</w:t>
      </w:r>
    </w:p>
    <w:p>
      <w:pPr>
        <w:spacing w:after="0" w:line="18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2019-12-04T23:36:27Z</dcterms:created>
  <dcterms:modified xsi:type="dcterms:W3CDTF">2019-12-04T23:36:27Z</dcterms:modified>
</cp:coreProperties>
</file>