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tbl>
      <w:tblPr>
        <w:tblLayout w:type="fixed"/>
        <w:tblInd w:w="112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57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charter)</w:t>
            </w:r>
          </w:p>
        </w:tc>
        <w:tc>
          <w:tcPr>
            <w:tcW w:w="1460" w:type="dxa"/>
            <w:vAlign w:val="bottom"/>
          </w:tcPr>
          <w:p>
            <w:pPr>
              <w:spacing w:after="0"/>
              <w:rPr>
                <w:sz w:val="20"/>
                <w:szCs w:val="20"/>
                <w:color w:val="auto"/>
              </w:rPr>
            </w:pPr>
          </w:p>
        </w:tc>
      </w:tr>
      <w:tr>
        <w:trPr>
          <w:trHeight w:val="327"/>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8"/>
        </w:trPr>
        <w:tc>
          <w:tcPr>
            <w:tcW w:w="182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96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001-03761</w:t>
            </w:r>
          </w:p>
        </w:tc>
        <w:tc>
          <w:tcPr>
            <w:tcW w:w="1780" w:type="dxa"/>
            <w:vAlign w:val="bottom"/>
          </w:tcPr>
          <w:p>
            <w:pPr>
              <w:spacing w:after="0"/>
              <w:rPr>
                <w:sz w:val="24"/>
                <w:szCs w:val="24"/>
                <w:color w:val="auto"/>
              </w:rPr>
            </w:pPr>
          </w:p>
        </w:tc>
        <w:tc>
          <w:tcPr>
            <w:tcW w:w="1460" w:type="dxa"/>
            <w:vAlign w:val="bottom"/>
          </w:tcPr>
          <w:p>
            <w:pPr>
              <w:jc w:val="center"/>
              <w:ind w:left="302"/>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580" w:type="dxa"/>
            <w:vAlign w:val="bottom"/>
          </w:tcPr>
          <w:p>
            <w:pPr>
              <w:spacing w:after="0"/>
              <w:rPr>
                <w:sz w:val="12"/>
                <w:szCs w:val="12"/>
                <w:color w:val="auto"/>
              </w:rPr>
            </w:pPr>
          </w:p>
        </w:tc>
        <w:tc>
          <w:tcPr>
            <w:tcW w:w="4160" w:type="dxa"/>
            <w:vAlign w:val="bottom"/>
            <w:gridSpan w:val="2"/>
          </w:tcPr>
          <w:p>
            <w:pPr>
              <w:ind w:left="9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60" w:type="dxa"/>
            <w:vAlign w:val="bottom"/>
          </w:tcPr>
          <w:p>
            <w:pPr>
              <w:jc w:val="center"/>
              <w:ind w:left="3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580" w:type="dxa"/>
            <w:vAlign w:val="bottom"/>
          </w:tcPr>
          <w:p>
            <w:pPr>
              <w:spacing w:after="0"/>
              <w:rPr>
                <w:sz w:val="16"/>
                <w:szCs w:val="16"/>
                <w:color w:val="auto"/>
              </w:rPr>
            </w:pPr>
          </w:p>
        </w:tc>
        <w:tc>
          <w:tcPr>
            <w:tcW w:w="416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6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460" w:type="dxa"/>
            <w:vAlign w:val="bottom"/>
          </w:tcPr>
          <w:p>
            <w:pPr>
              <w:spacing w:after="0"/>
              <w:rPr>
                <w:sz w:val="24"/>
                <w:szCs w:val="24"/>
                <w:color w:val="auto"/>
              </w:rPr>
            </w:pPr>
          </w:p>
        </w:tc>
      </w:tr>
      <w:tr>
        <w:trPr>
          <w:trHeight w:val="214"/>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460" w:type="dxa"/>
            <w:vAlign w:val="bottom"/>
          </w:tcPr>
          <w:p>
            <w:pPr>
              <w:spacing w:after="0"/>
              <w:rPr>
                <w:sz w:val="18"/>
                <w:szCs w:val="18"/>
                <w:color w:val="auto"/>
              </w:rPr>
            </w:pPr>
          </w:p>
        </w:tc>
      </w:tr>
      <w:tr>
        <w:trPr>
          <w:trHeight w:val="190"/>
        </w:trPr>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60" w:type="dxa"/>
            <w:vAlign w:val="bottom"/>
            <w:gridSpan w:val="2"/>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60" w:type="dxa"/>
            <w:vAlign w:val="bottom"/>
          </w:tcPr>
          <w:p>
            <w:pPr>
              <w:spacing w:after="0"/>
              <w:rPr>
                <w:sz w:val="16"/>
                <w:szCs w:val="16"/>
                <w:color w:val="auto"/>
              </w:rPr>
            </w:pPr>
          </w:p>
        </w:tc>
      </w:tr>
      <w:tr>
        <w:trPr>
          <w:trHeight w:val="415"/>
        </w:trPr>
        <w:tc>
          <w:tcPr>
            <w:tcW w:w="1820" w:type="dxa"/>
            <w:vAlign w:val="bottom"/>
          </w:tcPr>
          <w:p>
            <w:pPr>
              <w:spacing w:after="0"/>
              <w:rPr>
                <w:sz w:val="24"/>
                <w:szCs w:val="24"/>
                <w:color w:val="auto"/>
              </w:rPr>
            </w:pPr>
          </w:p>
        </w:tc>
        <w:tc>
          <w:tcPr>
            <w:tcW w:w="57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(214) 479-3773</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120"/>
        <w:spacing w:after="0" w:line="207" w:lineRule="exact"/>
        <w:tabs>
          <w:tab w:leader="none" w:pos="112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$500 Million of Notes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November 3, 2017, Texas Instruments Incorporated (“Texas Instruments”) consummated the issuance and sale of $500,000,000 aggregate principal amount of its 2.900% Notes due 2027 (the “Notes”), pursuant to an underwriting agreement filed herewith as Exhibit 1.1 dated October 26, 2017 among Texas Instruments and Barclays Capital Inc., J.P. Morgan Securities LLC, and Merrill Lynch, Pierce, Fenner &amp; Smith Incorporated, as representatives of the several underwriters named therein. The Notes will be issued pursuant to an Indenture dated as of May 23, 2011 (the “Indenture”) between Texas Instruments and U.S. Bank National Association, as trustee, and an Officers’ Certificate issued pursuant thereto.</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are being offered pursuant to Texas Instruments’ Registration Statement on Form S-3 filed on February 24, 2016 (Reg. No. 333-209678), including the prospectus contained therein (the “Registration Statement”), and a related preliminary prospectus supplement dated October 26, 2017 and a prospectus supplement dated October 26, 2017.</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66"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Exhibit</w:t>
            </w:r>
          </w:p>
        </w:tc>
        <w:tc>
          <w:tcPr>
            <w:tcW w:w="5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44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No.</w:t>
            </w:r>
          </w:p>
        </w:tc>
        <w:tc>
          <w:tcPr>
            <w:tcW w:w="5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24"/>
                <w:szCs w:val="24"/>
                <w:color w:val="auto"/>
              </w:rPr>
            </w:pPr>
          </w:p>
        </w:tc>
        <w:tc>
          <w:tcPr>
            <w:tcW w:w="10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Underwriting Agreement, dated October 26, 2017, among Texas Instruments and Barclays Capital Inc., J.P. Morgan Securities LLC, and Merrill</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80" w:type="dxa"/>
            <w:vAlign w:val="bottom"/>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Lynch, Pierce, Fenner &amp; Smith Incorporated, as representatives of the several underwriters named in Schedule II therein</w:t>
              </w:r>
            </w:hyperlink>
          </w:p>
        </w:tc>
        <w:tc>
          <w:tcPr>
            <w:tcW w:w="0" w:type="dxa"/>
            <w:vAlign w:val="bottom"/>
          </w:tcPr>
          <w:p>
            <w:pPr>
              <w:spacing w:after="0"/>
              <w:rPr>
                <w:sz w:val="1"/>
                <w:szCs w:val="1"/>
                <w:color w:val="auto"/>
              </w:rPr>
            </w:pPr>
          </w:p>
        </w:tc>
      </w:tr>
      <w:tr>
        <w:trPr>
          <w:trHeight w:val="304"/>
        </w:trPr>
        <w:tc>
          <w:tcPr>
            <w:tcW w:w="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Officers’ Certificate setting forth the terms of the Notes</w:t>
              </w:r>
            </w:hyperlink>
          </w:p>
        </w:tc>
        <w:tc>
          <w:tcPr>
            <w:tcW w:w="4700" w:type="dxa"/>
            <w:vAlign w:val="bottom"/>
            <w:tcBorders>
              <w:top w:val="single" w:sz="8" w:color="0000EE"/>
            </w:tcBorders>
            <w:gridSpan w:val="4"/>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10380" w:type="dxa"/>
            <w:vAlign w:val="bottom"/>
            <w:gridSpan w:val="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Opinion of Davis Polk &amp; Wardwell LLP</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95"/>
              </w:rPr>
              <w:t>23.1</w:t>
            </w:r>
          </w:p>
        </w:tc>
        <w:tc>
          <w:tcPr>
            <w:tcW w:w="560" w:type="dxa"/>
            <w:vAlign w:val="bottom"/>
          </w:tcPr>
          <w:p>
            <w:pPr>
              <w:spacing w:after="0"/>
              <w:rPr>
                <w:sz w:val="24"/>
                <w:szCs w:val="24"/>
                <w:color w:val="auto"/>
              </w:rPr>
            </w:pPr>
          </w:p>
        </w:tc>
        <w:tc>
          <w:tcPr>
            <w:tcW w:w="10380" w:type="dxa"/>
            <w:vAlign w:val="bottom"/>
            <w:gridSpan w:val="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Consent of Davis Polk &amp; Wardwell LLP (contained in Exhibit 5.1)</w:t>
              </w:r>
            </w:hyperlink>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Borders>
              <w:top w:val="single" w:sz="8" w:color="0000EE"/>
            </w:tcBorders>
            <w:gridSpan w:val="3"/>
          </w:tcPr>
          <w:p>
            <w:pPr>
              <w:ind w:left="46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66" w:right="2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2017</w:t>
            </w:r>
          </w:p>
        </w:tc>
        <w:tc>
          <w:tcPr>
            <w:tcW w:w="77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Rafael R. Lizardi</w:t>
            </w:r>
          </w:p>
        </w:tc>
      </w:tr>
      <w:tr>
        <w:trPr>
          <w:trHeight w:val="191"/>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Rafael R. Lizardi</w:t>
            </w:r>
          </w:p>
        </w:tc>
      </w:tr>
      <w:tr>
        <w:trPr>
          <w:trHeight w:val="234"/>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365"/>
        </w:trPr>
        <w:tc>
          <w:tcPr>
            <w:tcW w:w="3720" w:type="dxa"/>
            <w:vAlign w:val="bottom"/>
          </w:tcPr>
          <w:p>
            <w:pPr>
              <w:spacing w:after="0"/>
              <w:rPr>
                <w:sz w:val="24"/>
                <w:szCs w:val="24"/>
                <w:color w:val="auto"/>
              </w:rPr>
            </w:pPr>
          </w:p>
        </w:tc>
        <w:tc>
          <w:tcPr>
            <w:tcW w:w="2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8"/>
          <w:szCs w:val="18"/>
          <w:color w:val="auto"/>
        </w:rPr>
        <w:t>October 26,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understand that Texas 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 principal amount of the 2.900% Notes due 2027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identified in Schedule I hereto, as more fully described in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Sale Prospectus. The Offered Securities will be issued pursuant to an Indenture dated as of May 23, 2011, between the Company and U.S. Bank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herein or incorporated by reference herein, the Company agrees to sell and the Underwriters agree to purchase, severally and not jointly, at the purchase price set forth in Schedule I hereto, the principal amount of the Offered Securities set forth opposite their respective names in Schedule II hereto. For purposes of this Agreement,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2:15 P.M. (New York time) on the date hereof.</w:t>
      </w:r>
    </w:p>
    <w:p>
      <w:pPr>
        <w:spacing w:after="0" w:line="176"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Payment of the purchase price for the Offered Securities shall be made to the Company by Federal funds wire transfer against delivery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November 3, 2017, or at such other time, not later than November 10, 2017, as shall be designated by the Manager.</w:t>
      </w:r>
    </w:p>
    <w:p>
      <w:pPr>
        <w:spacing w:after="0" w:line="18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All the provisions contained in the document entitled Texas Instruments Incorporated Underwriting Agreement Standard Provisions dated February 24, 2016 (the “</w:t>
      </w:r>
      <w:r>
        <w:rPr>
          <w:rFonts w:ascii="Times New Roman" w:cs="Times New Roman" w:eastAsia="Times New Roman" w:hAnsi="Times New Roman"/>
          <w:sz w:val="18"/>
          <w:szCs w:val="18"/>
          <w:b w:val="1"/>
          <w:bCs w:val="1"/>
          <w:color w:val="auto"/>
        </w:rPr>
        <w:t>Standard Provisions</w:t>
      </w:r>
      <w:r>
        <w:rPr>
          <w:rFonts w:ascii="Times New Roman" w:cs="Times New Roman" w:eastAsia="Times New Roman" w:hAnsi="Times New Roman"/>
          <w:sz w:val="18"/>
          <w:szCs w:val="18"/>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as used therein, shall, for purposes of this</w:t>
      </w:r>
    </w:p>
    <w:p>
      <w:pPr>
        <w:sectPr>
          <w:pgSz w:w="11900" w:h="16838" w:orient="portrait"/>
          <w:cols w:equalWidth="0" w:num="1">
            <w:col w:w="11420"/>
          </w:cols>
          <w:pgMar w:left="240" w:top="117" w:right="23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mean Barclays Capital Inc., J.P. Morgan Securities LLC and Merrill Lynch, Pierce, Fenner &amp; Smith Incorporated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and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w:t>
      </w:r>
    </w:p>
    <w:p>
      <w:pPr>
        <w:spacing w:after="0" w:line="189" w:lineRule="exact"/>
        <w:rPr>
          <w:sz w:val="20"/>
          <w:szCs w:val="20"/>
          <w:color w:val="auto"/>
        </w:rPr>
      </w:pPr>
    </w:p>
    <w:p>
      <w:pPr>
        <w:jc w:val="both"/>
        <w:ind w:right="20" w:firstLine="456"/>
        <w:spacing w:after="0" w:line="289" w:lineRule="auto"/>
        <w:rPr>
          <w:sz w:val="20"/>
          <w:szCs w:val="20"/>
          <w:color w:val="auto"/>
        </w:rPr>
      </w:pPr>
      <w:r>
        <w:rPr>
          <w:rFonts w:ascii="Times New Roman" w:cs="Times New Roman" w:eastAsia="Times New Roman" w:hAnsi="Times New Roman"/>
          <w:sz w:val="17"/>
          <w:szCs w:val="17"/>
          <w:color w:val="auto"/>
        </w:rPr>
        <w:t>The parties hereby agree that Merrill Lynch, Pierce, Fenner &amp; Smith Incorporated may, without notice to the Company, assign its rights and obligations under this Agreement to any other registered broker-dealer wholly-owned by Bank of America Corporation to which all or substantially all of Merrill Lynch, Pierce, Fenner &amp; Smith Incorporated’s capital markets, investment banking or related businesses may be transferred following the date of this Agreement.</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6" w:name="page7"/>
    <w:bookmarkEnd w:id="6"/>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On behalf of themselves and the several Underwriters listed in</w:t>
      </w:r>
    </w:p>
    <w:p>
      <w:pPr>
        <w:spacing w:after="0" w:line="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Schedule II hereto</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E. Pete Contrucci III</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E. Pete Contrucci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Robert Bottamedi</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color w:val="auto"/>
        </w:rPr>
        <w:t>Incorporated</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Andrew Karp</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Andrew Karp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1340"/>
          </w:cols>
          <w:pgMar w:left="240" w:top="27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Alan C. Boyd</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70"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-210820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 w:lineRule="exact"/>
        <w:rPr>
          <w:sz w:val="20"/>
          <w:szCs w:val="20"/>
          <w:color w:val="auto"/>
        </w:rPr>
      </w:pPr>
    </w:p>
    <w:p>
      <w:pPr>
        <w:jc w:val="center"/>
        <w:ind w:right="392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3" w:lineRule="exact"/>
        <w:rPr>
          <w:sz w:val="20"/>
          <w:szCs w:val="20"/>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2.900% Notes due 2027</w:t>
      </w:r>
    </w:p>
    <w:p>
      <w:pPr>
        <w:spacing w:after="0" w:line="2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$500,000,000</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November 3, 2027</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2.900%</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98.843% of principal amount</w:t>
      </w:r>
    </w:p>
    <w:p>
      <w:pPr>
        <w:spacing w:after="0" w:line="225" w:lineRule="exact"/>
        <w:rPr>
          <w:sz w:val="20"/>
          <w:szCs w:val="20"/>
          <w:color w:val="auto"/>
        </w:rPr>
      </w:pPr>
    </w:p>
    <w:p>
      <w:pPr>
        <w:ind w:left="2080" w:right="160"/>
        <w:spacing w:after="0" w:line="282" w:lineRule="auto"/>
        <w:rPr>
          <w:sz w:val="20"/>
          <w:szCs w:val="20"/>
          <w:color w:val="auto"/>
        </w:rPr>
      </w:pPr>
      <w:r>
        <w:rPr>
          <w:rFonts w:ascii="Times New Roman" w:cs="Times New Roman" w:eastAsia="Times New Roman" w:hAnsi="Times New Roman"/>
          <w:sz w:val="18"/>
          <w:szCs w:val="18"/>
          <w:color w:val="auto"/>
        </w:rPr>
        <w:t>May 3 and November 3 beginning on May 3, 2018, and on the maturity date</w:t>
      </w:r>
    </w:p>
    <w:p>
      <w:pPr>
        <w:spacing w:after="0" w:line="16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30/360</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$491,965,000</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2.250% due August 15, 2027</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58 basis points</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3.035%</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98-07; 2.455%</w:t>
      </w:r>
    </w:p>
    <w:p>
      <w:pPr>
        <w:spacing w:after="0" w:line="225" w:lineRule="exact"/>
        <w:rPr>
          <w:sz w:val="20"/>
          <w:szCs w:val="20"/>
          <w:color w:val="auto"/>
        </w:rPr>
      </w:pPr>
    </w:p>
    <w:p>
      <w:pPr>
        <w:ind w:left="2080"/>
        <w:spacing w:after="0" w:line="254" w:lineRule="auto"/>
        <w:rPr>
          <w:sz w:val="20"/>
          <w:szCs w:val="20"/>
          <w:color w:val="auto"/>
        </w:rPr>
      </w:pPr>
      <w:r>
        <w:rPr>
          <w:rFonts w:ascii="Times New Roman" w:cs="Times New Roman" w:eastAsia="Times New Roman" w:hAnsi="Times New Roman"/>
          <w:sz w:val="18"/>
          <w:szCs w:val="18"/>
          <w:color w:val="auto"/>
        </w:rPr>
        <w:t>At any time before August 3, 2027 (three months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August 3, 2027 (three months before the maturity date), in each case discounted to the date of redemption on a semi-annual basis at the rate of Treasury plus 10 basis points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2">
            <w:col w:w="3260" w:space="720"/>
            <w:col w:w="7400"/>
          </w:cols>
          <w:pgMar w:left="240" w:top="266"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At any time on or after August 3, 2027 (three months before the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-213360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at 100% of the principal amount of notes being redeemed</w:t>
      </w:r>
    </w:p>
    <w:p>
      <w:pPr>
        <w:spacing w:after="0" w:line="200" w:lineRule="exact"/>
        <w:rPr>
          <w:sz w:val="20"/>
          <w:szCs w:val="20"/>
          <w:color w:val="auto"/>
        </w:rPr>
      </w:pPr>
    </w:p>
    <w:p>
      <w:pPr>
        <w:sectPr>
          <w:pgSz w:w="11900" w:h="16838" w:orient="portrait"/>
          <w:cols w:equalWidth="0" w:num="2">
            <w:col w:w="5340" w:space="720"/>
            <w:col w:w="5260"/>
          </w:cols>
          <w:pgMar w:left="240" w:top="270" w:right="33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October 26, 2017</w:t>
      </w:r>
    </w:p>
    <w:p>
      <w:pPr>
        <w:spacing w:after="0" w:line="200" w:lineRule="exact"/>
        <w:rPr>
          <w:sz w:val="20"/>
          <w:szCs w:val="20"/>
          <w:color w:val="auto"/>
        </w:rPr>
      </w:pPr>
    </w:p>
    <w:p>
      <w:pPr>
        <w:sectPr>
          <w:pgSz w:w="11900" w:h="16838" w:orient="portrait"/>
          <w:cols w:equalWidth="0" w:num="2">
            <w:col w:w="5340" w:space="720"/>
            <w:col w:w="5260"/>
          </w:cols>
          <w:pgMar w:left="240" w:top="27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 2017 (T+6)</w:t>
      </w:r>
    </w:p>
    <w:p>
      <w:pPr>
        <w:spacing w:after="0" w:line="211" w:lineRule="exact"/>
        <w:rPr>
          <w:sz w:val="20"/>
          <w:szCs w:val="20"/>
          <w:color w:val="auto"/>
        </w:rPr>
      </w:pPr>
    </w:p>
    <w:p>
      <w:pPr>
        <w:sectPr>
          <w:pgSz w:w="11900" w:h="16838" w:orient="portrait"/>
          <w:cols w:equalWidth="0" w:num="2">
            <w:col w:w="5340" w:space="720"/>
            <w:col w:w="5260"/>
          </w:cols>
          <w:pgMar w:left="240" w:top="27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 and multiples of $1,000 thereafter</w:t>
      </w:r>
    </w:p>
    <w:p>
      <w:pPr>
        <w:spacing w:after="0" w:line="211" w:lineRule="exact"/>
        <w:rPr>
          <w:sz w:val="20"/>
          <w:szCs w:val="20"/>
          <w:color w:val="auto"/>
        </w:rPr>
      </w:pPr>
    </w:p>
    <w:p>
      <w:pPr>
        <w:sectPr>
          <w:pgSz w:w="11900" w:h="16838" w:orient="portrait"/>
          <w:cols w:equalWidth="0" w:num="2">
            <w:col w:w="5340" w:space="720"/>
            <w:col w:w="5260"/>
          </w:cols>
          <w:pgMar w:left="240" w:top="27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882508 BC7 / US882508BC78</w:t>
      </w:r>
    </w:p>
    <w:p>
      <w:pPr>
        <w:spacing w:after="0" w:line="200" w:lineRule="exact"/>
        <w:rPr>
          <w:sz w:val="20"/>
          <w:szCs w:val="20"/>
          <w:color w:val="auto"/>
        </w:rPr>
      </w:pPr>
    </w:p>
    <w:p>
      <w:pPr>
        <w:sectPr>
          <w:pgSz w:w="11900" w:h="16838" w:orient="portrait"/>
          <w:cols w:equalWidth="0" w:num="2">
            <w:col w:w="5340" w:space="720"/>
            <w:col w:w="5260"/>
          </w:cols>
          <w:pgMar w:left="240" w:top="27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ectPr>
          <w:pgSz w:w="11900" w:h="16838" w:orient="portrait"/>
          <w:cols w:equalWidth="0" w:num="2">
            <w:col w:w="5340" w:space="720"/>
            <w:col w:w="5260"/>
          </w:cols>
          <w:pgMar w:left="240" w:top="27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Merrill Lynch, Pierce, Fenner &amp; Smith</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00" w:lineRule="exact"/>
        <w:rPr>
          <w:sz w:val="20"/>
          <w:szCs w:val="20"/>
          <w:color w:val="auto"/>
        </w:rPr>
      </w:pPr>
    </w:p>
    <w:p>
      <w:pPr>
        <w:sectPr>
          <w:pgSz w:w="11900" w:h="16838" w:orient="portrait"/>
          <w:cols w:equalWidth="0" w:num="2">
            <w:col w:w="5340" w:space="720"/>
            <w:col w:w="5260"/>
          </w:cols>
          <w:pgMar w:left="240" w:top="270" w:right="3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Williams Capital Group,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153" w:lineRule="exact"/>
        <w:rPr>
          <w:sz w:val="20"/>
          <w:szCs w:val="20"/>
          <w:color w:val="auto"/>
        </w:rPr>
      </w:pPr>
    </w:p>
    <w:p>
      <w:pPr>
        <w:sectPr>
          <w:pgSz w:w="11900" w:h="16838" w:orient="portrait"/>
          <w:cols w:equalWidth="0" w:num="2">
            <w:col w:w="5340" w:space="720"/>
            <w:col w:w="5260"/>
          </w:cols>
          <w:pgMar w:left="240" w:top="270" w:right="3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1320"/>
          </w:cols>
          <w:pgMar w:left="240" w:top="27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against payment therefore on or about November 3, 2017,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T+6, to specify an alternative settlement cycle at the time of any such trade to prevent failed settlement. Purchasers of the notes who wish to trade the notes on the date of pricing should consult their own advisors.</w:t>
      </w:r>
    </w:p>
    <w:p>
      <w:pPr>
        <w:spacing w:after="0" w:line="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J.P. Morgan Securities LLC collect at (212) 834-4533 and Merrill Lynch, Pierce, Fenner &amp; Smith Incorporated at (800) 294-1322.</w:t>
      </w:r>
    </w:p>
    <w:p>
      <w:pPr>
        <w:spacing w:after="0" w:line="6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1360"/>
          </w:cols>
          <w:pgMar w:left="240" w:top="266"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960" w:type="dxa"/>
            <w:vAlign w:val="bottom"/>
            <w:gridSpan w:val="2"/>
          </w:tcPr>
          <w:p>
            <w:pPr>
              <w:jc w:val="right"/>
              <w:ind w:right="407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960" w:type="dxa"/>
            <w:vAlign w:val="bottom"/>
            <w:gridSpan w:val="2"/>
          </w:tcPr>
          <w:p>
            <w:pPr>
              <w:jc w:val="right"/>
              <w:ind w:right="315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2780" w:type="dxa"/>
            <w:vAlign w:val="bottom"/>
            <w:vMerge w:val="restart"/>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2.900% Notes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4"/>
                <w:szCs w:val="14"/>
                <w:color w:val="auto"/>
              </w:rPr>
              <w:t>due 2027</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6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95,000,000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6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CEEFF"/>
          </w:tcPr>
          <w:p>
            <w:pPr>
              <w:spacing w:after="0"/>
              <w:rPr>
                <w:sz w:val="20"/>
                <w:szCs w:val="20"/>
                <w:color w:val="auto"/>
              </w:rPr>
            </w:pPr>
          </w:p>
        </w:tc>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Incorporated</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95,000,000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Williams Capital Group, L.P.</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6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266" w:right="239" w:bottom="1440" w:gutter="0" w:footer="0" w:header="0"/>
        </w:sectPr>
      </w:pPr>
    </w:p>
    <w:bookmarkStart w:id="12" w:name="page13"/>
    <w:bookmarkEnd w:id="12"/>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TO UNDERWRITING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Schedule I.</w:t>
      </w:r>
    </w:p>
    <w:p>
      <w:pPr>
        <w:spacing w:after="0" w:line="1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9759"/>
          </w:cols>
          <w:pgMar w:left="700" w:top="266" w:right="1440" w:bottom="1440" w:gutter="0" w:footer="0" w:header="0"/>
        </w:sectPr>
      </w:pPr>
    </w:p>
    <w:bookmarkStart w:id="13" w:name="page14"/>
    <w:bookmarkEnd w:id="13"/>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information that the Underwriters have furnished to the Company in writing expressly for use in the Prospectus Supplement is:</w:t>
      </w:r>
    </w:p>
    <w:p>
      <w:pPr>
        <w:spacing w:after="0" w:line="117" w:lineRule="exact"/>
        <w:rPr>
          <w:sz w:val="20"/>
          <w:szCs w:val="20"/>
          <w:color w:val="auto"/>
        </w:rPr>
      </w:pPr>
    </w:p>
    <w:p>
      <w:pPr>
        <w:ind w:left="620" w:hanging="17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third paragraph of text under the caption “Underwriting” in the Prospectus Supplement, concerning the terms offered by the Underwriters;</w:t>
      </w:r>
    </w:p>
    <w:p>
      <w:pPr>
        <w:spacing w:after="0" w:line="128" w:lineRule="exact"/>
        <w:rPr>
          <w:rFonts w:ascii="Times New Roman" w:cs="Times New Roman" w:eastAsia="Times New Roman" w:hAnsi="Times New Roman"/>
          <w:sz w:val="17"/>
          <w:szCs w:val="17"/>
          <w:color w:val="auto"/>
        </w:rPr>
      </w:pPr>
    </w:p>
    <w:p>
      <w:pPr>
        <w:ind w:right="40" w:firstLine="443"/>
        <w:spacing w:after="0" w:line="282" w:lineRule="auto"/>
        <w:tabs>
          <w:tab w:leader="none" w:pos="6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sixth and seventh paragraphs of text under the caption “Underwriting” in the Prospectus Supplement, concerning short sales, purchases to cover short positions and stabilizing purchases.</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IV-1</w:t>
      </w:r>
    </w:p>
    <w:p>
      <w:pPr>
        <w:sectPr>
          <w:pgSz w:w="11900" w:h="16838" w:orient="portrait"/>
          <w:cols w:equalWidth="0" w:num="1">
            <w:col w:w="10900"/>
          </w:cols>
          <w:pgMar w:left="700" w:top="266" w:right="2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Provisions</w:t>
      </w:r>
    </w:p>
    <w:p>
      <w:pPr>
        <w:spacing w:after="0" w:line="207"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auto"/>
        </w:rPr>
        <w:t>February 24, 2016</w:t>
      </w:r>
    </w:p>
    <w:p>
      <w:pPr>
        <w:spacing w:after="0" w:line="23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 to time in one or more offerings on terms determined at the time of sale, the Company proposes to issue and sell (a) its common stock, $1.00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 its preferred stock, $25.00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(c) certain of its debt securities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issuable under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entered into by the Company and U.S. Bank National Association, as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(d) warrants to purchase Common Stock, Preferred Stock or Debt Securities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 units consisting of Common Stock,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Debt Securities or Warrants or any combination thereof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The Common Stock, Preferred Stock, Debt Securities, Warrants and Units are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as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for the purposes of this Agreement.</w:t>
      </w:r>
    </w:p>
    <w:p>
      <w:pPr>
        <w:spacing w:after="0" w:line="203"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specifically relating to the Securities listed on Schedule I hereto (the “</w:t>
      </w:r>
      <w:r>
        <w:rPr>
          <w:rFonts w:ascii="Times New Roman" w:cs="Times New Roman" w:eastAsia="Times New Roman" w:hAnsi="Times New Roman"/>
          <w:sz w:val="18"/>
          <w:szCs w:val="18"/>
          <w:b w:val="1"/>
          <w:b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pursuant to Rule 424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means the prospectus included in the Registration Statement.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together with the Prospectus Supplement or supplements specifically relating to the Offered Securities, as filed with, or transmitted for filing to, the Commission pursuant to Rule 424.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 preliminary prospectus supplement specifically relating to the Offered Securities, together with the Base Prospectus. The term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The term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has the meaning set forth in Rule 433 under the Securities Act. The term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and preliminary prospectus, if any, together with any additional documents or other information identified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III to the Underwriting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15" w:name="page16"/>
    <w:bookmarkEnd w:id="1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the time and date set forth in the Underwriting Agreement or such other time as agreed in writing by the Company and the Manager.</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several obligations of the Underwriters hereunder are subject to the following conditions:</w:t>
      </w:r>
    </w:p>
    <w:p>
      <w:pPr>
        <w:spacing w:after="0" w:line="117" w:lineRule="exact"/>
        <w:rPr>
          <w:sz w:val="20"/>
          <w:szCs w:val="20"/>
          <w:color w:val="auto"/>
        </w:rPr>
      </w:pPr>
    </w:p>
    <w:p>
      <w:pPr>
        <w:ind w:left="460" w:right="60" w:firstLine="443"/>
        <w:spacing w:after="0" w:line="255"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20"/>
          </w:cols>
          <w:pgMar w:left="240" w:top="270" w:right="339" w:bottom="1440" w:gutter="0" w:footer="0" w:header="0"/>
        </w:sectPr>
      </w:pPr>
    </w:p>
    <w:bookmarkStart w:id="16" w:name="page17"/>
    <w:bookmarkEnd w:id="16"/>
    <w:p>
      <w:pPr>
        <w:ind w:right="100" w:firstLine="443"/>
        <w:spacing w:after="0" w:line="282" w:lineRule="auto"/>
        <w:tabs>
          <w:tab w:leader="none" w:pos="6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53" w:lineRule="exact"/>
        <w:rPr>
          <w:rFonts w:ascii="Times New Roman" w:cs="Times New Roman" w:eastAsia="Times New Roman" w:hAnsi="Times New Roman"/>
          <w:sz w:val="18"/>
          <w:szCs w:val="18"/>
          <w:color w:val="auto"/>
        </w:rPr>
      </w:pPr>
    </w:p>
    <w:p>
      <w:pPr>
        <w:ind w:left="460" w:right="540" w:firstLine="421"/>
        <w:spacing w:after="0" w:line="282" w:lineRule="auto"/>
        <w:tabs>
          <w:tab w:leader="none" w:pos="109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as a corporation in good standing under the laws of the State of Delaware.</w:t>
      </w:r>
    </w:p>
    <w:p>
      <w:pPr>
        <w:spacing w:after="0" w:line="53" w:lineRule="exact"/>
        <w:rPr>
          <w:rFonts w:ascii="Times New Roman" w:cs="Times New Roman" w:eastAsia="Times New Roman" w:hAnsi="Times New Roman"/>
          <w:sz w:val="18"/>
          <w:szCs w:val="18"/>
          <w:color w:val="auto"/>
        </w:rPr>
      </w:pPr>
    </w:p>
    <w:p>
      <w:pPr>
        <w:ind w:left="460" w:firstLine="421"/>
        <w:spacing w:after="0" w:line="266" w:lineRule="auto"/>
        <w:tabs>
          <w:tab w:leader="none" w:pos="11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68" w:lineRule="exact"/>
        <w:rPr>
          <w:rFonts w:ascii="Times New Roman" w:cs="Times New Roman" w:eastAsia="Times New Roman" w:hAnsi="Times New Roman"/>
          <w:sz w:val="18"/>
          <w:szCs w:val="18"/>
          <w:color w:val="auto"/>
        </w:rPr>
      </w:pPr>
    </w:p>
    <w:p>
      <w:pPr>
        <w:ind w:left="460" w:right="540" w:firstLine="421"/>
        <w:spacing w:after="0" w:line="282" w:lineRule="auto"/>
        <w:tabs>
          <w:tab w:leader="none" w:pos="119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no proceedings for a stop order are pending or threatened by the Commission with respect to the Registration Statement.</w:t>
      </w:r>
    </w:p>
    <w:p>
      <w:pPr>
        <w:spacing w:after="0" w:line="53" w:lineRule="exact"/>
        <w:rPr>
          <w:rFonts w:ascii="Times New Roman" w:cs="Times New Roman" w:eastAsia="Times New Roman" w:hAnsi="Times New Roman"/>
          <w:sz w:val="18"/>
          <w:szCs w:val="18"/>
          <w:color w:val="auto"/>
        </w:rPr>
      </w:pPr>
    </w:p>
    <w:p>
      <w:pPr>
        <w:ind w:left="460" w:right="60" w:firstLine="421"/>
        <w:spacing w:after="0" w:line="266" w:lineRule="auto"/>
        <w:tabs>
          <w:tab w:leader="none" w:pos="118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and, as applicable, the Indenture, the Offered Securities, the Warrant Agreement and the Unit Agreement (each, a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and the performance by the Company of its obligations thereunder will not conflict with, constitute a default under or violate:</w:t>
      </w:r>
    </w:p>
    <w:p>
      <w:pPr>
        <w:spacing w:after="0" w:line="68" w:lineRule="exact"/>
        <w:rPr>
          <w:rFonts w:ascii="Times New Roman" w:cs="Times New Roman" w:eastAsia="Times New Roman" w:hAnsi="Times New Roman"/>
          <w:sz w:val="18"/>
          <w:szCs w:val="18"/>
          <w:color w:val="auto"/>
        </w:rPr>
      </w:pPr>
    </w:p>
    <w:p>
      <w:pPr>
        <w:ind w:left="1720" w:hanging="291"/>
        <w:spacing w:after="0"/>
        <w:tabs>
          <w:tab w:leader="none" w:pos="17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conditions or provisions of the Certificate of Incorporation or by-laws of the Company; or</w:t>
      </w:r>
    </w:p>
    <w:p>
      <w:pPr>
        <w:spacing w:after="0" w:line="117" w:lineRule="exact"/>
        <w:rPr>
          <w:rFonts w:ascii="Times New Roman" w:cs="Times New Roman" w:eastAsia="Times New Roman" w:hAnsi="Times New Roman"/>
          <w:sz w:val="18"/>
          <w:szCs w:val="18"/>
          <w:color w:val="auto"/>
        </w:rPr>
      </w:pPr>
    </w:p>
    <w:p>
      <w:pPr>
        <w:ind w:left="1040" w:firstLine="389"/>
        <w:spacing w:after="0" w:line="289" w:lineRule="auto"/>
        <w:tabs>
          <w:tab w:leader="none" w:pos="1722"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50" w:lineRule="exact"/>
        <w:rPr>
          <w:rFonts w:ascii="Times New Roman" w:cs="Times New Roman" w:eastAsia="Times New Roman" w:hAnsi="Times New Roman"/>
          <w:sz w:val="17"/>
          <w:szCs w:val="17"/>
          <w:color w:val="auto"/>
        </w:rPr>
      </w:pPr>
    </w:p>
    <w:p>
      <w:pPr>
        <w:jc w:val="both"/>
        <w:ind w:left="460" w:firstLine="421"/>
        <w:spacing w:after="0" w:line="261" w:lineRule="auto"/>
        <w:tabs>
          <w:tab w:leader="none" w:pos="11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71" w:lineRule="exact"/>
        <w:rPr>
          <w:rFonts w:ascii="Times New Roman" w:cs="Times New Roman" w:eastAsia="Times New Roman" w:hAnsi="Times New Roman"/>
          <w:sz w:val="18"/>
          <w:szCs w:val="18"/>
          <w:color w:val="auto"/>
        </w:rPr>
      </w:pPr>
    </w:p>
    <w:p>
      <w:pPr>
        <w:ind w:left="460" w:right="260" w:firstLine="421"/>
        <w:spacing w:after="0" w:line="282" w:lineRule="auto"/>
        <w:tabs>
          <w:tab w:leader="none" w:pos="118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there is no action, suit or formal proceeding pending or threatened against the Company or any of its subsidiaries before any court or arbitrator or any governmental body or</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700" w:top="270" w:right="319" w:bottom="1440" w:gutter="0" w:footer="0" w:header="0"/>
        </w:sectPr>
      </w:pPr>
    </w:p>
    <w:bookmarkStart w:id="17" w:name="page18"/>
    <w:bookmarkEnd w:id="17"/>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72" w:lineRule="exact"/>
        <w:rPr>
          <w:sz w:val="20"/>
          <w:szCs w:val="20"/>
          <w:color w:val="auto"/>
        </w:rPr>
      </w:pPr>
    </w:p>
    <w:p>
      <w:pPr>
        <w:ind w:firstLine="421"/>
        <w:spacing w:after="0" w:line="261" w:lineRule="auto"/>
        <w:tabs>
          <w:tab w:leader="none" w:pos="7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71" w:lineRule="exact"/>
        <w:rPr>
          <w:rFonts w:ascii="Times New Roman" w:cs="Times New Roman" w:eastAsia="Times New Roman" w:hAnsi="Times New Roman"/>
          <w:sz w:val="18"/>
          <w:szCs w:val="18"/>
          <w:color w:val="auto"/>
        </w:rPr>
      </w:pPr>
    </w:p>
    <w:p>
      <w:pPr>
        <w:ind w:right="220" w:firstLine="421"/>
        <w:spacing w:after="0" w:line="282" w:lineRule="auto"/>
        <w:tabs>
          <w:tab w:leader="none" w:pos="8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such counsel that causes such counsel to believe that, insofar as relevant to the offering of the Offered Securities:</w:t>
      </w:r>
    </w:p>
    <w:p>
      <w:pPr>
        <w:spacing w:after="0" w:line="53" w:lineRule="exact"/>
        <w:rPr>
          <w:rFonts w:ascii="Times New Roman" w:cs="Times New Roman" w:eastAsia="Times New Roman" w:hAnsi="Times New Roman"/>
          <w:sz w:val="18"/>
          <w:szCs w:val="18"/>
          <w:color w:val="auto"/>
        </w:rPr>
      </w:pPr>
    </w:p>
    <w:p>
      <w:pPr>
        <w:ind w:left="580" w:right="160" w:firstLine="389"/>
        <w:spacing w:after="0" w:line="256" w:lineRule="auto"/>
        <w:tabs>
          <w:tab w:leader="none" w:pos="12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79" w:lineRule="exact"/>
        <w:rPr>
          <w:rFonts w:ascii="Times New Roman" w:cs="Times New Roman" w:eastAsia="Times New Roman" w:hAnsi="Times New Roman"/>
          <w:sz w:val="18"/>
          <w:szCs w:val="18"/>
          <w:color w:val="auto"/>
        </w:rPr>
      </w:pPr>
    </w:p>
    <w:p>
      <w:pPr>
        <w:ind w:left="580" w:right="260" w:firstLine="389"/>
        <w:spacing w:after="0" w:line="261" w:lineRule="auto"/>
        <w:tabs>
          <w:tab w:leader="none" w:pos="126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71" w:lineRule="exact"/>
        <w:rPr>
          <w:rFonts w:ascii="Times New Roman" w:cs="Times New Roman" w:eastAsia="Times New Roman" w:hAnsi="Times New Roman"/>
          <w:sz w:val="18"/>
          <w:szCs w:val="18"/>
          <w:color w:val="auto"/>
        </w:rPr>
      </w:pPr>
    </w:p>
    <w:p>
      <w:pPr>
        <w:ind w:left="580" w:right="100" w:firstLine="389"/>
        <w:spacing w:after="0" w:line="282" w:lineRule="auto"/>
        <w:tabs>
          <w:tab w:leader="none" w:pos="126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Sale Prospectus (except for the financial statements and financial schedules and other financial and statistical data included therein, as to which such counsel</w:t>
      </w:r>
    </w:p>
    <w:p>
      <w:pPr>
        <w:spacing w:after="0" w:line="9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40"/>
          </w:cols>
          <w:pgMar w:left="1160" w:top="270" w:right="299" w:bottom="1440" w:gutter="0" w:footer="0" w:header="0"/>
        </w:sectPr>
      </w:pPr>
    </w:p>
    <w:bookmarkStart w:id="18" w:name="page19"/>
    <w:bookmarkEnd w:id="18"/>
    <w:p>
      <w:pPr>
        <w:ind w:left="104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54" w:lineRule="exact"/>
        <w:rPr>
          <w:sz w:val="20"/>
          <w:szCs w:val="20"/>
          <w:color w:val="auto"/>
        </w:rPr>
      </w:pPr>
    </w:p>
    <w:p>
      <w:pPr>
        <w:ind w:left="1040" w:firstLine="389"/>
        <w:spacing w:after="0" w:line="261" w:lineRule="auto"/>
        <w:tabs>
          <w:tab w:leader="none" w:pos="173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right="320" w:firstLine="443"/>
        <w:spacing w:after="0" w:line="282" w:lineRule="auto"/>
        <w:tabs>
          <w:tab w:leader="none" w:pos="6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Closing Date an opinion of Davis Polk &amp; Wardwell LLP, special outside counsel to the Company, dated the Closing Date, to the effect (as applicable) that:</w:t>
      </w:r>
    </w:p>
    <w:p>
      <w:pPr>
        <w:spacing w:after="0" w:line="53" w:lineRule="exact"/>
        <w:rPr>
          <w:rFonts w:ascii="Times New Roman" w:cs="Times New Roman" w:eastAsia="Times New Roman" w:hAnsi="Times New Roman"/>
          <w:sz w:val="18"/>
          <w:szCs w:val="18"/>
          <w:color w:val="auto"/>
        </w:rPr>
      </w:pPr>
    </w:p>
    <w:p>
      <w:pPr>
        <w:ind w:left="460" w:right="200" w:firstLine="421"/>
        <w:spacing w:after="0" w:line="266" w:lineRule="auto"/>
        <w:tabs>
          <w:tab w:leader="none" w:pos="10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68"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Offered Securities:</w:t>
      </w:r>
    </w:p>
    <w:p>
      <w:pPr>
        <w:spacing w:after="0" w:line="117" w:lineRule="exact"/>
        <w:rPr>
          <w:rFonts w:ascii="Times New Roman" w:cs="Times New Roman" w:eastAsia="Times New Roman" w:hAnsi="Times New Roman"/>
          <w:sz w:val="18"/>
          <w:szCs w:val="18"/>
          <w:color w:val="auto"/>
        </w:rPr>
      </w:pPr>
    </w:p>
    <w:p>
      <w:pPr>
        <w:ind w:left="1040" w:right="120" w:firstLine="389"/>
        <w:spacing w:after="0" w:line="255" w:lineRule="auto"/>
        <w:tabs>
          <w:tab w:leader="none" w:pos="173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provided that such counsel need not express any opinion as to the validity, legally binding effect or enforceability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that permits holders to collect any portion of stated principal amount upon acceleration of such securities to the extent determined to constitute unearned interest;</w:t>
      </w:r>
    </w:p>
    <w:p>
      <w:pPr>
        <w:spacing w:after="0" w:line="81" w:lineRule="exact"/>
        <w:rPr>
          <w:rFonts w:ascii="Times New Roman" w:cs="Times New Roman" w:eastAsia="Times New Roman" w:hAnsi="Times New Roman"/>
          <w:sz w:val="18"/>
          <w:szCs w:val="18"/>
          <w:color w:val="auto"/>
        </w:rPr>
      </w:pPr>
    </w:p>
    <w:p>
      <w:pPr>
        <w:ind w:left="1040" w:right="320" w:firstLine="389"/>
        <w:spacing w:after="0" w:line="282" w:lineRule="auto"/>
        <w:tabs>
          <w:tab w:leader="none" w:pos="172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700" w:top="270" w:right="239" w:bottom="1440" w:gutter="0" w:footer="0" w:header="0"/>
        </w:sectPr>
      </w:pPr>
    </w:p>
    <w:bookmarkStart w:id="19" w:name="page20"/>
    <w:bookmarkEnd w:id="19"/>
    <w:p>
      <w:pPr>
        <w:ind w:left="980" w:hanging="291"/>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has been duly qualified under the Trust Indenture Act of 1939.</w:t>
      </w:r>
    </w:p>
    <w:p>
      <w:pPr>
        <w:spacing w:after="0" w:line="117" w:lineRule="exact"/>
        <w:rPr>
          <w:rFonts w:ascii="Times New Roman" w:cs="Times New Roman" w:eastAsia="Times New Roman" w:hAnsi="Times New Roman"/>
          <w:sz w:val="18"/>
          <w:szCs w:val="18"/>
          <w:color w:val="auto"/>
        </w:rPr>
      </w:pPr>
    </w:p>
    <w:p>
      <w:pPr>
        <w:ind w:left="460" w:hanging="319"/>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Offered Securities:</w:t>
      </w:r>
    </w:p>
    <w:p>
      <w:pPr>
        <w:spacing w:after="0" w:line="117" w:lineRule="exact"/>
        <w:rPr>
          <w:rFonts w:ascii="Times New Roman" w:cs="Times New Roman" w:eastAsia="Times New Roman" w:hAnsi="Times New Roman"/>
          <w:sz w:val="18"/>
          <w:szCs w:val="18"/>
          <w:color w:val="auto"/>
        </w:rPr>
      </w:pPr>
    </w:p>
    <w:p>
      <w:pPr>
        <w:ind w:left="300" w:firstLine="389"/>
        <w:spacing w:after="0" w:line="266" w:lineRule="auto"/>
        <w:tabs>
          <w:tab w:leader="none" w:pos="9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68" w:lineRule="exact"/>
        <w:rPr>
          <w:rFonts w:ascii="Times New Roman" w:cs="Times New Roman" w:eastAsia="Times New Roman" w:hAnsi="Times New Roman"/>
          <w:sz w:val="18"/>
          <w:szCs w:val="18"/>
          <w:color w:val="auto"/>
        </w:rPr>
      </w:pPr>
    </w:p>
    <w:p>
      <w:pPr>
        <w:ind w:left="300" w:right="500" w:firstLine="389"/>
        <w:spacing w:after="0" w:line="282" w:lineRule="auto"/>
        <w:tabs>
          <w:tab w:leader="none" w:pos="98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53" w:lineRule="exact"/>
        <w:rPr>
          <w:rFonts w:ascii="Times New Roman" w:cs="Times New Roman" w:eastAsia="Times New Roman" w:hAnsi="Times New Roman"/>
          <w:sz w:val="18"/>
          <w:szCs w:val="18"/>
          <w:color w:val="auto"/>
        </w:rPr>
      </w:pPr>
    </w:p>
    <w:p>
      <w:pPr>
        <w:ind w:left="440" w:hanging="299"/>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Units are Offered Securities:</w:t>
      </w:r>
    </w:p>
    <w:p>
      <w:pPr>
        <w:spacing w:after="0" w:line="117" w:lineRule="exact"/>
        <w:rPr>
          <w:rFonts w:ascii="Times New Roman" w:cs="Times New Roman" w:eastAsia="Times New Roman" w:hAnsi="Times New Roman"/>
          <w:sz w:val="18"/>
          <w:szCs w:val="18"/>
          <w:color w:val="auto"/>
        </w:rPr>
      </w:pPr>
    </w:p>
    <w:p>
      <w:pPr>
        <w:ind w:left="300" w:right="240" w:firstLine="389"/>
        <w:spacing w:after="0" w:line="289" w:lineRule="auto"/>
        <w:tabs>
          <w:tab w:leader="none" w:pos="992"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50" w:lineRule="exact"/>
        <w:rPr>
          <w:rFonts w:ascii="Times New Roman" w:cs="Times New Roman" w:eastAsia="Times New Roman" w:hAnsi="Times New Roman"/>
          <w:sz w:val="17"/>
          <w:szCs w:val="17"/>
          <w:color w:val="auto"/>
        </w:rPr>
      </w:pPr>
    </w:p>
    <w:p>
      <w:pPr>
        <w:ind w:left="300" w:right="760" w:firstLine="389"/>
        <w:spacing w:after="0" w:line="282" w:lineRule="auto"/>
        <w:tabs>
          <w:tab w:leader="none" w:pos="98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53" w:lineRule="exact"/>
        <w:rPr>
          <w:rFonts w:ascii="Times New Roman" w:cs="Times New Roman" w:eastAsia="Times New Roman" w:hAnsi="Times New Roman"/>
          <w:sz w:val="18"/>
          <w:szCs w:val="18"/>
          <w:color w:val="auto"/>
        </w:rPr>
      </w:pPr>
    </w:p>
    <w:p>
      <w:pPr>
        <w:ind w:left="400" w:hanging="259"/>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280" w:right="140" w:firstLine="421"/>
        <w:spacing w:after="0" w:line="266" w:lineRule="auto"/>
        <w:tabs>
          <w:tab w:leader="none" w:pos="4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68" w:lineRule="exact"/>
        <w:rPr>
          <w:rFonts w:ascii="Times New Roman" w:cs="Times New Roman" w:eastAsia="Times New Roman" w:hAnsi="Times New Roman"/>
          <w:sz w:val="18"/>
          <w:szCs w:val="18"/>
          <w:color w:val="auto"/>
        </w:rPr>
      </w:pPr>
    </w:p>
    <w:p>
      <w:pPr>
        <w:ind w:left="-280" w:right="380" w:firstLine="421"/>
        <w:spacing w:after="0" w:line="282"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00"/>
          </w:cols>
          <w:pgMar w:left="1440" w:top="270" w:right="259" w:bottom="1440" w:gutter="0" w:footer="0" w:header="0"/>
        </w:sectPr>
      </w:pPr>
    </w:p>
    <w:bookmarkStart w:id="20" w:name="page21"/>
    <w:bookmarkEnd w:id="20"/>
    <w:p>
      <w:pPr>
        <w:ind w:left="-280" w:right="560" w:firstLine="421"/>
        <w:spacing w:after="0" w:line="286" w:lineRule="auto"/>
        <w:tabs>
          <w:tab w:leader="none" w:pos="5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Offered Securities that are convertible into or exercisable or exchangeable for other Securities (the “</w:t>
      </w:r>
      <w:r>
        <w:rPr>
          <w:rFonts w:ascii="Times New Roman" w:cs="Times New Roman" w:eastAsia="Times New Roman" w:hAnsi="Times New Roman"/>
          <w:sz w:val="18"/>
          <w:szCs w:val="18"/>
          <w:b w:val="1"/>
          <w:bCs w:val="1"/>
          <w:color w:val="auto"/>
        </w:rPr>
        <w:t>Underlying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Underlying Securities have been duly authorized and reserved for issuance.</w:t>
      </w:r>
    </w:p>
    <w:p>
      <w:pPr>
        <w:spacing w:after="0" w:line="50" w:lineRule="exact"/>
        <w:rPr>
          <w:rFonts w:ascii="Times New Roman" w:cs="Times New Roman" w:eastAsia="Times New Roman" w:hAnsi="Times New Roman"/>
          <w:sz w:val="18"/>
          <w:szCs w:val="18"/>
          <w:color w:val="auto"/>
        </w:rPr>
      </w:pPr>
    </w:p>
    <w:p>
      <w:pPr>
        <w:ind w:left="-280" w:right="360" w:firstLine="421"/>
        <w:spacing w:after="0" w:line="266" w:lineRule="auto"/>
        <w:tabs>
          <w:tab w:leader="none" w:pos="4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68" w:lineRule="exact"/>
        <w:rPr>
          <w:rFonts w:ascii="Times New Roman" w:cs="Times New Roman" w:eastAsia="Times New Roman" w:hAnsi="Times New Roman"/>
          <w:sz w:val="18"/>
          <w:szCs w:val="18"/>
          <w:color w:val="auto"/>
        </w:rPr>
      </w:pPr>
    </w:p>
    <w:p>
      <w:pPr>
        <w:jc w:val="both"/>
        <w:ind w:left="-280" w:right="20" w:firstLine="421"/>
        <w:spacing w:after="0" w:line="266"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68" w:lineRule="exact"/>
        <w:rPr>
          <w:rFonts w:ascii="Times New Roman" w:cs="Times New Roman" w:eastAsia="Times New Roman" w:hAnsi="Times New Roman"/>
          <w:sz w:val="18"/>
          <w:szCs w:val="18"/>
          <w:color w:val="auto"/>
        </w:rPr>
      </w:pPr>
    </w:p>
    <w:p>
      <w:pPr>
        <w:ind w:left="-280" w:right="180" w:firstLine="421"/>
        <w:spacing w:after="0" w:line="261" w:lineRule="auto"/>
        <w:tabs>
          <w:tab w:leader="none" w:pos="4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71" w:lineRule="exact"/>
        <w:rPr>
          <w:rFonts w:ascii="Times New Roman" w:cs="Times New Roman" w:eastAsia="Times New Roman" w:hAnsi="Times New Roman"/>
          <w:sz w:val="18"/>
          <w:szCs w:val="18"/>
          <w:color w:val="auto"/>
        </w:rPr>
      </w:pPr>
    </w:p>
    <w:p>
      <w:pPr>
        <w:ind w:left="-280" w:right="300" w:firstLine="421"/>
        <w:spacing w:after="0" w:line="282"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such counsel that causes such counsel to believe that, insofar as relevant to the offering of the Offered Securities:</w:t>
      </w:r>
    </w:p>
    <w:p>
      <w:pPr>
        <w:spacing w:after="0" w:line="53" w:lineRule="exact"/>
        <w:rPr>
          <w:rFonts w:ascii="Times New Roman" w:cs="Times New Roman" w:eastAsia="Times New Roman" w:hAnsi="Times New Roman"/>
          <w:sz w:val="18"/>
          <w:szCs w:val="18"/>
          <w:color w:val="auto"/>
        </w:rPr>
      </w:pPr>
    </w:p>
    <w:p>
      <w:pPr>
        <w:ind w:left="300" w:firstLine="389"/>
        <w:spacing w:after="0" w:line="256" w:lineRule="auto"/>
        <w:tabs>
          <w:tab w:leader="none" w:pos="9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79" w:lineRule="exact"/>
        <w:rPr>
          <w:rFonts w:ascii="Times New Roman" w:cs="Times New Roman" w:eastAsia="Times New Roman" w:hAnsi="Times New Roman"/>
          <w:sz w:val="18"/>
          <w:szCs w:val="18"/>
          <w:color w:val="auto"/>
        </w:rPr>
      </w:pPr>
    </w:p>
    <w:p>
      <w:pPr>
        <w:ind w:left="980" w:hanging="291"/>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Sale Prospectus (except for the financial statements and financial schedules and other financial</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00"/>
          </w:cols>
          <w:pgMar w:left="1440" w:top="266" w:right="259" w:bottom="1440" w:gutter="0" w:footer="0" w:header="0"/>
        </w:sectPr>
      </w:pPr>
    </w:p>
    <w:bookmarkStart w:id="21" w:name="page22"/>
    <w:bookmarkEnd w:id="21"/>
    <w:p>
      <w:pPr>
        <w:ind w:left="150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68" w:lineRule="exact"/>
        <w:rPr>
          <w:sz w:val="20"/>
          <w:szCs w:val="20"/>
          <w:color w:val="auto"/>
        </w:rPr>
      </w:pPr>
    </w:p>
    <w:p>
      <w:pPr>
        <w:ind w:left="1500" w:firstLine="389"/>
        <w:spacing w:after="0" w:line="261" w:lineRule="auto"/>
        <w:tabs>
          <w:tab w:leader="none" w:pos="218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left="920" w:right="520" w:firstLine="421"/>
        <w:spacing w:after="0" w:line="282" w:lineRule="auto"/>
        <w:tabs>
          <w:tab w:leader="none" w:pos="17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the Indenture, and the Offered Securities will not contravene any provision of applicable law.</w:t>
      </w:r>
    </w:p>
    <w:p>
      <w:pPr>
        <w:spacing w:after="0" w:line="5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Closing Date an opinion of its own counsel, in a form acceptable to the Manager, dated the Closing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It is understood that the general counsel of the Company may rely as to all matters relating to the laws of the State of New York upon the opinion of Davis Polk &amp; Wardwell LLP.</w:t>
      </w:r>
    </w:p>
    <w:p>
      <w:pPr>
        <w:spacing w:after="0" w:line="162" w:lineRule="exact"/>
        <w:rPr>
          <w:sz w:val="20"/>
          <w:szCs w:val="20"/>
          <w:color w:val="auto"/>
        </w:rPr>
      </w:pPr>
    </w:p>
    <w:p>
      <w:pPr>
        <w:ind w:right="60" w:firstLine="456"/>
        <w:spacing w:after="0" w:line="281" w:lineRule="auto"/>
        <w:rPr>
          <w:sz w:val="20"/>
          <w:szCs w:val="20"/>
          <w:color w:val="auto"/>
        </w:rPr>
      </w:pPr>
      <w:r>
        <w:rPr>
          <w:rFonts w:ascii="Times New Roman" w:cs="Times New Roman" w:eastAsia="Times New Roman" w:hAnsi="Times New Roman"/>
          <w:sz w:val="17"/>
          <w:szCs w:val="17"/>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57" w:lineRule="exact"/>
        <w:rPr>
          <w:sz w:val="20"/>
          <w:szCs w:val="20"/>
          <w:color w:val="auto"/>
        </w:rPr>
      </w:pPr>
    </w:p>
    <w:p>
      <w:pPr>
        <w:ind w:left="460" w:right="60" w:firstLine="443"/>
        <w:spacing w:after="0" w:line="261" w:lineRule="auto"/>
        <w:tabs>
          <w:tab w:leader="none" w:pos="11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71"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Applicable Time and prior to the Closing Date, there shall not have occurred any downgrading, nor shall any notice have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22" w:name="page23"/>
    <w:bookmarkEnd w:id="22"/>
    <w:p>
      <w:pPr>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68" w:lineRule="exact"/>
        <w:rPr>
          <w:sz w:val="20"/>
          <w:szCs w:val="20"/>
          <w:color w:val="auto"/>
        </w:rPr>
      </w:pPr>
    </w:p>
    <w:p>
      <w:pPr>
        <w:ind w:right="20" w:firstLine="443"/>
        <w:spacing w:after="0" w:line="261" w:lineRule="auto"/>
        <w:tabs>
          <w:tab w:leader="none" w:pos="6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9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right="420" w:firstLine="443"/>
        <w:spacing w:after="0" w:line="266" w:lineRule="auto"/>
        <w:tabs>
          <w:tab w:leader="none" w:pos="6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68" w:lineRule="exact"/>
        <w:rPr>
          <w:rFonts w:ascii="Times New Roman" w:cs="Times New Roman" w:eastAsia="Times New Roman" w:hAnsi="Times New Roman"/>
          <w:sz w:val="18"/>
          <w:szCs w:val="18"/>
          <w:color w:val="auto"/>
        </w:rPr>
      </w:pPr>
    </w:p>
    <w:p>
      <w:pPr>
        <w:ind w:right="220" w:firstLine="443"/>
        <w:spacing w:after="0" w:line="261" w:lineRule="auto"/>
        <w:tabs>
          <w:tab w:leader="none" w:pos="6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1" w:lineRule="exact"/>
        <w:rPr>
          <w:rFonts w:ascii="Times New Roman" w:cs="Times New Roman" w:eastAsia="Times New Roman" w:hAnsi="Times New Roman"/>
          <w:sz w:val="18"/>
          <w:szCs w:val="18"/>
          <w:color w:val="auto"/>
        </w:rPr>
      </w:pPr>
    </w:p>
    <w:p>
      <w:pPr>
        <w:ind w:right="200" w:firstLine="443"/>
        <w:spacing w:after="0" w:line="282" w:lineRule="auto"/>
        <w:tabs>
          <w:tab w:leader="none" w:pos="6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filing, using or referring to any free writing prospectus relating to the Offered Securities, to furnish the Manager a copy of each such free writing prospectus.</w:t>
      </w:r>
    </w:p>
    <w:p>
      <w:pPr>
        <w:spacing w:after="0" w:line="53" w:lineRule="exact"/>
        <w:rPr>
          <w:rFonts w:ascii="Times New Roman" w:cs="Times New Roman" w:eastAsia="Times New Roman" w:hAnsi="Times New Roman"/>
          <w:sz w:val="18"/>
          <w:szCs w:val="18"/>
          <w:color w:val="auto"/>
        </w:rPr>
      </w:pPr>
    </w:p>
    <w:p>
      <w:pPr>
        <w:ind w:firstLine="443"/>
        <w:spacing w:after="0" w:line="266" w:lineRule="auto"/>
        <w:tabs>
          <w:tab w:leader="none" w:pos="6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68" w:lineRule="exact"/>
        <w:rPr>
          <w:rFonts w:ascii="Times New Roman" w:cs="Times New Roman" w:eastAsia="Times New Roman" w:hAnsi="Times New Roman"/>
          <w:sz w:val="18"/>
          <w:szCs w:val="18"/>
          <w:color w:val="auto"/>
        </w:rPr>
      </w:pPr>
    </w:p>
    <w:p>
      <w:pPr>
        <w:ind w:right="80" w:firstLine="443"/>
        <w:spacing w:after="0" w:line="266" w:lineRule="auto"/>
        <w:tabs>
          <w:tab w:leader="none" w:pos="6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w:t>
      </w:r>
    </w:p>
    <w:p>
      <w:pPr>
        <w:spacing w:after="0" w:line="1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700" w:top="270" w:right="239" w:bottom="1440" w:gutter="0" w:footer="0" w:header="0"/>
        </w:sectPr>
      </w:pPr>
    </w:p>
    <w:bookmarkStart w:id="23" w:name="page24"/>
    <w:bookmarkEnd w:id="2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81" w:lineRule="exact"/>
        <w:rPr>
          <w:sz w:val="20"/>
          <w:szCs w:val="20"/>
          <w:color w:val="auto"/>
        </w:rPr>
      </w:pPr>
    </w:p>
    <w:p>
      <w:pPr>
        <w:ind w:right="40" w:firstLine="443"/>
        <w:spacing w:after="0" w:line="253" w:lineRule="auto"/>
        <w:tabs>
          <w:tab w:leader="none" w:pos="6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84" w:lineRule="exact"/>
        <w:rPr>
          <w:rFonts w:ascii="Times New Roman" w:cs="Times New Roman" w:eastAsia="Times New Roman" w:hAnsi="Times New Roman"/>
          <w:sz w:val="18"/>
          <w:szCs w:val="18"/>
          <w:color w:val="auto"/>
        </w:rPr>
      </w:pPr>
    </w:p>
    <w:p>
      <w:pPr>
        <w:ind w:right="340" w:firstLine="443"/>
        <w:spacing w:after="0" w:line="282" w:lineRule="auto"/>
        <w:tabs>
          <w:tab w:leader="none" w:pos="6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53" w:lineRule="exact"/>
        <w:rPr>
          <w:rFonts w:ascii="Times New Roman" w:cs="Times New Roman" w:eastAsia="Times New Roman" w:hAnsi="Times New Roman"/>
          <w:sz w:val="18"/>
          <w:szCs w:val="18"/>
          <w:color w:val="auto"/>
        </w:rPr>
      </w:pPr>
    </w:p>
    <w:p>
      <w:pPr>
        <w:ind w:right="220" w:firstLine="443"/>
        <w:spacing w:after="0" w:line="261" w:lineRule="auto"/>
        <w:tabs>
          <w:tab w:leader="none" w:pos="6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700" w:top="270" w:right="259" w:bottom="1440" w:gutter="0" w:footer="0" w:header="0"/>
        </w:sectPr>
      </w:pPr>
    </w:p>
    <w:bookmarkStart w:id="24" w:name="page25"/>
    <w:bookmarkEnd w:id="24"/>
    <w:p>
      <w:pPr>
        <w:ind w:firstLine="443"/>
        <w:spacing w:after="0" w:line="261" w:lineRule="auto"/>
        <w:tabs>
          <w:tab w:leader="none" w:pos="6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1" w:lineRule="exact"/>
        <w:rPr>
          <w:rFonts w:ascii="Times New Roman" w:cs="Times New Roman" w:eastAsia="Times New Roman" w:hAnsi="Times New Roman"/>
          <w:sz w:val="18"/>
          <w:szCs w:val="18"/>
          <w:color w:val="auto"/>
        </w:rPr>
      </w:pPr>
    </w:p>
    <w:p>
      <w:pPr>
        <w:ind w:right="20" w:firstLine="443"/>
        <w:spacing w:after="0" w:line="261" w:lineRule="auto"/>
        <w:tabs>
          <w:tab w:leader="none" w:pos="6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1" w:lineRule="exact"/>
        <w:rPr>
          <w:rFonts w:ascii="Times New Roman" w:cs="Times New Roman" w:eastAsia="Times New Roman" w:hAnsi="Times New Roman"/>
          <w:sz w:val="18"/>
          <w:szCs w:val="18"/>
          <w:color w:val="auto"/>
        </w:rPr>
      </w:pPr>
    </w:p>
    <w:p>
      <w:pPr>
        <w:ind w:right="360" w:firstLine="443"/>
        <w:spacing w:after="0" w:line="282" w:lineRule="auto"/>
        <w:tabs>
          <w:tab w:leader="none" w:pos="6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53" w:lineRule="exact"/>
        <w:rPr>
          <w:rFonts w:ascii="Times New Roman" w:cs="Times New Roman" w:eastAsia="Times New Roman" w:hAnsi="Times New Roman"/>
          <w:sz w:val="18"/>
          <w:szCs w:val="18"/>
          <w:color w:val="auto"/>
        </w:rPr>
      </w:pPr>
    </w:p>
    <w:p>
      <w:pPr>
        <w:ind w:firstLine="443"/>
        <w:spacing w:after="0" w:line="253" w:lineRule="auto"/>
        <w:tabs>
          <w:tab w:leader="none" w:pos="6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82" w:lineRule="exact"/>
        <w:rPr>
          <w:rFonts w:ascii="Times New Roman" w:cs="Times New Roman" w:eastAsia="Times New Roman" w:hAnsi="Times New Roman"/>
          <w:sz w:val="18"/>
          <w:szCs w:val="18"/>
          <w:color w:val="auto"/>
        </w:rPr>
      </w:pPr>
    </w:p>
    <w:p>
      <w:pPr>
        <w:ind w:right="100" w:firstLine="443"/>
        <w:spacing w:after="0" w:line="258" w:lineRule="auto"/>
        <w:tabs>
          <w:tab w:leader="none" w:pos="7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700" w:top="270" w:right="259" w:bottom="1440" w:gutter="0" w:footer="0" w:header="0"/>
        </w:sectPr>
      </w:pPr>
    </w:p>
    <w:bookmarkStart w:id="25" w:name="page26"/>
    <w:bookmarkEnd w:id="25"/>
    <w:p>
      <w:pPr>
        <w:ind w:firstLine="443"/>
        <w:spacing w:after="0" w:line="252" w:lineRule="auto"/>
        <w:tabs>
          <w:tab w:leader="none" w:pos="69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w:t>
      </w:r>
    </w:p>
    <w:p>
      <w:pPr>
        <w:spacing w:after="0" w:line="4" w:lineRule="exact"/>
        <w:rPr>
          <w:rFonts w:ascii="Times New Roman" w:cs="Times New Roman" w:eastAsia="Times New Roman" w:hAnsi="Times New Roman"/>
          <w:sz w:val="18"/>
          <w:szCs w:val="18"/>
          <w:color w:val="auto"/>
        </w:rPr>
      </w:pPr>
    </w:p>
    <w:p>
      <w:pPr>
        <w:ind w:firstLine="4"/>
        <w:spacing w:after="0" w:line="253" w:lineRule="auto"/>
        <w:tabs>
          <w:tab w:leader="none" w:pos="3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3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right="80" w:firstLine="443"/>
        <w:spacing w:after="0" w:line="261" w:lineRule="auto"/>
        <w:tabs>
          <w:tab w:leader="none" w:pos="6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700" w:top="270" w:right="239" w:bottom="1440" w:gutter="0" w:footer="0" w:header="0"/>
        </w:sectPr>
      </w:pPr>
    </w:p>
    <w:bookmarkStart w:id="26" w:name="page27"/>
    <w:bookmarkEnd w:id="26"/>
    <w:p>
      <w:pPr>
        <w:ind w:firstLine="443"/>
        <w:spacing w:after="0" w:line="252" w:lineRule="auto"/>
        <w:tabs>
          <w:tab w:leader="none" w:pos="6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84" w:lineRule="exact"/>
        <w:rPr>
          <w:rFonts w:ascii="Times New Roman" w:cs="Times New Roman" w:eastAsia="Times New Roman" w:hAnsi="Times New Roman"/>
          <w:sz w:val="18"/>
          <w:szCs w:val="18"/>
          <w:color w:val="auto"/>
        </w:rPr>
      </w:pPr>
    </w:p>
    <w:p>
      <w:pPr>
        <w:ind w:right="40" w:firstLine="443"/>
        <w:spacing w:after="0" w:line="258" w:lineRule="auto"/>
        <w:tabs>
          <w:tab w:leader="none" w:pos="6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700" w:top="270" w:right="259" w:bottom="1440" w:gutter="0" w:footer="0" w:header="0"/>
        </w:sectPr>
      </w:pPr>
    </w:p>
    <w:bookmarkStart w:id="27" w:name="page28"/>
    <w:bookmarkEnd w:id="27"/>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72" w:lineRule="exact"/>
        <w:rPr>
          <w:sz w:val="20"/>
          <w:szCs w:val="20"/>
          <w:color w:val="auto"/>
        </w:rPr>
      </w:pPr>
    </w:p>
    <w:p>
      <w:pPr>
        <w:ind w:right="60" w:firstLine="443"/>
        <w:spacing w:after="0" w:line="258" w:lineRule="auto"/>
        <w:tabs>
          <w:tab w:leader="none" w:pos="6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75" w:lineRule="exact"/>
        <w:rPr>
          <w:rFonts w:ascii="Times New Roman" w:cs="Times New Roman" w:eastAsia="Times New Roman" w:hAnsi="Times New Roman"/>
          <w:sz w:val="18"/>
          <w:szCs w:val="18"/>
          <w:color w:val="auto"/>
        </w:rPr>
      </w:pPr>
    </w:p>
    <w:p>
      <w:pPr>
        <w:ind w:firstLine="443"/>
        <w:spacing w:after="0" w:line="266" w:lineRule="auto"/>
        <w:tabs>
          <w:tab w:leader="none" w:pos="6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68" w:lineRule="exact"/>
        <w:rPr>
          <w:rFonts w:ascii="Times New Roman" w:cs="Times New Roman" w:eastAsia="Times New Roman" w:hAnsi="Times New Roman"/>
          <w:sz w:val="18"/>
          <w:szCs w:val="18"/>
          <w:color w:val="auto"/>
        </w:rPr>
      </w:pPr>
    </w:p>
    <w:p>
      <w:pPr>
        <w:ind w:right="100" w:firstLine="443"/>
        <w:spacing w:after="0" w:line="256" w:lineRule="auto"/>
        <w:tabs>
          <w:tab w:leader="none" w:pos="6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79" w:lineRule="exact"/>
        <w:rPr>
          <w:rFonts w:ascii="Times New Roman" w:cs="Times New Roman" w:eastAsia="Times New Roman" w:hAnsi="Times New Roman"/>
          <w:sz w:val="18"/>
          <w:szCs w:val="18"/>
          <w:color w:val="auto"/>
        </w:rPr>
      </w:pPr>
    </w:p>
    <w:p>
      <w:pPr>
        <w:ind w:right="100" w:firstLine="443"/>
        <w:spacing w:after="0" w:line="258" w:lineRule="auto"/>
        <w:tabs>
          <w:tab w:leader="none" w:pos="6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75" w:lineRule="exact"/>
        <w:rPr>
          <w:rFonts w:ascii="Times New Roman" w:cs="Times New Roman" w:eastAsia="Times New Roman" w:hAnsi="Times New Roman"/>
          <w:sz w:val="18"/>
          <w:szCs w:val="18"/>
          <w:color w:val="auto"/>
        </w:rPr>
      </w:pPr>
    </w:p>
    <w:p>
      <w:pPr>
        <w:ind w:right="120" w:firstLine="443"/>
        <w:spacing w:after="0" w:line="282" w:lineRule="auto"/>
        <w:tabs>
          <w:tab w:leader="none" w:pos="6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Units are Offered Securities, (i) such Units have been duly authorized and, when executed and delivered in accordance with the provisions of the Unit Agreement and delivered to and paid for by the Underwriters in</w:t>
      </w:r>
    </w:p>
    <w:p>
      <w:pPr>
        <w:spacing w:after="0" w:line="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700" w:top="270" w:right="239" w:bottom="1440" w:gutter="0" w:footer="0" w:header="0"/>
        </w:sectPr>
      </w:pPr>
    </w:p>
    <w:bookmarkStart w:id="28" w:name="page29"/>
    <w:bookmarkEnd w:id="28"/>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68" w:lineRule="exact"/>
        <w:rPr>
          <w:sz w:val="20"/>
          <w:szCs w:val="20"/>
          <w:color w:val="auto"/>
        </w:rPr>
      </w:pPr>
    </w:p>
    <w:p>
      <w:pPr>
        <w:ind w:left="660" w:hanging="217"/>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20" w:firstLine="443"/>
        <w:spacing w:after="0" w:line="255" w:lineRule="auto"/>
        <w:tabs>
          <w:tab w:leader="none" w:pos="65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1" w:lineRule="exact"/>
        <w:rPr>
          <w:rFonts w:ascii="Times New Roman" w:cs="Times New Roman" w:eastAsia="Times New Roman" w:hAnsi="Times New Roman"/>
          <w:sz w:val="18"/>
          <w:szCs w:val="18"/>
          <w:color w:val="auto"/>
        </w:rPr>
      </w:pPr>
    </w:p>
    <w:p>
      <w:pPr>
        <w:ind w:right="20" w:firstLine="443"/>
        <w:spacing w:after="0" w:line="255" w:lineRule="auto"/>
        <w:tabs>
          <w:tab w:leader="none" w:pos="69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w:t>
      </w:r>
    </w:p>
    <w:p>
      <w:pPr>
        <w:spacing w:after="0" w:line="2" w:lineRule="exact"/>
        <w:rPr>
          <w:rFonts w:ascii="Times New Roman" w:cs="Times New Roman" w:eastAsia="Times New Roman" w:hAnsi="Times New Roman"/>
          <w:sz w:val="18"/>
          <w:szCs w:val="18"/>
          <w:color w:val="auto"/>
        </w:rPr>
      </w:pPr>
    </w:p>
    <w:p>
      <w:pPr>
        <w:ind w:firstLine="4"/>
        <w:spacing w:after="0" w:line="261" w:lineRule="auto"/>
        <w:tabs>
          <w:tab w:leader="none" w:pos="3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would not, individually or in the aggregate, reasonably be expected to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right="20" w:firstLine="443"/>
        <w:spacing w:after="0" w:line="266" w:lineRule="auto"/>
        <w:tabs>
          <w:tab w:leader="none" w:pos="65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68" w:lineRule="exact"/>
        <w:rPr>
          <w:rFonts w:ascii="Times New Roman" w:cs="Times New Roman" w:eastAsia="Times New Roman" w:hAnsi="Times New Roman"/>
          <w:sz w:val="18"/>
          <w:szCs w:val="18"/>
          <w:color w:val="auto"/>
        </w:rPr>
      </w:pPr>
    </w:p>
    <w:p>
      <w:pPr>
        <w:jc w:val="both"/>
        <w:ind w:right="140" w:firstLine="443"/>
        <w:spacing w:after="0" w:line="266" w:lineRule="auto"/>
        <w:tabs>
          <w:tab w:leader="none" w:pos="74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700" w:top="270" w:right="259" w:bottom="1440" w:gutter="0" w:footer="0" w:header="0"/>
        </w:sectPr>
      </w:pPr>
    </w:p>
    <w:bookmarkStart w:id="29" w:name="page30"/>
    <w:bookmarkEnd w:id="29"/>
    <w:p>
      <w:pPr>
        <w:ind w:left="460" w:right="60" w:firstLine="443"/>
        <w:spacing w:after="0" w:line="258" w:lineRule="auto"/>
        <w:tabs>
          <w:tab w:leader="none" w:pos="11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75" w:lineRule="exact"/>
        <w:rPr>
          <w:rFonts w:ascii="Times New Roman" w:cs="Times New Roman" w:eastAsia="Times New Roman" w:hAnsi="Times New Roman"/>
          <w:sz w:val="18"/>
          <w:szCs w:val="18"/>
          <w:color w:val="auto"/>
        </w:rPr>
      </w:pPr>
    </w:p>
    <w:p>
      <w:pPr>
        <w:ind w:left="460" w:firstLine="443"/>
        <w:spacing w:after="0" w:line="266" w:lineRule="auto"/>
        <w:tabs>
          <w:tab w:leader="none" w:pos="11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8" w:lineRule="exact"/>
        <w:rPr>
          <w:rFonts w:ascii="Times New Roman" w:cs="Times New Roman" w:eastAsia="Times New Roman" w:hAnsi="Times New Roman"/>
          <w:sz w:val="18"/>
          <w:szCs w:val="18"/>
          <w:color w:val="auto"/>
        </w:rPr>
      </w:pPr>
    </w:p>
    <w:p>
      <w:pPr>
        <w:ind w:left="460" w:right="280" w:firstLine="443"/>
        <w:spacing w:after="0" w:line="266" w:lineRule="auto"/>
        <w:tabs>
          <w:tab w:leader="none" w:pos="11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8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0" w:right="259" w:bottom="1440" w:gutter="0" w:footer="0" w:header="0"/>
        </w:sectPr>
      </w:pPr>
    </w:p>
    <w:bookmarkStart w:id="30" w:name="page31"/>
    <w:bookmarkEnd w:id="30"/>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76"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either of the two preceding paragraphs,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0" w:right="239" w:bottom="1440" w:gutter="0" w:footer="0" w:header="0"/>
        </w:sectPr>
      </w:pPr>
    </w:p>
    <w:bookmarkStart w:id="31" w:name="page32"/>
    <w:bookmarkEnd w:id="31"/>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3"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left="1140" w:hanging="237"/>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the Company being required to file with the Commission under Rule 433(d) a free writing</w:t>
      </w:r>
    </w:p>
    <w:p>
      <w:pPr>
        <w:spacing w:after="0" w:line="27" w:lineRule="exact"/>
        <w:rPr>
          <w:rFonts w:ascii="Times New Roman" w:cs="Times New Roman" w:eastAsia="Times New Roman" w:hAnsi="Times New Roman"/>
          <w:sz w:val="18"/>
          <w:szCs w:val="18"/>
          <w:color w:val="auto"/>
        </w:rPr>
      </w:pPr>
    </w:p>
    <w:p>
      <w:pPr>
        <w:ind w:left="46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prepared by or on behalf of such Underwriter that otherwise would not be required to be filed by the Company thereunder, but for the action of the Underwriter.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0" w:right="239" w:bottom="1440" w:gutter="0" w:footer="0" w:header="0"/>
        </w:sectPr>
      </w:pPr>
    </w:p>
    <w:bookmarkStart w:id="32" w:name="page33"/>
    <w:bookmarkEnd w:id="32"/>
    <w:p>
      <w:pPr>
        <w:ind w:left="460" w:right="20" w:firstLine="443"/>
        <w:spacing w:after="0" w:line="257" w:lineRule="auto"/>
        <w:tabs>
          <w:tab w:leader="none" w:pos="115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w:t>
      </w:r>
    </w:p>
    <w:p>
      <w:pPr>
        <w:spacing w:after="0" w:line="1" w:lineRule="exact"/>
        <w:rPr>
          <w:rFonts w:ascii="Times New Roman" w:cs="Times New Roman" w:eastAsia="Times New Roman" w:hAnsi="Times New Roman"/>
          <w:sz w:val="18"/>
          <w:szCs w:val="18"/>
          <w:color w:val="auto"/>
        </w:rPr>
      </w:pPr>
    </w:p>
    <w:p>
      <w:pPr>
        <w:ind w:left="460" w:right="40" w:firstLine="4"/>
        <w:spacing w:after="0" w:line="255" w:lineRule="auto"/>
        <w:tabs>
          <w:tab w:leader="none" w:pos="7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IX.</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33" w:name="page34"/>
    <w:bookmarkEnd w:id="3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5" w:lineRule="exact"/>
        <w:rPr>
          <w:sz w:val="20"/>
          <w:szCs w:val="20"/>
          <w:color w:val="auto"/>
        </w:rPr>
      </w:pPr>
    </w:p>
    <w:p>
      <w:pPr>
        <w:jc w:val="both"/>
        <w:ind w:right="260" w:firstLine="456"/>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270" w:right="279" w:bottom="1440" w:gutter="0" w:footer="0" w:header="0"/>
        </w:sectPr>
      </w:pPr>
    </w:p>
    <w:bookmarkStart w:id="34" w:name="page35"/>
    <w:bookmarkEnd w:id="34"/>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This Agreement may be signed in any number of counterparts, each of which shall be an original, with the same effect as if the signatures thereto and hereto were upon the same instrument.</w:t>
      </w:r>
    </w:p>
    <w:p>
      <w:pPr>
        <w:spacing w:after="0" w:line="162" w:lineRule="exact"/>
        <w:rPr>
          <w:sz w:val="20"/>
          <w:szCs w:val="20"/>
          <w:color w:val="auto"/>
        </w:rPr>
      </w:pPr>
    </w:p>
    <w:p>
      <w:pPr>
        <w:jc w:val="center"/>
        <w:ind w:left="700"/>
        <w:spacing w:after="0" w:line="454"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21</w:t>
      </w:r>
    </w:p>
    <w:p>
      <w:pPr>
        <w:sectPr>
          <w:pgSz w:w="11900" w:h="16838" w:orient="portrait"/>
          <w:cols w:equalWidth="0" w:num="1">
            <w:col w:w="11360"/>
          </w:cols>
          <w:pgMar w:left="240" w:top="270" w:right="2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3, 2017</w:t>
      </w:r>
    </w:p>
    <w:p>
      <w:pPr>
        <w:spacing w:after="0" w:line="117"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color w:val="auto"/>
        </w:rPr>
        <w:t>Reference is made to the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Trustee is the trustee for any and all securities issued under the Indenture. Pursuant to Section 2.04(c) of the Indenture, the undersigned officers do hereby certify, in connection with the issuance of $500,000,000 aggregate principal amount of 2.900% Notes due 2027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(i) the form and terms of the Notes have been established pursuant to Section 2.01 and Section 2.03 of the Indenture and comply with the Indenture, and (ii) the terms of the Notes are as follows: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specified in the Indenture.</w:t>
      </w:r>
    </w:p>
    <w:p>
      <w:pPr>
        <w:sectPr>
          <w:pgSz w:w="11900" w:h="16838" w:orient="portrait"/>
          <w:cols w:equalWidth="0" w:num="1">
            <w:col w:w="11420"/>
          </w:cols>
          <w:pgMar w:left="240" w:top="117" w:right="2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2.900% Notes due 2027.</w:t>
      </w:r>
    </w:p>
    <w:p>
      <w:pPr>
        <w:spacing w:after="0" w:line="200" w:lineRule="exact"/>
        <w:rPr>
          <w:sz w:val="20"/>
          <w:szCs w:val="20"/>
          <w:color w:val="auto"/>
        </w:rPr>
      </w:pPr>
    </w:p>
    <w:p>
      <w:pPr>
        <w:sectPr>
          <w:pgSz w:w="11900" w:h="16838" w:orient="portrait"/>
          <w:cols w:equalWidth="0" w:num="2">
            <w:col w:w="3620" w:space="720"/>
            <w:col w:w="7080"/>
          </w:cols>
          <w:pgMar w:left="240" w:top="117"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 Instruments Incorporated.</w:t>
      </w:r>
    </w:p>
    <w:p>
      <w:pPr>
        <w:spacing w:after="0" w:line="209" w:lineRule="exact"/>
        <w:rPr>
          <w:sz w:val="20"/>
          <w:szCs w:val="20"/>
          <w:color w:val="auto"/>
        </w:rPr>
      </w:pPr>
    </w:p>
    <w:p>
      <w:pPr>
        <w:sectPr>
          <w:pgSz w:w="11900" w:h="16838" w:orient="portrait"/>
          <w:cols w:equalWidth="0" w:num="2">
            <w:col w:w="3620" w:space="720"/>
            <w:col w:w="7080"/>
          </w:cols>
          <w:pgMar w:left="240" w:top="117" w:right="239" w:bottom="1440" w:gutter="0" w:footer="0" w:header="0"/>
          <w:type w:val="continuous"/>
        </w:sectPr>
      </w:pPr>
    </w:p>
    <w:p>
      <w:pPr>
        <w:spacing w:after="0" w:line="6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479" w:lineRule="exact"/>
        <w:rPr>
          <w:sz w:val="20"/>
          <w:szCs w:val="20"/>
          <w:color w:val="auto"/>
        </w:rPr>
      </w:pPr>
    </w:p>
    <w:p>
      <w:pPr>
        <w:sectPr>
          <w:pgSz w:w="11900" w:h="16838" w:orient="portrait"/>
          <w:cols w:equalWidth="0" w:num="2">
            <w:col w:w="4120" w:space="220"/>
            <w:col w:w="7080"/>
          </w:cols>
          <w:pgMar w:left="240" w:top="11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$500,000,000.</w:t>
      </w:r>
    </w:p>
    <w:p>
      <w:pPr>
        <w:spacing w:after="0" w:line="200" w:lineRule="exact"/>
        <w:rPr>
          <w:sz w:val="20"/>
          <w:szCs w:val="20"/>
          <w:color w:val="auto"/>
        </w:rPr>
      </w:pPr>
    </w:p>
    <w:p>
      <w:pPr>
        <w:sectPr>
          <w:pgSz w:w="11900" w:h="16838" w:orient="portrait"/>
          <w:cols w:equalWidth="0" w:num="2">
            <w:col w:w="3620" w:space="720"/>
            <w:col w:w="7080"/>
          </w:cols>
          <w:pgMar w:left="240" w:top="117"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2027.</w:t>
      </w:r>
    </w:p>
    <w:p>
      <w:pPr>
        <w:spacing w:after="0" w:line="200" w:lineRule="exact"/>
        <w:rPr>
          <w:sz w:val="20"/>
          <w:szCs w:val="20"/>
          <w:color w:val="auto"/>
        </w:rPr>
      </w:pPr>
    </w:p>
    <w:p>
      <w:pPr>
        <w:sectPr>
          <w:pgSz w:w="11900" w:h="16838" w:orient="portrait"/>
          <w:cols w:equalWidth="0" w:num="2">
            <w:col w:w="3620" w:space="720"/>
            <w:col w:w="7080"/>
          </w:cols>
          <w:pgMar w:left="240" w:top="117"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2.900% per annum.</w:t>
      </w:r>
    </w:p>
    <w:p>
      <w:pPr>
        <w:spacing w:after="0" w:line="200" w:lineRule="exact"/>
        <w:rPr>
          <w:sz w:val="20"/>
          <w:szCs w:val="20"/>
          <w:color w:val="auto"/>
        </w:rPr>
      </w:pPr>
    </w:p>
    <w:p>
      <w:pPr>
        <w:sectPr>
          <w:pgSz w:w="11900" w:h="16838" w:orient="portrait"/>
          <w:cols w:equalWidth="0" w:num="2">
            <w:col w:w="3620" w:space="720"/>
            <w:col w:w="7080"/>
          </w:cols>
          <w:pgMar w:left="240" w:top="117"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2017.</w:t>
      </w:r>
    </w:p>
    <w:p>
      <w:pPr>
        <w:spacing w:after="0" w:line="200" w:lineRule="exact"/>
        <w:rPr>
          <w:sz w:val="20"/>
          <w:szCs w:val="20"/>
          <w:color w:val="auto"/>
        </w:rPr>
      </w:pPr>
    </w:p>
    <w:p>
      <w:pPr>
        <w:sectPr>
          <w:pgSz w:w="11900" w:h="16838" w:orient="portrait"/>
          <w:cols w:equalWidth="0" w:num="2">
            <w:col w:w="3620" w:space="720"/>
            <w:col w:w="7080"/>
          </w:cols>
          <w:pgMar w:left="240" w:top="117"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Payment Dates: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and November 3, commencing on May 3, 2018.</w:t>
      </w:r>
    </w:p>
    <w:p>
      <w:pPr>
        <w:spacing w:after="0" w:line="200" w:lineRule="exact"/>
        <w:rPr>
          <w:sz w:val="20"/>
          <w:szCs w:val="20"/>
          <w:color w:val="auto"/>
        </w:rPr>
      </w:pPr>
    </w:p>
    <w:p>
      <w:pPr>
        <w:sectPr>
          <w:pgSz w:w="11900" w:h="16838" w:orient="portrait"/>
          <w:cols w:equalWidth="0" w:num="2">
            <w:col w:w="3620" w:space="720"/>
            <w:col w:w="7080"/>
          </w:cols>
          <w:pgMar w:left="240" w:top="117"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August 3, 2027 (the date that is three months prior to the maturity date of the Notes), the Issuer may at its option redeem the Notes, in whole or in part at any time, or from time to time, on at least 30 days but not more than 60 days prior notice mailed to the registered address of each holder of the Notes, at a redemption price, calculated by the Issuer, equal to the greater of:</w:t>
      </w:r>
    </w:p>
    <w:p>
      <w:pPr>
        <w:spacing w:after="0" w:line="200" w:lineRule="exact"/>
        <w:rPr>
          <w:sz w:val="20"/>
          <w:szCs w:val="20"/>
          <w:color w:val="auto"/>
        </w:rPr>
      </w:pPr>
    </w:p>
    <w:p>
      <w:pPr>
        <w:sectPr>
          <w:pgSz w:w="11900" w:h="16838" w:orient="portrait"/>
          <w:cols w:equalWidth="0" w:num="2">
            <w:col w:w="3620" w:space="720"/>
            <w:col w:w="7080"/>
          </w:cols>
          <w:pgMar w:left="240" w:top="117" w:right="239" w:bottom="1440" w:gutter="0" w:footer="0" w:header="0"/>
          <w:type w:val="continuous"/>
        </w:sectPr>
      </w:pPr>
    </w:p>
    <w:p>
      <w:pPr>
        <w:spacing w:after="0" w:line="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 100% of the principal amount of the Notes to be redeemed; and</w:t>
      </w:r>
    </w:p>
    <w:p>
      <w:pPr>
        <w:sectPr>
          <w:pgSz w:w="11900" w:h="16838" w:orient="portrait"/>
          <w:cols w:equalWidth="0" w:num="1">
            <w:col w:w="11420"/>
          </w:cols>
          <w:pgMar w:left="240" w:top="117" w:right="239" w:bottom="1440" w:gutter="0" w:footer="0" w:header="0"/>
          <w:type w:val="continuous"/>
        </w:sectPr>
      </w:pPr>
    </w:p>
    <w:bookmarkStart w:id="36" w:name="page37"/>
    <w:bookmarkEnd w:id="36"/>
    <w:p>
      <w:pPr>
        <w:ind w:left="434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the sum of the present values of the principal amount of such Notes and the scheduled payments of interest thereon (not including any portion of such payments of interest accrued as of the date of redemption) from the date of redemption to August 3, 2027 (the date that is three months prior to the maturity date of the Notes), in each case discounted to the date of redemption on a semi-annual basis (assuming a 360-day year consisting of twelve 30-day months) at the Treasury Rate (as defined in the Notes), plus 10 basis points;</w:t>
      </w:r>
    </w:p>
    <w:p>
      <w:pPr>
        <w:spacing w:after="0" w:line="2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plus, in each case, accrued interest thereon to the date of redemption.</w:t>
      </w:r>
    </w:p>
    <w:p>
      <w:pPr>
        <w:spacing w:after="0" w:line="252" w:lineRule="exact"/>
        <w:rPr>
          <w:sz w:val="20"/>
          <w:szCs w:val="20"/>
          <w:color w:val="auto"/>
        </w:rPr>
      </w:pPr>
    </w:p>
    <w:p>
      <w:pPr>
        <w:ind w:left="4340"/>
        <w:spacing w:after="0" w:line="258" w:lineRule="auto"/>
        <w:rPr>
          <w:sz w:val="20"/>
          <w:szCs w:val="20"/>
          <w:color w:val="auto"/>
        </w:rPr>
      </w:pPr>
      <w:r>
        <w:rPr>
          <w:rFonts w:ascii="Times New Roman" w:cs="Times New Roman" w:eastAsia="Times New Roman" w:hAnsi="Times New Roman"/>
          <w:sz w:val="18"/>
          <w:szCs w:val="18"/>
          <w:color w:val="auto"/>
        </w:rPr>
        <w:t>At any time on or after August 3, 2027 (the date that is three months prior to the maturity date of the Notes), the Issuer may at its option redeem the Notes, in whole or in part at any time and from time to time, on at least 30 days but not more than 60 days prior notice mailed to the registered address of each holder of the Notes, at a redemption price equal to 100% of the principal amount of the Notes to be redeemed plus accrued interest thereon to the date of redemption.</w:t>
      </w:r>
    </w:p>
    <w:p>
      <w:pPr>
        <w:sectPr>
          <w:pgSz w:w="11900" w:h="16838" w:orient="portrait"/>
          <w:cols w:equalWidth="0" w:num="1">
            <w:col w:w="11400"/>
          </w:cols>
          <w:pgMar w:left="240" w:top="270" w:right="25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ectPr>
          <w:pgSz w:w="11900" w:h="16838" w:orient="portrait"/>
          <w:cols w:equalWidth="0" w:num="2">
            <w:col w:w="3620" w:space="720"/>
            <w:col w:w="7060"/>
          </w:cols>
          <w:pgMar w:left="240" w:top="270" w:right="25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Sinking Fund: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ectPr>
          <w:pgSz w:w="11900" w:h="16838" w:orient="portrait"/>
          <w:cols w:equalWidth="0" w:num="2">
            <w:col w:w="3620" w:space="720"/>
            <w:col w:w="7060"/>
          </w:cols>
          <w:pgMar w:left="240" w:top="270" w:right="25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8"/>
          <w:szCs w:val="18"/>
          <w:color w:val="auto"/>
        </w:rPr>
        <w:t>$2,000 and multiples of $1,000 in excess thereof.</w:t>
      </w:r>
    </w:p>
    <w:p>
      <w:pPr>
        <w:spacing w:after="0" w:line="200" w:lineRule="exact"/>
        <w:rPr>
          <w:sz w:val="20"/>
          <w:szCs w:val="20"/>
          <w:color w:val="auto"/>
        </w:rPr>
      </w:pPr>
    </w:p>
    <w:p>
      <w:pPr>
        <w:sectPr>
          <w:pgSz w:w="11900" w:h="16838" w:orient="portrait"/>
          <w:cols w:equalWidth="0" w:num="2">
            <w:col w:w="3620" w:space="720"/>
            <w:col w:w="7060"/>
          </w:cols>
          <w:pgMar w:left="240" w:top="270" w:right="25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Notes shall include such other terms as are set forth in the form of Notes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in the Indenture.</w:t>
      </w:r>
    </w:p>
    <w:p>
      <w:pPr>
        <w:spacing w:after="0" w:line="162" w:lineRule="exact"/>
        <w:rPr>
          <w:sz w:val="20"/>
          <w:szCs w:val="20"/>
          <w:color w:val="auto"/>
        </w:rPr>
      </w:pPr>
    </w:p>
    <w:p>
      <w:pPr>
        <w:sectPr>
          <w:pgSz w:w="11900" w:h="16838" w:orient="portrait"/>
          <w:cols w:equalWidth="0" w:num="2">
            <w:col w:w="3620" w:space="720"/>
            <w:col w:w="7060"/>
          </w:cols>
          <w:pgMar w:left="240" w:top="270" w:right="259" w:bottom="1440" w:gutter="0" w:footer="0" w:header="0"/>
          <w:type w:val="continuous"/>
        </w:sect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with identical terms as the Notes, other than with respect to the date of issuance, the issue price and interest accrued prior to the issue date of the additional notes (together,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xml:space="preserve">”). The Additional Notes will have the same CUSIP number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that are not fungible with the Notes for U.S. federal income tax purposes will be issued under a separate CUSIP number. Any Additional Notes will be issued in accordance with Section 2.03 of the Indenture.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type w:val="continuous"/>
        </w:sectPr>
      </w:pPr>
    </w:p>
    <w:bookmarkStart w:id="37" w:name="page38"/>
    <w:bookmarkEnd w:id="37"/>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38" w:name="page39"/>
    <w:bookmarkEnd w:id="38"/>
    <w:p>
      <w:pPr>
        <w:jc w:val="right"/>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officers of the Issuer have duly executed this certificate as of the date first set forth above.</w:t>
      </w:r>
    </w:p>
    <w:p>
      <w:pPr>
        <w:spacing w:after="0" w:line="26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TEXAS INSTRUMENTS INCORPORATED</w:t>
      </w:r>
    </w:p>
    <w:p>
      <w:pPr>
        <w:spacing w:after="0" w:line="23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Rafael R. Lizardi</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-130810</wp:posOffset>
            </wp:positionV>
            <wp:extent cx="2727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72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Senior Vice President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Alan C. Boyd</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-130810</wp:posOffset>
            </wp:positionV>
            <wp:extent cx="2727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72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Officers’ Certificate Pursuant to the Indenture</w:t>
      </w:r>
      <w:r>
        <w:rPr>
          <w:rFonts w:ascii="Times New Roman" w:cs="Times New Roman" w:eastAsia="Times New Roman" w:hAnsi="Times New Roman"/>
          <w:sz w:val="18"/>
          <w:szCs w:val="18"/>
          <w:color w:val="auto"/>
        </w:rPr>
        <w:t>]</w:t>
      </w:r>
    </w:p>
    <w:p>
      <w:pPr>
        <w:sectPr>
          <w:pgSz w:w="11900" w:h="16838" w:orient="portrait"/>
          <w:cols w:equalWidth="0" w:num="1">
            <w:col w:w="9759"/>
          </w:cols>
          <w:pgMar w:left="700" w:top="270"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2027]</w:t>
      </w:r>
    </w:p>
    <w:p>
      <w:pPr>
        <w:spacing w:after="0" w:line="225" w:lineRule="exact"/>
        <w:rPr>
          <w:sz w:val="20"/>
          <w:szCs w:val="20"/>
          <w:color w:val="auto"/>
        </w:rPr>
      </w:pPr>
    </w:p>
    <w:p>
      <w:pPr>
        <w:ind w:right="120" w:firstLine="913"/>
        <w:spacing w:after="0" w:line="274" w:lineRule="auto"/>
        <w:rPr>
          <w:sz w:val="20"/>
          <w:szCs w:val="20"/>
          <w:color w:val="auto"/>
        </w:rPr>
      </w:pPr>
      <w:r>
        <w:rPr>
          <w:rFonts w:ascii="Times New Roman" w:cs="Times New Roman" w:eastAsia="Times New Roman" w:hAnsi="Times New Roman"/>
          <w:sz w:val="17"/>
          <w:szCs w:val="17"/>
          <w:color w:val="auto"/>
        </w:rPr>
        <w:t>UNLESS THIS NOTE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4" w:lineRule="exact"/>
        <w:rPr>
          <w:sz w:val="20"/>
          <w:szCs w:val="20"/>
          <w:color w:val="auto"/>
        </w:rPr>
      </w:pPr>
    </w:p>
    <w:p>
      <w:pPr>
        <w:jc w:val="both"/>
        <w:ind w:right="220" w:firstLine="913"/>
        <w:spacing w:after="0" w:line="261" w:lineRule="auto"/>
        <w:rPr>
          <w:sz w:val="20"/>
          <w:szCs w:val="20"/>
          <w:color w:val="auto"/>
        </w:rPr>
      </w:pPr>
      <w:r>
        <w:rPr>
          <w:rFonts w:ascii="Times New Roman" w:cs="Times New Roman" w:eastAsia="Times New Roman" w:hAnsi="Times New Roman"/>
          <w:sz w:val="18"/>
          <w:szCs w:val="18"/>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80" w:lineRule="exact"/>
        <w:rPr>
          <w:sz w:val="20"/>
          <w:szCs w:val="20"/>
          <w:color w:val="auto"/>
        </w:rPr>
      </w:pPr>
    </w:p>
    <w:p>
      <w:pPr>
        <w:ind w:right="360" w:firstLine="913"/>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266" w:right="2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2.900% Notes due 2027</w:t>
      </w:r>
    </w:p>
    <w:p>
      <w:pPr>
        <w:sectPr>
          <w:pgSz w:w="11900" w:h="16838" w:orient="portrait"/>
          <w:cols w:equalWidth="0" w:num="1">
            <w:col w:w="11420"/>
          </w:cols>
          <w:pgMar w:left="240" w:top="266" w:right="2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CUSIP No.: 882508 BC7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ISIN No.: US882508BC78</w:t>
      </w:r>
    </w:p>
    <w:p>
      <w:pPr>
        <w:spacing w:after="0" w:line="200" w:lineRule="exact"/>
        <w:rPr>
          <w:sz w:val="20"/>
          <w:szCs w:val="20"/>
          <w:color w:val="auto"/>
        </w:rPr>
      </w:pPr>
    </w:p>
    <w:p>
      <w:pPr>
        <w:sectPr>
          <w:pgSz w:w="11900" w:h="16838" w:orient="portrait"/>
          <w:cols w:equalWidth="0" w:num="2">
            <w:col w:w="8760" w:space="720"/>
            <w:col w:w="1940"/>
          </w:cols>
          <w:pgMar w:left="240" w:top="266" w:right="239" w:bottom="1440" w:gutter="0" w:footer="0" w:header="0"/>
          <w:type w:val="continuous"/>
        </w:sectPr>
      </w:pPr>
    </w:p>
    <w:p>
      <w:pPr>
        <w:spacing w:after="0" w:line="18"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7"/>
          <w:szCs w:val="17"/>
          <w:color w:val="auto"/>
        </w:rPr>
        <w:t>$500,000,000</w:t>
      </w:r>
    </w:p>
    <w:p>
      <w:pPr>
        <w:sectPr>
          <w:pgSz w:w="11900" w:h="16838" w:orient="portrait"/>
          <w:cols w:equalWidth="0" w:num="1">
            <w:col w:w="11420"/>
          </w:cols>
          <w:pgMar w:left="240" w:top="266" w:right="239" w:bottom="1440" w:gutter="0" w:footer="0" w:header="0"/>
          <w:type w:val="continuous"/>
        </w:sectPr>
      </w:pPr>
    </w:p>
    <w:p>
      <w:pPr>
        <w:spacing w:after="0" w:line="233"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color w:val="auto"/>
        </w:rPr>
        <w:t>TEXAS INSTRUMENTS INCORPORATED,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for value received promises to pay to CEDE &amp; CO. or registered assigns the principal sum of $500,000,000 on November 3, 2027.</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Payment Dates: May 3 and November 3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May 3, 2018.</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Record Dates: April 17 and October 17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left="520" w:right="180"/>
        <w:spacing w:after="0" w:line="454" w:lineRule="auto"/>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 place. A-2</w:t>
      </w:r>
    </w:p>
    <w:p>
      <w:pPr>
        <w:sectPr>
          <w:pgSz w:w="11900" w:h="16838" w:orient="portrait"/>
          <w:cols w:equalWidth="0" w:num="1">
            <w:col w:w="11420"/>
          </w:cols>
          <w:pgMar w:left="240" w:top="266" w:right="239"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Muriel C. McFarling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-130810</wp:posOffset>
            </wp:positionV>
            <wp:extent cx="27012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Assistant Secretary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00"/>
          </w:cols>
          <w:pgMar w:left="240" w:top="270" w:right="259"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3, 2017</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U.S. BANK NATIONAL ASSOCIATION</w:t>
      </w:r>
      <w:r>
        <w:rPr>
          <w:rFonts w:ascii="Times New Roman" w:cs="Times New Roman" w:eastAsia="Times New Roman" w:hAnsi="Times New Roman"/>
          <w:sz w:val="17"/>
          <w:szCs w:val="17"/>
          <w:color w:val="auto"/>
        </w:rPr>
        <w:t>, as Trustee</w:t>
      </w: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860"/>
          </w:cols>
          <w:pgMar w:left="240" w:top="270" w:right="79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2.900% Notes due 2027</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Interest.</w:t>
      </w:r>
    </w:p>
    <w:p>
      <w:pPr>
        <w:spacing w:after="0" w:line="221"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November 3, 2017. Interest on this Note will be paid to but excluding the relevant Interest Payment Date. The Issuer will pay interest semi-annually in arrears on each Interest Payment Date, commencing May 3, 2018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7"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Paying Agent.</w:t>
      </w:r>
    </w:p>
    <w:p>
      <w:pPr>
        <w:spacing w:after="0" w:line="221" w:lineRule="exact"/>
        <w:rPr>
          <w:sz w:val="20"/>
          <w:szCs w:val="20"/>
          <w:color w:val="auto"/>
        </w:rPr>
      </w:pPr>
    </w:p>
    <w:p>
      <w:pPr>
        <w:ind w:right="500" w:firstLine="456"/>
        <w:spacing w:after="0" w:line="286" w:lineRule="auto"/>
        <w:rPr>
          <w:sz w:val="20"/>
          <w:szCs w:val="20"/>
          <w:color w:val="auto"/>
        </w:rPr>
      </w:pPr>
      <w:r>
        <w:rPr>
          <w:rFonts w:ascii="Times New Roman" w:cs="Times New Roman" w:eastAsia="Times New Roman" w:hAnsi="Times New Roman"/>
          <w:sz w:val="18"/>
          <w:szCs w:val="18"/>
          <w:color w:val="auto"/>
        </w:rPr>
        <w:t>Initially, U.S. Bank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 Indenture; Defined Terms.</w:t>
      </w:r>
    </w:p>
    <w:p>
      <w:pPr>
        <w:spacing w:after="0" w:line="221" w:lineRule="exact"/>
        <w:rPr>
          <w:sz w:val="20"/>
          <w:szCs w:val="20"/>
          <w:color w:val="auto"/>
        </w:rPr>
      </w:pPr>
    </w:p>
    <w:p>
      <w:pPr>
        <w:ind w:right="420" w:firstLine="456"/>
        <w:spacing w:after="0" w:line="268" w:lineRule="auto"/>
        <w:rPr>
          <w:sz w:val="20"/>
          <w:szCs w:val="20"/>
          <w:color w:val="auto"/>
        </w:rPr>
      </w:pPr>
      <w:r>
        <w:rPr>
          <w:rFonts w:ascii="Times New Roman" w:cs="Times New Roman" w:eastAsia="Times New Roman" w:hAnsi="Times New Roman"/>
          <w:sz w:val="18"/>
          <w:szCs w:val="18"/>
          <w:color w:val="auto"/>
        </w:rPr>
        <w:t>This Note is one of the 2.900% Notes due 2027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November 3, 2017,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380"/>
          </w:cols>
          <w:pgMar w:left="240" w:top="270" w:right="279" w:bottom="1440" w:gutter="0" w:footer="0" w:header="0"/>
        </w:sectPr>
      </w:pPr>
    </w:p>
    <w:bookmarkStart w:id="44" w:name="page45"/>
    <w:bookmarkEnd w:id="4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pacing w:after="0" w:line="68" w:lineRule="exact"/>
        <w:rPr>
          <w:sz w:val="20"/>
          <w:szCs w:val="20"/>
          <w:color w:val="auto"/>
        </w:rPr>
      </w:pPr>
    </w:p>
    <w:p>
      <w:pPr>
        <w:ind w:left="460" w:right="140" w:firstLine="438"/>
        <w:spacing w:after="0" w:line="256" w:lineRule="auto"/>
        <w:rPr>
          <w:sz w:val="20"/>
          <w:szCs w:val="20"/>
          <w:color w:val="auto"/>
        </w:rPr>
      </w:pPr>
      <w:r>
        <w:rPr>
          <w:rFonts w:ascii="Times New Roman" w:cs="Times New Roman" w:eastAsia="Times New Roman" w:hAnsi="Times New Roman"/>
          <w:sz w:val="18"/>
          <w:szCs w:val="18"/>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 Denominations; Transfer; Exchange.</w:t>
      </w:r>
    </w:p>
    <w:p>
      <w:pPr>
        <w:spacing w:after="0" w:line="22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 Amendment; Supplement; Waiver.</w:t>
      </w:r>
    </w:p>
    <w:p>
      <w:pPr>
        <w:spacing w:after="0" w:line="2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 Redemption.</w:t>
      </w:r>
    </w:p>
    <w:p>
      <w:pPr>
        <w:spacing w:after="0" w:line="117" w:lineRule="exact"/>
        <w:rPr>
          <w:sz w:val="20"/>
          <w:szCs w:val="20"/>
          <w:color w:val="auto"/>
        </w:rPr>
      </w:pPr>
    </w:p>
    <w:p>
      <w:pPr>
        <w:ind w:firstLine="464"/>
        <w:spacing w:after="0" w:line="282" w:lineRule="auto"/>
        <w:tabs>
          <w:tab w:leader="none" w:pos="7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August 3, 2027 (the date that is three months prior to the maturity date of the Notes), the Issuer may at its option redeem the Notes, in whole or in part at 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420"/>
          </w:cols>
          <w:pgMar w:left="240" w:top="270"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or from time to time, on at least 30 days but not more than 60 days prior notice, at a redemption price calculated by the Issuer equal to the greater of:</w:t>
      </w:r>
    </w:p>
    <w:p>
      <w:pPr>
        <w:spacing w:after="0" w:line="117" w:lineRule="exact"/>
        <w:rPr>
          <w:sz w:val="20"/>
          <w:szCs w:val="20"/>
          <w:color w:val="auto"/>
        </w:rPr>
      </w:pPr>
    </w:p>
    <w:p>
      <w:pPr>
        <w:ind w:left="680" w:hanging="216"/>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w:t>
      </w:r>
    </w:p>
    <w:p>
      <w:pPr>
        <w:spacing w:after="0" w:line="117" w:lineRule="exact"/>
        <w:rPr>
          <w:rFonts w:ascii="Times New Roman" w:cs="Times New Roman" w:eastAsia="Times New Roman" w:hAnsi="Times New Roman"/>
          <w:sz w:val="18"/>
          <w:szCs w:val="18"/>
          <w:color w:val="auto"/>
        </w:rPr>
      </w:pPr>
    </w:p>
    <w:p>
      <w:pPr>
        <w:ind w:right="220" w:firstLine="464"/>
        <w:spacing w:after="0" w:line="261" w:lineRule="auto"/>
        <w:tabs>
          <w:tab w:leader="none" w:pos="7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August 3, 2027 (the date that is three months prior to the maturity date of the Notes), in each case discounted to the date of redemption on a semi-annual basis (assuming a 360-day year consisting of twelve 30-day months) at the Treasury Rate (as defined below), plus 10 basis points,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each case accrued interest thereon to the date of redemption.</w:t>
      </w:r>
    </w:p>
    <w:p>
      <w:pPr>
        <w:spacing w:after="0" w:line="225" w:lineRule="exact"/>
        <w:rPr>
          <w:sz w:val="20"/>
          <w:szCs w:val="20"/>
          <w:color w:val="auto"/>
        </w:rPr>
      </w:pPr>
    </w:p>
    <w:p>
      <w:pPr>
        <w:ind w:firstLine="464"/>
        <w:spacing w:after="0" w:line="266" w:lineRule="auto"/>
        <w:tabs>
          <w:tab w:leader="none" w:pos="7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August 3, 2027 (the date that is three months prior to the maturity date of the Notes), the Issuer may at its option redeem the Notes, in whole or in part at any time and from time to time, on at least 30 days but not more than 60 days prior notice, at a redemption price equal to 100% of the principal amount of the Notes to be redeemed plus accrued interest thereon to the date of redemption.</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jc w:val="both"/>
        <w:ind w:right="32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1"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Agent</w:t>
      </w:r>
      <w:r>
        <w:rPr>
          <w:rFonts w:ascii="Times New Roman" w:cs="Times New Roman" w:eastAsia="Times New Roman" w:hAnsi="Times New Roman"/>
          <w:sz w:val="18"/>
          <w:szCs w:val="18"/>
          <w:color w:val="auto"/>
        </w:rPr>
        <w:t>” means the Reference Treasury Dealer appointed by the Issuer.</w:t>
      </w:r>
    </w:p>
    <w:p>
      <w:pPr>
        <w:spacing w:after="0" w:line="22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xml:space="preserve">” means (i) Barclays Capital Inc., J.P. Morgan Securities LLC and Merrill Lynch, Pierce, Fenner &amp; Smith Incorporated (or their respective affiliates that are Primary Treasury Dealers) and their respective successors;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420"/>
          </w:cols>
          <w:pgMar w:left="240" w:top="270" w:right="239" w:bottom="1440" w:gutter="0" w:footer="0" w:header="0"/>
        </w:sectPr>
      </w:pPr>
    </w:p>
    <w:bookmarkStart w:id="46" w:name="page47"/>
    <w:bookmarkEnd w:id="46"/>
    <w:p>
      <w:pPr>
        <w:ind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77"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7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 Defaults and Remedies.</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 Authentication.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400"/>
          </w:cols>
          <w:pgMar w:left="240" w:top="266" w:right="259"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Abbreviations and Defined Terms.</w:t>
      </w:r>
    </w:p>
    <w:p>
      <w:pPr>
        <w:spacing w:after="0" w:line="22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 CUSIP Numbers.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 Governing Law.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360"/>
          </w:cols>
          <w:pgMar w:left="240" w:top="270" w:right="2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91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tc>
      </w:tr>
      <w:tr>
        <w:trPr>
          <w:trHeight w:val="257"/>
        </w:trPr>
        <w:tc>
          <w:tcPr>
            <w:tcW w:w="4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6160" w:type="dxa"/>
            <w:vAlign w:val="bottom"/>
            <w:tcBorders>
              <w:bottom w:val="single" w:sz="8" w:color="auto"/>
            </w:tcBorders>
          </w:tcPr>
          <w:p>
            <w:pPr>
              <w:spacing w:after="0"/>
              <w:rPr>
                <w:sz w:val="22"/>
                <w:szCs w:val="22"/>
                <w:color w:val="auto"/>
              </w:rPr>
            </w:pPr>
          </w:p>
        </w:tc>
      </w:tr>
      <w:tr>
        <w:trPr>
          <w:trHeight w:val="38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800" w:type="dxa"/>
            <w:vAlign w:val="bottom"/>
            <w:tcBorders>
              <w:bottom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Your Signature:</w:t>
            </w:r>
          </w:p>
        </w:tc>
        <w:tc>
          <w:tcPr>
            <w:tcW w:w="1800" w:type="dxa"/>
            <w:vAlign w:val="bottom"/>
            <w:tcBorders>
              <w:bottom w:val="single" w:sz="8" w:color="auto"/>
            </w:tcBorders>
          </w:tcPr>
          <w:p>
            <w:pPr>
              <w:spacing w:after="0"/>
              <w:rPr>
                <w:sz w:val="24"/>
                <w:szCs w:val="24"/>
                <w:color w:val="auto"/>
              </w:rPr>
            </w:pPr>
          </w:p>
        </w:tc>
        <w:tc>
          <w:tcPr>
            <w:tcW w:w="6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0" w:lineRule="exact"/>
        <w:rPr>
          <w:sz w:val="20"/>
          <w:szCs w:val="20"/>
          <w:color w:val="auto"/>
        </w:rPr>
      </w:pPr>
    </w:p>
    <w:p>
      <w:pPr>
        <w:spacing w:after="0" w:line="28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-127635</wp:posOffset>
            </wp:positionV>
            <wp:extent cx="32499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0" w:lineRule="exact"/>
        <w:rPr>
          <w:sz w:val="20"/>
          <w:szCs w:val="20"/>
          <w:color w:val="auto"/>
        </w:rPr>
      </w:pPr>
    </w:p>
    <w:p>
      <w:pPr>
        <w:spacing w:after="0" w:line="255" w:lineRule="exact"/>
        <w:rPr>
          <w:sz w:val="20"/>
          <w:szCs w:val="20"/>
          <w:color w:val="auto"/>
        </w:rPr>
      </w:pPr>
    </w:p>
    <w:p>
      <w:pPr>
        <w:spacing w:after="0"/>
        <w:tabs>
          <w:tab w:leader="none" w:pos="638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7"/>
          <w:szCs w:val="17"/>
          <w:b w:val="1"/>
          <w:bCs w:val="1"/>
          <w:color w:val="auto"/>
        </w:rPr>
        <w:t>STAMP</w:t>
      </w:r>
      <w:r>
        <w:rPr>
          <w:rFonts w:ascii="Times New Roman" w:cs="Times New Roman" w:eastAsia="Times New Roman" w:hAnsi="Times New Roman"/>
          <w:sz w:val="17"/>
          <w:szCs w:val="17"/>
          <w:color w:val="auto"/>
        </w:rPr>
        <w:t>”) or such other “signature guarantee program” as may be determined by the Registrar in addition to, or in substitution for, STAMP, all in accordance with the United States Securities Exchange Act of 1934, as amended.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420"/>
          </w:cols>
          <w:pgMar w:left="240" w:top="270" w:right="239" w:bottom="1440" w:gutter="0" w:footer="0" w:header="0"/>
        </w:sectPr>
      </w:pPr>
    </w:p>
    <w:bookmarkStart w:id="49" w:name="page50"/>
    <w:bookmarkEnd w:id="49"/>
    <w:p>
      <w:pPr>
        <w:jc w:val="center"/>
        <w:ind w:right="-1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Physical Notes or a part of another Global Note have been made:</w:t>
      </w:r>
    </w:p>
    <w:p>
      <w:pPr>
        <w:spacing w:after="0" w:line="23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500" w:type="dxa"/>
            <w:vAlign w:val="bottom"/>
          </w:tcPr>
          <w:p>
            <w:pPr>
              <w:spacing w:after="0"/>
              <w:rPr>
                <w:sz w:val="13"/>
                <w:szCs w:val="13"/>
                <w:color w:val="auto"/>
              </w:rPr>
            </w:pPr>
          </w:p>
        </w:tc>
        <w:tc>
          <w:tcPr>
            <w:tcW w:w="232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Global Note following</w:t>
            </w:r>
          </w:p>
        </w:tc>
        <w:tc>
          <w:tcPr>
            <w:tcW w:w="192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3200" w:type="dxa"/>
            <w:vAlign w:val="bottom"/>
            <w:gridSpan w:val="3"/>
          </w:tcPr>
          <w:p>
            <w:pPr>
              <w:jc w:val="center"/>
              <w:ind w:left="688"/>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8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such decrease (or</w:t>
            </w: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vMerge w:val="continue"/>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8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240" w:top="270" w:right="419" w:bottom="1440" w:gutter="0" w:footer="0" w:header="0"/>
        </w:sectPr>
      </w:pPr>
    </w:p>
    <w:bookmarkStart w:id="50" w:name="page51"/>
    <w:bookmarkEnd w:id="50"/>
    <w:p>
      <w:pPr>
        <w:ind w:left="10580"/>
        <w:spacing w:after="0"/>
        <w:rPr>
          <w:sz w:val="20"/>
          <w:szCs w:val="20"/>
          <w:color w:val="auto"/>
        </w:rPr>
      </w:pPr>
      <w:r>
        <w:rPr>
          <w:rFonts w:ascii="Times New Roman" w:cs="Times New Roman" w:eastAsia="Times New Roman" w:hAnsi="Times New Roman"/>
          <w:sz w:val="17"/>
          <w:szCs w:val="17"/>
          <w:b w:val="1"/>
          <w:bCs w:val="1"/>
          <w:color w:val="auto"/>
        </w:rPr>
        <w:t>Exhibit 5.1</w:t>
      </w:r>
    </w:p>
    <w:p>
      <w:pPr>
        <w:sectPr>
          <w:pgSz w:w="11900" w:h="16838" w:orient="portrait"/>
          <w:cols w:equalWidth="0" w:num="1">
            <w:col w:w="11420"/>
          </w:cols>
          <w:pgMar w:left="240" w:top="117" w:right="239" w:bottom="1440" w:gutter="0" w:footer="0" w:header="0"/>
        </w:sectPr>
      </w:pPr>
    </w:p>
    <w:p>
      <w:pPr>
        <w:spacing w:after="0" w:line="264"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Northern California</w:t>
      </w:r>
    </w:p>
    <w:p>
      <w:pPr>
        <w:spacing w:after="0" w:line="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Washington DC</w:t>
      </w:r>
    </w:p>
    <w:p>
      <w:pPr>
        <w:spacing w:after="0" w:line="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São Paulo</w:t>
      </w:r>
    </w:p>
    <w:p>
      <w:pPr>
        <w:spacing w:after="0" w:line="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11910" cy="266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1191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00" w:lineRule="exact"/>
        <w:rPr>
          <w:sz w:val="20"/>
          <w:szCs w:val="20"/>
          <w:color w:val="auto"/>
        </w:rPr>
      </w:pPr>
    </w:p>
    <w:p>
      <w:pPr>
        <w:sectPr>
          <w:pgSz w:w="11900" w:h="16838" w:orient="portrait"/>
          <w:cols w:equalWidth="0" w:num="2">
            <w:col w:w="9980" w:space="380"/>
            <w:col w:w="1060"/>
          </w:cols>
          <w:pgMar w:left="240" w:top="117" w:right="239" w:bottom="1440" w:gutter="0" w:footer="0" w:header="0"/>
          <w:type w:val="continuous"/>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650 752 2000 tel</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1600 El Camino Real</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5"/>
              </w:rPr>
              <w:t>650 752 2111 fax</w:t>
            </w:r>
          </w:p>
        </w:tc>
      </w:t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Menlo Park, CA 94025</w:t>
            </w:r>
          </w:p>
        </w:tc>
        <w:tc>
          <w:tcPr>
            <w:tcW w:w="14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special counsel for Texas 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offering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$500,000,000 aggregate principal amount of 2.900% Notes due 2027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an underwritten public offering pursuant to an underwriting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dated October 26, 2017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 among the Company and Barclays Capital Inc., J.P. Morgan Securities LLC and Merrill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Lynch, Pierce, Fenner &amp; Smith Incorporated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as representatives of the several underwriters listed in Schedule II thereto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The Notes are to be issued pursuant to an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National Association, as Trustee, and an Officers’ Certificate to be issued pursuant thereto on or about November 3, 2017. The Company has filed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and Exchange Commission a Registration Statement on Form S-3 (File No. 333-209678,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registering under the Securities Act of 1933, as amended (“the Securities Act”), the offer and sale of certain securities, including the Notes.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spacing w:after="0" w:line="2" w:lineRule="exact"/>
        <w:rPr>
          <w:sz w:val="20"/>
          <w:szCs w:val="20"/>
          <w:color w:val="auto"/>
        </w:rPr>
      </w:pPr>
    </w:p>
    <w:p>
      <w:pPr>
        <w:ind w:right="120" w:firstLine="8"/>
        <w:spacing w:after="0" w:line="255"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w:t>
      </w:r>
    </w:p>
    <w:p>
      <w:pPr>
        <w:sectPr>
          <w:pgSz w:w="11900" w:h="16838" w:orient="portrait"/>
          <w:cols w:equalWidth="0" w:num="1">
            <w:col w:w="11420"/>
          </w:cols>
          <w:pgMar w:left="240" w:top="117" w:right="239" w:bottom="1440" w:gutter="0" w:footer="0" w:header="0"/>
          <w:type w:val="continuous"/>
        </w:sectPr>
      </w:pPr>
    </w:p>
    <w:bookmarkStart w:id="51" w:name="page52"/>
    <w:bookmarkEnd w:id="51"/>
    <w:p>
      <w:pPr>
        <w:spacing w:after="0"/>
        <w:tabs>
          <w:tab w:leader="none" w:pos="5900" w:val="left"/>
          <w:tab w:leader="none" w:pos="10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November 3, 2017</w:t>
      </w:r>
    </w:p>
    <w:p>
      <w:pPr>
        <w:spacing w:after="0" w:line="1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opinion expressed above, we have assumed that (i) the Registration Statement became effective upon filing with the Commission and such effectiveness shall not have been terminated or rescinded and (ii) at or prior to the time of the delivery of the Notes, the Indenture and the Notes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w:t>
      </w:r>
    </w:p>
    <w:p>
      <w:pPr>
        <w:spacing w:after="0" w:line="3" w:lineRule="exact"/>
        <w:rPr>
          <w:sz w:val="20"/>
          <w:szCs w:val="20"/>
          <w:color w:val="auto"/>
        </w:rPr>
      </w:pPr>
    </w:p>
    <w:p>
      <w:pPr>
        <w:ind w:right="80" w:firstLine="8"/>
        <w:spacing w:after="0" w:line="254"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public policy,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
    <w:nsid w:val="257130A3"/>
    <w:multiLevelType w:val="hybridMultilevel"/>
    <w:lvl w:ilvl="0">
      <w:lvlJc w:val="left"/>
      <w:lvlText w:val="(%1)"/>
      <w:numFmt w:val="lowerRoman"/>
      <w:start w:val="7"/>
    </w:lvl>
    <w:lvl w:ilvl="1">
      <w:lvlJc w:val="left"/>
      <w:lvlText w:val="(%2)"/>
      <w:numFmt w:val="upperLetter"/>
      <w:start w:val="1"/>
    </w:lvl>
  </w:abstractNum>
  <w:abstractNum w:abstractNumId="5">
    <w:nsid w:val="62BBD9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6">
    <w:nsid w:val="436C612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
    <w:nsid w:val="628C895D"/>
    <w:multiLevelType w:val="hybridMultilevel"/>
    <w:lvl w:ilvl="0">
      <w:lvlJc w:val="left"/>
      <w:lvlText w:val="%1"/>
      <w:numFmt w:val="lowerRoman"/>
      <w:start w:val="1"/>
    </w:lvl>
    <w:lvl w:ilvl="1">
      <w:lvlJc w:val="left"/>
      <w:lvlText w:val="(%2)"/>
      <w:numFmt w:val="upperLetter"/>
      <w:start w:val="3"/>
    </w:lvl>
  </w:abstractNum>
  <w:abstractNum w:abstractNumId="8">
    <w:nsid w:val="333AB105"/>
    <w:multiLevelType w:val="hybridMultilevel"/>
    <w:lvl w:ilvl="0">
      <w:lvlJc w:val="left"/>
      <w:lvlText w:val="(%1)"/>
      <w:numFmt w:val="lowerRoman"/>
      <w:start w:val="3"/>
    </w:lvl>
    <w:lvl w:ilvl="1">
      <w:lvlJc w:val="left"/>
      <w:lvlText w:val="(%2)"/>
      <w:numFmt w:val="upperLetter"/>
      <w:start w:val="1"/>
    </w:lvl>
  </w:abstractNum>
  <w:abstractNum w:abstractNumId="9">
    <w:nsid w:val="721DA317"/>
    <w:multiLevelType w:val="hybridMultilevel"/>
    <w:lvl w:ilvl="0">
      <w:lvlJc w:val="left"/>
      <w:lvlText w:val="(%1)"/>
      <w:numFmt w:val="lowerRoman"/>
      <w:start w:val="8"/>
    </w:lvl>
    <w:lvl w:ilvl="1">
      <w:lvlJc w:val="left"/>
      <w:lvlText w:val="(%2)"/>
      <w:numFmt w:val="upperLetter"/>
      <w:start w:val="1"/>
    </w:lvl>
  </w:abstractNum>
  <w:abstractNum w:abstractNumId="10">
    <w:nsid w:val="2443A85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1">
    <w:nsid w:val="2D1D5AE9"/>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2">
    <w:nsid w:val="6763845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
    <w:nsid w:val="75A2A8D4"/>
    <w:multiLevelType w:val="hybridMultilevel"/>
    <w:lvl w:ilvl="0">
      <w:lvlJc w:val="left"/>
      <w:lvlText w:val="(%1)"/>
      <w:numFmt w:val="lowerLetter"/>
      <w:start w:val="5"/>
    </w:lvl>
  </w:abstractNum>
  <w:abstractNum w:abstractNumId="14">
    <w:nsid w:val="8EDBDAB"/>
    <w:multiLevelType w:val="hybridMultilevel"/>
    <w:lvl w:ilvl="0">
      <w:lvlJc w:val="left"/>
      <w:lvlText w:val="(%1)"/>
      <w:numFmt w:val="lowerLetter"/>
      <w:start w:val="7"/>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6"/>
    </w:lvl>
  </w:abstractNum>
  <w:abstractNum w:abstractNumId="17">
    <w:nsid w:val="B03E0C6"/>
    <w:multiLevelType w:val="hybridMultilevel"/>
    <w:lvl w:ilvl="0">
      <w:lvlJc w:val="left"/>
      <w:lvlText w:val="(%1)"/>
      <w:numFmt w:val="lowerLetter"/>
      <w:start w:val="9"/>
    </w:lvl>
  </w:abstractNum>
  <w:abstractNum w:abstractNumId="18">
    <w:nsid w:val="189A769B"/>
    <w:multiLevelType w:val="hybridMultilevel"/>
    <w:lvl w:ilvl="0">
      <w:lvlJc w:val="left"/>
      <w:lvlText w:val="%1"/>
      <w:numFmt w:val="lowerRoman"/>
      <w:start w:val="1"/>
    </w:lvl>
    <w:lvl w:ilvl="1">
      <w:lvlJc w:val="left"/>
      <w:lvlText w:val="(%2)"/>
      <w:numFmt w:val="lowerLetter"/>
      <w:start w:val="14"/>
    </w:lvl>
  </w:abstractNum>
  <w:abstractNum w:abstractNumId="19">
    <w:nsid w:val="54E49EB4"/>
    <w:multiLevelType w:val="hybridMultilevel"/>
    <w:lvl w:ilvl="0">
      <w:lvlJc w:val="left"/>
      <w:lvlText w:val="(%1)"/>
      <w:numFmt w:val="lowerRoman"/>
      <w:start w:val="7"/>
    </w:lvl>
    <w:lvl w:ilvl="1">
      <w:lvlJc w:val="left"/>
      <w:lvlText w:val="%2"/>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2"/>
    </w:lvl>
  </w:abstractNum>
  <w:abstractNum w:abstractNumId="22">
    <w:nsid w:val="836C40E"/>
    <w:multiLevelType w:val="hybridMultilevel"/>
    <w:lvl w:ilvl="0">
      <w:lvlJc w:val="left"/>
      <w:lvlText w:val="(%1)"/>
      <w:numFmt w:val="lowerLetter"/>
      <w:start w:val="4"/>
    </w:lvl>
  </w:abstractNum>
  <w:abstractNum w:abstractNumId="23">
    <w:nsid w:val="2901D82"/>
    <w:multiLevelType w:val="hybridMultilevel"/>
    <w:lvl w:ilvl="0">
      <w:lvlJc w:val="left"/>
      <w:lvlText w:val="%1"/>
      <w:numFmt w:val="lowerRoman"/>
      <w:start w:val="1"/>
    </w:lvl>
    <w:lvl w:ilvl="1">
      <w:lvlJc w:val="left"/>
      <w:lvlText w:val="(%2)"/>
      <w:numFmt w:val="lowerLetter"/>
      <w:start w:val="9"/>
    </w:lvl>
  </w:abstractNum>
  <w:abstractNum w:abstractNumId="24">
    <w:nsid w:val="3A95F874"/>
    <w:multiLevelType w:val="hybridMultilevel"/>
    <w:lvl w:ilvl="0">
      <w:lvlJc w:val="left"/>
      <w:lvlText w:val="(%1)"/>
      <w:numFmt w:val="lowerRoman"/>
      <w:start w:val="4"/>
    </w:lvl>
    <w:lvl w:ilvl="1">
      <w:lvlJc w:val="left"/>
      <w:lvlText w:val="(%2)"/>
      <w:numFmt w:val="lowerLetter"/>
      <w:start w:val="12"/>
    </w:lvl>
  </w:abstractNum>
  <w:abstractNum w:abstractNumId="25">
    <w:nsid w:val="8138641"/>
    <w:multiLevelType w:val="hybridMultilevel"/>
    <w:lvl w:ilvl="0">
      <w:lvlJc w:val="left"/>
      <w:lvlText w:val="(%1)"/>
      <w:numFmt w:val="lowerLetter"/>
      <w:start w:val="14"/>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lvl w:ilvl="1">
      <w:lvlJc w:val="left"/>
      <w:lvlText w:val="(%2)"/>
      <w:numFmt w:val="lowerLetter"/>
      <w:start w:val="2"/>
    </w:lvl>
  </w:abstractNum>
  <w:abstractNum w:abstractNumId="28">
    <w:nsid w:val="737B8DDC"/>
    <w:multiLevelType w:val="hybridMultilevel"/>
    <w:lvl w:ilvl="0">
      <w:lvlJc w:val="left"/>
      <w:lvlText w:val="(%1)"/>
      <w:numFmt w:val="lowerLetter"/>
      <w:start w:val="35"/>
    </w:lvl>
    <w:lvl w:ilvl="1">
      <w:lvlJc w:val="left"/>
      <w:lvlText w:val="%2"/>
      <w:numFmt w:val="lowerLetter"/>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Roman"/>
      <w:start w:val="1"/>
    </w:lvl>
  </w:abstractNum>
  <w:abstractNum w:abstractNumId="31">
    <w:nsid w:val="4516DDE9"/>
    <w:multiLevelType w:val="hybridMultilevel"/>
    <w:lvl w:ilvl="0">
      <w:lvlJc w:val="left"/>
      <w:lvlText w:val="(%1)"/>
      <w:numFmt w:val="lowerLetter"/>
      <w:start w:val="2"/>
    </w:lvl>
  </w:abstractNum>
  <w:abstractNum w:abstractNumId="32">
    <w:nsid w:val="3006C83E"/>
    <w:multiLevelType w:val="hybridMultilevel"/>
    <w:lvl w:ilvl="0">
      <w:lvlJc w:val="left"/>
      <w:lvlText w:val="(%1)"/>
      <w:numFmt w:val="lowerRoman"/>
      <w:start w:val="5"/>
    </w:lvl>
  </w:abstractNum>
  <w:abstractNum w:abstractNumId="33">
    <w:nsid w:val="614FD4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2019-12-29T03:58:58Z</dcterms:created>
  <dcterms:modified xsi:type="dcterms:W3CDTF">2019-12-29T03:58:58Z</dcterms:modified>
</cp:coreProperties>
</file>