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333-229797</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3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r>
      <w:tr>
        <w:trPr>
          <w:trHeight w:val="158"/>
        </w:trPr>
        <w:tc>
          <w:tcPr>
            <w:tcW w:w="4880" w:type="dxa"/>
            <w:vAlign w:val="bottom"/>
            <w:tcBorders>
              <w:right w:val="single" w:sz="8" w:color="auto"/>
            </w:tcBorders>
          </w:tcPr>
          <w:p>
            <w:pPr>
              <w:ind w:left="1780"/>
              <w:spacing w:after="0" w:line="158" w:lineRule="exact"/>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4880" w:type="dxa"/>
            <w:vAlign w:val="bottom"/>
            <w:tcBorders>
              <w:bottom w:val="single" w:sz="8" w:color="auto"/>
              <w:right w:val="single" w:sz="8" w:color="auto"/>
            </w:tcBorders>
          </w:tcPr>
          <w:p>
            <w:pPr>
              <w:ind w:left="1620"/>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1.125% Notes due 2026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$54,550.00</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1.900% Notes due 2031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99.755%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$498,775,000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$54,416.36</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2.700% Notes due 2051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99.307%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$496,535,000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$54,171.97</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$1,495,310,000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$163,138.33</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97790</wp:posOffset>
            </wp:positionV>
            <wp:extent cx="2871470"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$500,000,000 1.125% Notes due 2026</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$500,000,000 1.900% Notes due 2031</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$500,000,000 2.700%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Texas Instruments Incorporated is offering $500,000,000 aggregate principal amount of its 1.125% Notes due 2026 (the “2026 Notes”),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$500,000,000 aggregate principal amount of its 1.900% Notes due 2031 (the “2031 Notes”) and $500,000,000 aggregate principal amount of its 2.700%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due 2051 (the “2051 Notes” and, together with the 2026 Notes and the 2031 Notes, the “Notes”), which will bear interest at the applicable rate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 for each series as set forth above. Interest on the Notes will be payable semi-annually in arrears on March 15 and September 15 of each year,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beginning on March 15, 2022.</w:t>
      </w:r>
    </w:p>
    <w:p>
      <w:pPr>
        <w:spacing w:after="0" w:line="103"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2026 Notes will mature on September 15, 2026, the 2031 Notes will mature on September 15, 2031 and the 2051 Notes will mature on September 15, 2051.</w:t>
      </w:r>
    </w:p>
    <w:p>
      <w:pPr>
        <w:spacing w:after="0" w:line="6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0"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 2026</w:t>
            </w: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2026 Notes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Per 2031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2031 Notes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 2051</w:t>
            </w:r>
          </w:p>
        </w:tc>
        <w:tc>
          <w:tcPr>
            <w:tcW w:w="16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2051 Notes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Notes 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Note</w:t>
            </w: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Note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500,000,000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99.755%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498,775,000</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99.307%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496,535,000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1,495,310,000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Arial" w:cs="Arial" w:eastAsia="Arial" w:hAnsi="Arial"/>
                <w:sz w:val="17"/>
                <w:szCs w:val="17"/>
                <w:color w:val="auto"/>
              </w:rPr>
              <w:t>Underwriting discounts</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0.350%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1,750,000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0.450%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2,250,000</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0.750%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3,750,000</w:t>
            </w:r>
          </w:p>
        </w:tc>
        <w:tc>
          <w:tcPr>
            <w:tcW w:w="26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7,750,000</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498,250,000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99.305%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496,525,000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98.557%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492,785,000</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1,487,560,000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on the Notes will accrue from September 15, 2021 to the date of delivery.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September 15, 2021, which is the sixth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98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MUFG</w:t>
      </w:r>
    </w:p>
    <w:p>
      <w:pPr>
        <w:spacing w:after="0" w:line="121" w:lineRule="exact"/>
        <w:rPr>
          <w:sz w:val="20"/>
          <w:szCs w:val="20"/>
          <w:color w:val="auto"/>
        </w:rPr>
      </w:pPr>
    </w:p>
    <w:p>
      <w:pPr>
        <w:sectPr>
          <w:pgSz w:w="11900" w:h="16838" w:orient="portrait"/>
          <w:cols w:equalWidth="0" w:num="3">
            <w:col w:w="4340" w:space="720"/>
            <w:col w:w="4480" w:space="720"/>
            <w:col w:w="8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Mizuho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Morgan Stanley</w:t>
      </w:r>
    </w:p>
    <w:p>
      <w:pPr>
        <w:spacing w:after="0" w:line="142" w:lineRule="exact"/>
        <w:rPr>
          <w:sz w:val="20"/>
          <w:szCs w:val="20"/>
          <w:color w:val="auto"/>
        </w:rPr>
      </w:pPr>
    </w:p>
    <w:p>
      <w:pPr>
        <w:sectPr>
          <w:pgSz w:w="11900" w:h="16838" w:orient="portrait"/>
          <w:cols w:equalWidth="0" w:num="4">
            <w:col w:w="2780" w:space="720"/>
            <w:col w:w="1700" w:space="720"/>
            <w:col w:w="2760" w:space="720"/>
            <w:col w:w="174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9"/>
          <w:szCs w:val="19"/>
          <w:i w:val="1"/>
          <w:iCs w:val="1"/>
          <w:color w:val="auto"/>
        </w:rPr>
        <w:t>Co-Managers</w:t>
      </w:r>
    </w:p>
    <w:p>
      <w:pPr>
        <w:sectPr>
          <w:pgSz w:w="11900" w:h="16838" w:orient="portrait"/>
          <w:cols w:equalWidth="0" w:num="1">
            <w:col w:w="11140"/>
          </w:cols>
          <w:pgMar w:left="320" w:top="459" w:right="439" w:bottom="1440" w:gutter="0" w:footer="0" w:header="0"/>
          <w:type w:val="continuous"/>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Siebert Williams Shank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Bancorp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BNP PARIBAS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HSBC</w:t>
      </w:r>
    </w:p>
    <w:p>
      <w:pPr>
        <w:spacing w:after="0" w:line="136" w:lineRule="exact"/>
        <w:rPr>
          <w:sz w:val="20"/>
          <w:szCs w:val="20"/>
          <w:color w:val="auto"/>
        </w:rPr>
      </w:pPr>
    </w:p>
    <w:p>
      <w:pPr>
        <w:sectPr>
          <w:pgSz w:w="11900" w:h="16838" w:orient="portrait"/>
          <w:cols w:equalWidth="0" w:num="4">
            <w:col w:w="3580" w:space="720"/>
            <w:col w:w="1720" w:space="720"/>
            <w:col w:w="3080" w:space="720"/>
            <w:col w:w="6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September 7,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20" w:type="dxa"/>
            <w:vAlign w:val="bottom"/>
            <w:gridSpan w:val="3"/>
          </w:tcPr>
          <w:p>
            <w:pPr>
              <w:jc w:val="right"/>
              <w:ind w:right="4411"/>
              <w:spacing w:after="0"/>
              <w:rPr>
                <w:sz w:val="20"/>
                <w:szCs w:val="20"/>
                <w:color w:val="auto"/>
              </w:rPr>
            </w:pPr>
            <w:r>
              <w:rPr>
                <w:rFonts w:ascii="Arial" w:cs="Arial" w:eastAsia="Arial" w:hAnsi="Arial"/>
                <w:sz w:val="18"/>
                <w:szCs w:val="18"/>
                <w:b w:val="1"/>
                <w:bCs w:val="1"/>
                <w:color w:val="auto"/>
                <w:w w:val="97"/>
              </w:rPr>
              <w:t>TABLE OF CONTENTS</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c>
          <w:tcPr>
            <w:tcW w:w="0" w:type="dxa"/>
            <w:vAlign w:val="bottom"/>
          </w:tcPr>
          <w:p>
            <w:pPr>
              <w:spacing w:after="0" w:line="20" w:lineRule="exact"/>
              <w:rPr>
                <w:sz w:val="1"/>
                <w:szCs w:val="1"/>
                <w:color w:val="auto"/>
              </w:rPr>
            </w:pPr>
          </w:p>
        </w:tc>
      </w:tr>
      <w:tr>
        <w:trPr>
          <w:trHeight w:val="41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3"/>
            <w:vMerge w:val="restart"/>
          </w:tcPr>
          <w:p>
            <w:pPr>
              <w:jc w:val="right"/>
              <w:ind w:right="444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20" w:type="dxa"/>
            <w:vAlign w:val="bottom"/>
            <w:gridSpan w:val="19"/>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Notice Regarding Forward-Looking Statements</w:t>
              </w:r>
            </w:hyperlink>
          </w:p>
        </w:tc>
        <w:tc>
          <w:tcPr>
            <w:tcW w:w="7040" w:type="dxa"/>
            <w:vAlign w:val="bottom"/>
            <w:gridSpan w:val="3"/>
            <w:vMerge w:val="continue"/>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75"/>
        </w:trPr>
        <w:tc>
          <w:tcPr>
            <w:tcW w:w="352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28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Capitalization</w:t>
              </w:r>
            </w:hyperlink>
          </w:p>
        </w:tc>
        <w:tc>
          <w:tcPr>
            <w:tcW w:w="2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the Notes</w:t>
              </w:r>
            </w:hyperlink>
          </w:p>
        </w:tc>
        <w:tc>
          <w:tcPr>
            <w:tcW w:w="17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Material U.S. Federal Income Tax Consequences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Underwriting</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Validity of Securities</w:t>
              </w:r>
            </w:hyperlink>
          </w:p>
        </w:tc>
        <w:tc>
          <w:tcPr>
            <w:tcW w:w="20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465"/>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20" w:type="dxa"/>
            <w:vAlign w:val="bottom"/>
            <w:gridSpan w:val="3"/>
          </w:tcPr>
          <w:p>
            <w:pPr>
              <w:jc w:val="right"/>
              <w:ind w:right="5151"/>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90"/>
        </w:trPr>
        <w:tc>
          <w:tcPr>
            <w:tcW w:w="3520" w:type="dxa"/>
            <w:vAlign w:val="bottom"/>
            <w:gridSpan w:val="19"/>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7440" w:type="dxa"/>
            <w:vAlign w:val="bottom"/>
            <w:gridSpan w:val="4"/>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About this Prospectus</w:t>
              </w:r>
            </w:hyperlink>
          </w:p>
        </w:tc>
        <w:tc>
          <w:tcPr>
            <w:tcW w:w="1940" w:type="dxa"/>
            <w:vAlign w:val="bottom"/>
            <w:gridSpan w:val="8"/>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Notice Regarding Forward-Looking Statements</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100" w:type="dxa"/>
            <w:vAlign w:val="bottom"/>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Description of Debt Securities</w:t>
              </w:r>
            </w:hyperlink>
          </w:p>
        </w:tc>
        <w:tc>
          <w:tcPr>
            <w:tcW w:w="1340" w:type="dxa"/>
            <w:vAlign w:val="bottom"/>
            <w:gridSpan w:val="4"/>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1800" w:type="dxa"/>
            <w:vAlign w:val="bottom"/>
            <w:gridSpan w:val="7"/>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Forms of Securities</w:t>
              </w:r>
            </w:hyperlink>
          </w:p>
        </w:tc>
        <w:tc>
          <w:tcPr>
            <w:tcW w:w="2060" w:type="dxa"/>
            <w:vAlign w:val="bottom"/>
            <w:gridSpan w:val="10"/>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Validity of Securities</w:t>
              </w:r>
            </w:hyperlink>
          </w:p>
        </w:tc>
        <w:tc>
          <w:tcPr>
            <w:tcW w:w="2000" w:type="dxa"/>
            <w:vAlign w:val="bottom"/>
            <w:gridSpan w:val="9"/>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right="1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Evolving cybersecurity and other threats relating to our information technology systems or those of our customers or suppliers;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5500" w:hanging="4844"/>
        <w:spacing w:after="0" w:line="449" w:lineRule="auto"/>
        <w:tabs>
          <w:tab w:leader="none" w:pos="1094"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distributor and other customer inventory adjustments; 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36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1140"/>
              <w:spacing w:after="0"/>
              <w:rPr>
                <w:sz w:val="20"/>
                <w:szCs w:val="20"/>
                <w:color w:val="auto"/>
              </w:rPr>
            </w:pPr>
            <w:r>
              <w:rPr>
                <w:rFonts w:ascii="Arial" w:cs="Arial" w:eastAsia="Arial" w:hAnsi="Arial"/>
                <w:sz w:val="18"/>
                <w:szCs w:val="18"/>
                <w:color w:val="auto"/>
              </w:rPr>
              <w:t>$500,000,000 aggregate principal amount of 1.125% Notes due 2026.</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$500,000,000 aggregate principal amount of 1.900% Notes due 2031.</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$500,000,000 aggregate principal amount of 2.700% Notes due 2051.</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September 15, 2026 for the 2026 Notes.</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September 15, 2031 for the 2031 Notes.</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September 15, 2051 for the 2051 Notes.</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September 15, 2021.</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40" w:type="dxa"/>
            <w:vAlign w:val="bottom"/>
          </w:tcPr>
          <w:p>
            <w:pPr>
              <w:ind w:left="1140"/>
              <w:spacing w:after="0"/>
              <w:rPr>
                <w:sz w:val="20"/>
                <w:szCs w:val="20"/>
                <w:color w:val="auto"/>
              </w:rPr>
            </w:pPr>
            <w:r>
              <w:rPr>
                <w:rFonts w:ascii="Arial" w:cs="Arial" w:eastAsia="Arial" w:hAnsi="Arial"/>
                <w:sz w:val="18"/>
                <w:szCs w:val="18"/>
                <w:color w:val="auto"/>
              </w:rPr>
              <w:t>Fixed rate of 1.125% for the 2026 Notes.</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Fixed rate of 1.900% for the 2031 Notes.</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Fixed rate of 2.700% for the 2051 Notes.</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40"/>
              <w:spacing w:after="0"/>
              <w:rPr>
                <w:sz w:val="20"/>
                <w:szCs w:val="20"/>
                <w:color w:val="auto"/>
              </w:rPr>
            </w:pPr>
            <w:r>
              <w:rPr>
                <w:rFonts w:ascii="Arial" w:cs="Arial" w:eastAsia="Arial" w:hAnsi="Arial"/>
                <w:sz w:val="18"/>
                <w:szCs w:val="18"/>
                <w:color w:val="auto"/>
                <w:w w:val="93"/>
              </w:rPr>
              <w:t>Each March 15 and September 15, beginning on March 15, 2022, and on the maturity date.</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8"/>
              </w:rPr>
              <w:t>As of June 30, 2021, Texas Instruments Incorporated had approximately $6.3 billion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8"/>
              </w:rPr>
              <w:t>outstanding indebtedness. As of June 30, 2021, Texas Instruments had approximately</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8"/>
              </w:rPr>
              <w:t>$9.5 billion of total liabilities on a consolidated basis. Of the $9.5 billion of consolidated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total liabilities, approximately $1.0 billion of liabilities (including trade payables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3"/>
              </w:rPr>
              <w:t>excluding intercompany debt) were held by subsidiaries of Texas Instruments Incorporated</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to which the Notes will be effectively subordinated.</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for,</w:t>
            </w:r>
          </w:p>
        </w:tc>
      </w:tr>
      <w:tr>
        <w:trPr>
          <w:trHeight w:val="240"/>
        </w:trPr>
        <w:tc>
          <w:tcPr>
            <w:tcW w:w="3080" w:type="dxa"/>
            <w:vAlign w:val="bottom"/>
            <w:tcBorders>
              <w:bottom w:val="single" w:sz="8" w:color="auto"/>
            </w:tcBorders>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9"/>
              </w:rPr>
              <w:t>and registered in the name of, a nominee of The Depository Trust Company, or DTC.</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Except in the limited circumstances described under “Description of the Notes—Book-</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exchanged for interests in global securities.</w:t>
            </w:r>
          </w:p>
        </w:tc>
      </w:tr>
      <w:tr>
        <w:trPr>
          <w:trHeight w:val="473"/>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 or their affiliates.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all respects, so that such further notes will be consolidated and form a single series with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time at the redemption prices indicated under the heading “Description of the Notes—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Optional 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have advised us that they intend to make a market in the Notes, but they are not obligated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to do so and may discontinue market-making at any time without notice.</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See “Underwriting” in this prospectus supplement for more information about possible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2020.</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trading markets for each series of Notes may not develop.</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 are currently no public markets for any series of Notes, and we do not currently plan to list any series of Notes on any national securities exchange. In addition, the liquidity of any trading markets in each series of Notes, and the market prices quoted for each series of Notes, may be adversely affected by changes in the overall markets for such series of Notes, prevailing interest rates, ratings assigned to such series of Notes, time remaining to the maturity of such series of Notes, outstanding amounts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72" w:lineRule="exact"/>
        <w:rPr>
          <w:sz w:val="20"/>
          <w:szCs w:val="20"/>
          <w:color w:val="auto"/>
        </w:rPr>
      </w:pPr>
    </w:p>
    <w:p>
      <w:pPr>
        <w:ind w:left="340" w:right="14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2021, we had approximately $9.5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6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On an as adjusted basis after giving effect to this offering, as of June 30, 2021, Texas Instruments Incorporated would have had approximately $7.2 billion of total long-term indebtedness (including the Notes), all of which would have been unsecured and unsubordinated.</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1080" w:right="5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each series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anticipate that we will receive net proceeds of approximately $1,485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60"/>
          </w:cols>
          <w:pgMar w:left="320" w:top="459"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June 30, 2021.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42"/>
        </w:trPr>
        <w:tc>
          <w:tcPr>
            <w:tcW w:w="8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98"/>
              </w:rPr>
              <w:t>Actual</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2026 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2031 Notes offered hereby</w:t>
            </w:r>
          </w:p>
        </w:tc>
        <w:tc>
          <w:tcPr>
            <w:tcW w:w="10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2051 Notes offered hereby</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43,846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43,846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(817,729,258 shares)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9"/>
              </w:rPr>
              <w:t>(36,596)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(36,596)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10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11,153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11,153</w:t>
            </w:r>
          </w:p>
        </w:tc>
        <w:tc>
          <w:tcPr>
            <w:tcW w:w="0" w:type="dxa"/>
            <w:vAlign w:val="bottom"/>
          </w:tcPr>
          <w:p>
            <w:pPr>
              <w:spacing w:after="0"/>
              <w:rPr>
                <w:sz w:val="1"/>
                <w:szCs w:val="1"/>
                <w:color w:val="auto"/>
              </w:rPr>
            </w:pPr>
          </w:p>
        </w:tc>
      </w:tr>
      <w:tr>
        <w:trPr>
          <w:trHeight w:val="223"/>
        </w:trPr>
        <w:tc>
          <w:tcPr>
            <w:tcW w:w="882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16,905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540" w:right="260" w:hanging="424"/>
        <w:spacing w:after="0" w:line="26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$6.3 billion principal amount of our existing outstanding notes less net unamortized discounts, premiums and debt issuance costs of $49 million, less $499 million representing the current portion of long-term debt.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2026 Notes will mature on September 15, 2026, the 2031 Notes will mature on September 15, 2031 and the 2051 Notes will mature on September 15, 2051. The Notes will be issued in book-entry form only, in denominations of $2,000 and multiples of $1,000 in excess thereof. Interest on the Notes will accrue from September 15, 2021 at the rate per annum shown on the cover of this prospectus supplement. Interest on each series of the Notes will be payable semi-annually on March 15 and September 15, commencing on March 15, 2022 to the persons in whose names the Notes are registered at the close of business on the preceding March 1 or September 1, as the case may be. Interest on the Notes will be paid to but excluding the relevant interest payment date. Interest on the Notes will be calculated on the basis of a 360-day year comprised of twelve 30-day months.</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2021, Texas Instruments Incorporated had approximately $6.3 billion principal amount of outstanding indebtedness. As of June 30, 2021, Texas Instruments had approximately $9.5 billion of total liabilities on a consolidated basis. Of the $9.5 billion of consolidated total liabilities, approximately $1.0 billion of liabilities (including trade payables and excluding intercompany debt) were held by subsidiaries of Texas Instruments Incorporated to which the Notes will be effectively subordinated.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an as adjusted basis after giving effect to this offering, as of June 30, 2021:</w:t>
      </w:r>
    </w:p>
    <w:p>
      <w:pPr>
        <w:spacing w:after="0" w:line="131" w:lineRule="exact"/>
        <w:rPr>
          <w:sz w:val="20"/>
          <w:szCs w:val="20"/>
          <w:color w:val="auto"/>
        </w:rPr>
      </w:pPr>
    </w:p>
    <w:p>
      <w:pPr>
        <w:ind w:left="760" w:right="120" w:hanging="212"/>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$7.2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have had approximately $11.0 billion of total liabilities on a consolidated basis;</w:t>
      </w:r>
    </w:p>
    <w:p>
      <w:pPr>
        <w:spacing w:after="0" w:line="130" w:lineRule="exact"/>
        <w:rPr>
          <w:rFonts w:ascii="Arial" w:cs="Arial" w:eastAsia="Arial" w:hAnsi="Arial"/>
          <w:sz w:val="18"/>
          <w:szCs w:val="18"/>
          <w:color w:val="auto"/>
        </w:rPr>
      </w:pPr>
    </w:p>
    <w:p>
      <w:pPr>
        <w:ind w:left="760" w:right="240" w:hanging="212"/>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760" w:right="120" w:hanging="212"/>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$1.0 billion of liabilities (including trade payables but excluding intercompany debt) to which the Notes would have been structurally subordinated.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of either series by issuing additional Notes of such series in the future on the same terms and conditions,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except for any differences in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two series of Notes offered hereby.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Prior to August 15, 2026 (the date that is one month prior to the maturity date of the 2026 Notes), in the case of the 2026 Notes, prior to June 15, 2031 (the date that is three months prior to the maturity date of the 2031 Notes), in the case of the 2031 Notes, and prior to March 15, 2051 (the date that is six months prior to the maturity date of the 2051 Notes), in the case of the 2051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80" w:lineRule="exact"/>
        <w:rPr>
          <w:sz w:val="20"/>
          <w:szCs w:val="20"/>
          <w:color w:val="auto"/>
        </w:rPr>
      </w:pPr>
    </w:p>
    <w:p>
      <w:pPr>
        <w:ind w:left="1320" w:hanging="341"/>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560" w:right="100" w:firstLine="419"/>
        <w:spacing w:after="0" w:line="291" w:lineRule="auto"/>
        <w:tabs>
          <w:tab w:leader="none" w:pos="138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 portion of such payments of interest accrued as of the date of redemption), from the date of redemption to August 15, 2026 (the date that is one month prior to the maturity date of the 2026 Notes), in the case of the 2026 Notes, from the date of redemption to June 15, 2031 (the date that is three months prior to the maturity date of the 2031 Notes), in the case of the 2031 Notes and from the date of redemption to March 15, 2051 (the date that is six months prior to the maturity date of the 2051 Notes), in the case of the 2051 Notes, in each case discounted to the date of redemption on a semi-annual basis (assuming a 360-day year consisting of twelve 30-day months) at the Treasury Rate (as defined below), plus 5 basis points with respect to the 2026 Notes, 10 basis points with respect to the 2031 Notes and 12.5 basis points with respect to the 2051 Notes;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At any time on or after August 15, 2026 (the date that is one month prior to the maturity date of the 2026 Notes), in the case of the 2026 Notes, at any time on or after June 15, 2031 (the date that is three months prior to the maturity date of the 2031 Notes), in the case of the 2031 Notes, and at any time on or after March 15, 2051 (the date that is six months prior to the maturity date of the 2051 Notes), in the case of the 2051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“Quotation Agent” means the Reference Treasury Dealer appointed by Texas Instruments Incorporated. “Reference Treasury Dealer” means</w:t>
      </w:r>
    </w:p>
    <w:p>
      <w:pPr>
        <w:spacing w:after="0" w:line="46" w:lineRule="exact"/>
        <w:rPr>
          <w:sz w:val="20"/>
          <w:szCs w:val="20"/>
          <w:color w:val="auto"/>
        </w:rPr>
      </w:pPr>
    </w:p>
    <w:p>
      <w:pPr>
        <w:ind w:left="120" w:right="100" w:hanging="4"/>
        <w:spacing w:after="0" w:line="273"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Barclays Capital Inc., J.P. Morgan Securities LLC (or their respective affiliates that are Primary Treasury Dealers) and a Primary Treasury Dealer selected by MUFG Securities Americas Inc.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to each holder of the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Unless Texas Instruments Incorporated defaults in payment of the redemption price, on and after the redemption date, interest will cease to accrue on the Notes or portions thereof called for redemption. If less than all of the Notes of a series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 series of Notes is defined under the indenture as being:</w:t>
      </w:r>
    </w:p>
    <w:p>
      <w:pPr>
        <w:spacing w:after="0" w:line="131" w:lineRule="exact"/>
        <w:rPr>
          <w:sz w:val="20"/>
          <w:szCs w:val="20"/>
          <w:color w:val="auto"/>
        </w:rPr>
      </w:pPr>
    </w:p>
    <w:p>
      <w:pPr>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such series of Notes when due and payable, if that default continues for a period of 30 days;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00" w:hanging="439"/>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0"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2"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maintain ordinary banking relationships with the trustee and its affiliates and in the future may enter into additional such relationships. An affiliate of the trustee is a lender under our credit facility, and an affiliate of the trustee is an underwriter of this offering.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760" w:right="440" w:hanging="212"/>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our stock entitled to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Barclays Capital Inc., J.P. Morgan Securities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14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of 2026</w:t>
            </w:r>
          </w:p>
        </w:tc>
        <w:tc>
          <w:tcPr>
            <w:tcW w:w="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Amount of 2031</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Amount of 2051</w:t>
            </w:r>
          </w:p>
        </w:tc>
        <w:tc>
          <w:tcPr>
            <w:tcW w:w="0" w:type="dxa"/>
            <w:vAlign w:val="bottom"/>
          </w:tcPr>
          <w:p>
            <w:pPr>
              <w:spacing w:after="0"/>
              <w:rPr>
                <w:sz w:val="1"/>
                <w:szCs w:val="1"/>
                <w:color w:val="auto"/>
              </w:rPr>
            </w:pPr>
          </w:p>
        </w:tc>
      </w:tr>
      <w:tr>
        <w:trPr>
          <w:trHeight w:val="171"/>
        </w:trPr>
        <w:tc>
          <w:tcPr>
            <w:tcW w:w="6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Notes</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9"/>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95,000,000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95,000,000</w:t>
            </w: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95,000,000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95,000,000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95,000,000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95,000,000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BofA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35,000,000</w:t>
            </w: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35,000,000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35,000,000</w:t>
            </w: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35,000,000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12,500,000</w:t>
            </w: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500,000,000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0.200% per 2026 Note, 0.300% per 2031 Note and 0.450% per 2051 Note. Any such securities dealers may resell any Notes purchased from the underwriters to certain other brokers or dealers at a discount from the initial public offering price not to exceed 0.150% per 2026 Note, 0.150% per 2031 Note and 0.300% per 2051 Note. If all the Notes are not sold at the initial offering price, the underwriters may change the offering price and the other selling terms.</w:t>
      </w:r>
    </w:p>
    <w:p>
      <w:pPr>
        <w:spacing w:after="0" w:line="19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 by Texas</w:t>
            </w:r>
          </w:p>
        </w:tc>
      </w:tr>
      <w:tr>
        <w:trPr>
          <w:trHeight w:val="149"/>
        </w:trPr>
        <w:tc>
          <w:tcPr>
            <w:tcW w:w="99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Instruments</w:t>
            </w:r>
          </w:p>
        </w:tc>
      </w:tr>
      <w:tr>
        <w:trPr>
          <w:trHeight w:val="171"/>
        </w:trPr>
        <w:tc>
          <w:tcPr>
            <w:tcW w:w="99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220" w:type="dxa"/>
            <w:vAlign w:val="bottom"/>
            <w:tcBorders>
              <w:bottom w:val="single" w:sz="8" w:color="CCEEFF"/>
            </w:tcBorders>
          </w:tcPr>
          <w:p>
            <w:pPr>
              <w:spacing w:after="0"/>
              <w:rPr>
                <w:sz w:val="14"/>
                <w:szCs w:val="14"/>
                <w:color w:val="auto"/>
              </w:rPr>
            </w:pP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Per 2026 Note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0.350%</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Per 2031 Note</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0.450%</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Per 2051 Note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0.750%</w:t>
            </w:r>
          </w:p>
        </w:tc>
      </w:tr>
      <w:tr>
        <w:trPr>
          <w:trHeight w:val="432"/>
        </w:trPr>
        <w:tc>
          <w:tcPr>
            <w:tcW w:w="9960" w:type="dxa"/>
            <w:vAlign w:val="bottom"/>
          </w:tcPr>
          <w:p>
            <w:pPr>
              <w:ind w:left="440"/>
              <w:spacing w:after="0"/>
              <w:rPr>
                <w:sz w:val="20"/>
                <w:szCs w:val="20"/>
                <w:color w:val="auto"/>
              </w:rPr>
            </w:pPr>
            <w:r>
              <w:rPr>
                <w:rFonts w:ascii="Arial" w:cs="Arial" w:eastAsia="Arial" w:hAnsi="Arial"/>
                <w:sz w:val="18"/>
                <w:szCs w:val="18"/>
                <w:color w:val="auto"/>
                <w:w w:val="99"/>
              </w:rPr>
              <w:t>We estimate that our total expenses for this offering will be approximately $10.0 million, including underwriting discounts.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9960" w:type="dxa"/>
            <w:vAlign w:val="bottom"/>
          </w:tcPr>
          <w:p>
            <w:pPr>
              <w:ind w:left="440"/>
              <w:spacing w:after="0"/>
              <w:rPr>
                <w:sz w:val="20"/>
                <w:szCs w:val="20"/>
                <w:color w:val="auto"/>
              </w:rPr>
            </w:pPr>
            <w:r>
              <w:rPr>
                <w:rFonts w:ascii="Arial" w:cs="Arial" w:eastAsia="Arial" w:hAnsi="Arial"/>
                <w:sz w:val="18"/>
                <w:szCs w:val="18"/>
                <w:color w:val="auto"/>
              </w:rPr>
              <w:t>In connection with the offering, the underwriters may purchase and sell the Notes in the open market.</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9960" w:type="dxa"/>
            <w:vAlign w:val="bottom"/>
          </w:tcPr>
          <w:p>
            <w:pPr>
              <w:ind w:left="440"/>
              <w:spacing w:after="0"/>
              <w:rPr>
                <w:sz w:val="20"/>
                <w:szCs w:val="20"/>
                <w:color w:val="auto"/>
              </w:rPr>
            </w:pPr>
            <w:r>
              <w:rPr>
                <w:rFonts w:ascii="Arial" w:cs="Arial" w:eastAsia="Arial" w:hAnsi="Arial"/>
                <w:sz w:val="18"/>
                <w:szCs w:val="18"/>
                <w:color w:val="auto"/>
                <w:w w:val="94"/>
              </w:rPr>
              <w:t>Purchases and sales in the open market may include short sales, purchases to cover short positions and stabilizing purchases.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5"/>
        </w:trPr>
        <w:tc>
          <w:tcPr>
            <w:tcW w:w="9960" w:type="dxa"/>
            <w:vAlign w:val="bottom"/>
          </w:tcPr>
          <w:p>
            <w:pPr>
              <w:ind w:left="5340"/>
              <w:spacing w:after="0"/>
              <w:rPr>
                <w:sz w:val="20"/>
                <w:szCs w:val="20"/>
                <w:color w:val="auto"/>
              </w:rPr>
            </w:pPr>
            <w:r>
              <w:rPr>
                <w:rFonts w:ascii="Arial" w:cs="Arial" w:eastAsia="Arial" w:hAnsi="Arial"/>
                <w:sz w:val="18"/>
                <w:szCs w:val="18"/>
                <w:color w:val="auto"/>
              </w:rPr>
              <w:t>S-21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In addition, an affiliate of one of the underwriters is the trustee for the Notes and our other debt securities outstanding under the indenture.</w:t>
      </w:r>
    </w:p>
    <w:p>
      <w:pPr>
        <w:spacing w:after="0" w:line="17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w:t>
      </w:r>
    </w:p>
    <w:p>
      <w:pPr>
        <w:spacing w:after="0" w:line="1" w:lineRule="exact"/>
        <w:rPr>
          <w:sz w:val="20"/>
          <w:szCs w:val="20"/>
          <w:color w:val="auto"/>
        </w:rPr>
      </w:pPr>
    </w:p>
    <w:p>
      <w:pPr>
        <w:ind w:left="120" w:right="200" w:hanging="4"/>
        <w:spacing w:after="0" w:line="273" w:lineRule="auto"/>
        <w:tabs>
          <w:tab w:leader="none" w:pos="4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9" w:lineRule="exact"/>
        <w:rPr>
          <w:sz w:val="20"/>
          <w:szCs w:val="20"/>
          <w:color w:val="auto"/>
        </w:rPr>
      </w:pPr>
    </w:p>
    <w:p>
      <w:pPr>
        <w:ind w:left="1080" w:hanging="424"/>
        <w:spacing w:after="0" w:line="275"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that is a Plan must also determine, and will be deemed to have represented by its purchase and holding of a Note, that such purchase and holding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2020, and the effectiveness of our internal control over financial reporting as of December 31, 2020,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2020 are incorporated by reference in reliance on Ernst &amp; Young LLP’s reports, given on their authority as experts in accounting and auditing.</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4" w:lineRule="exact"/>
        <w:rPr>
          <w:sz w:val="20"/>
          <w:szCs w:val="20"/>
          <w:color w:val="auto"/>
        </w:rPr>
      </w:pPr>
    </w:p>
    <w:p>
      <w:pPr>
        <w:ind w:left="120" w:firstLine="4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8">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2020, filed on February 5, 2021, the sections of our Definitive Proxy Statement on </w:t>
      </w:r>
      <w:hyperlink r:id="rId49">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2021 annual meeting of stockholders, filed on March 9, 2021 that are incorporated by reference in our Annual Report on Form 10-K for the year ended December 31, 2020, our Quarterly Reports on Form 10-Q for the quarters ended </w:t>
      </w:r>
      <w:hyperlink r:id="rId50">
        <w:r>
          <w:rPr>
            <w:rFonts w:ascii="Arial" w:cs="Arial" w:eastAsia="Arial" w:hAnsi="Arial"/>
            <w:sz w:val="16"/>
            <w:szCs w:val="16"/>
            <w:u w:val="single" w:color="auto"/>
            <w:color w:val="0000EE"/>
          </w:rPr>
          <w:t>March 31,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1">
        <w:r>
          <w:rPr>
            <w:rFonts w:ascii="Arial" w:cs="Arial" w:eastAsia="Arial" w:hAnsi="Arial"/>
            <w:sz w:val="16"/>
            <w:szCs w:val="16"/>
            <w:u w:val="single" w:color="auto"/>
            <w:color w:val="0000EE"/>
          </w:rPr>
          <w:t>June 30, 2021</w:t>
        </w:r>
      </w:hyperlink>
      <w:r>
        <w:rPr>
          <w:rFonts w:ascii="Arial" w:cs="Arial" w:eastAsia="Arial" w:hAnsi="Arial"/>
          <w:sz w:val="16"/>
          <w:szCs w:val="16"/>
          <w:color w:val="auto"/>
        </w:rPr>
        <w:t xml:space="preserve">, filed on April 28, 2021 and July 22, 2021, respectively, our Current Reports on Form 8-K filed on </w:t>
      </w:r>
      <w:hyperlink r:id="rId52">
        <w:r>
          <w:rPr>
            <w:rFonts w:ascii="Arial" w:cs="Arial" w:eastAsia="Arial" w:hAnsi="Arial"/>
            <w:sz w:val="16"/>
            <w:szCs w:val="16"/>
            <w:u w:val="single" w:color="auto"/>
            <w:color w:val="0000EE"/>
          </w:rPr>
          <w:t>April 28, 2021</w:t>
        </w:r>
      </w:hyperlink>
      <w:r>
        <w:rPr>
          <w:rFonts w:ascii="Arial" w:cs="Arial" w:eastAsia="Arial" w:hAnsi="Arial"/>
          <w:sz w:val="16"/>
          <w:szCs w:val="16"/>
          <w:color w:val="auto"/>
        </w:rPr>
        <w:t xml:space="preserve">, and </w:t>
      </w:r>
      <w:hyperlink r:id="rId53">
        <w:r>
          <w:rPr>
            <w:rFonts w:ascii="Arial" w:cs="Arial" w:eastAsia="Arial" w:hAnsi="Arial"/>
            <w:sz w:val="16"/>
            <w:szCs w:val="16"/>
            <w:u w:val="single" w:color="auto"/>
            <w:color w:val="0000EE"/>
          </w:rPr>
          <w:t>April 28, 2021</w:t>
        </w:r>
      </w:hyperlink>
      <w:r>
        <w:rPr>
          <w:rFonts w:ascii="Arial" w:cs="Arial" w:eastAsia="Arial" w:hAnsi="Arial"/>
          <w:sz w:val="16"/>
          <w:szCs w:val="16"/>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6" w:lineRule="exact"/>
        <w:rPr>
          <w:rFonts w:ascii="Arial" w:cs="Arial" w:eastAsia="Arial" w:hAnsi="Arial"/>
          <w:sz w:val="16"/>
          <w:szCs w:val="16"/>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63215" cy="66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632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120"/>
          </w:cols>
          <w:pgMar w:left="320" w:top="459" w:right="459" w:bottom="1440" w:gutter="0" w:footer="0" w:header="0"/>
        </w:sectPr>
      </w:pP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40"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9"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460" w:hanging="34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Amount payable at maturity</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70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right="2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120"/>
          </w:cols>
          <w:pgMar w:left="320" w:top="459"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0" w:type="dxa"/>
            <w:vAlign w:val="bottom"/>
            <w:gridSpan w:val="3"/>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4"/>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67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5"/>
        </w:trPr>
        <w:tc>
          <w:tcPr>
            <w:tcW w:w="3980" w:type="dxa"/>
            <w:vAlign w:val="bottom"/>
            <w:gridSpan w:val="14"/>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About this Prospectus</w:t>
              </w:r>
            </w:hyperlink>
          </w:p>
        </w:tc>
        <w:tc>
          <w:tcPr>
            <w:tcW w:w="2400" w:type="dxa"/>
            <w:vAlign w:val="bottom"/>
            <w:gridSpan w:val="6"/>
          </w:tcPr>
          <w:p>
            <w:pPr>
              <w:spacing w:after="0"/>
              <w:rPr>
                <w:sz w:val="18"/>
                <w:szCs w:val="18"/>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Notice Regarding Forward-Looking Statements</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560" w:type="dxa"/>
            <w:vAlign w:val="bottom"/>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Description of Debt Securities</w:t>
              </w:r>
            </w:hyperlink>
          </w:p>
        </w:tc>
        <w:tc>
          <w:tcPr>
            <w:tcW w:w="1800" w:type="dxa"/>
            <w:vAlign w:val="bottom"/>
            <w:gridSpan w:val="3"/>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Warrants</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2260" w:type="dxa"/>
            <w:vAlign w:val="bottom"/>
            <w:gridSpan w:val="5"/>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Forms of Securities</w:t>
              </w:r>
            </w:hyperlink>
          </w:p>
        </w:tc>
        <w:tc>
          <w:tcPr>
            <w:tcW w:w="2520" w:type="dxa"/>
            <w:vAlign w:val="bottom"/>
            <w:gridSpan w:val="8"/>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Validity of Securities</w:t>
              </w:r>
            </w:hyperlink>
          </w:p>
        </w:tc>
        <w:tc>
          <w:tcPr>
            <w:tcW w:w="2460" w:type="dxa"/>
            <w:vAlign w:val="bottom"/>
            <w:gridSpan w:val="7"/>
          </w:tcPr>
          <w:p>
            <w:pPr>
              <w:spacing w:after="0"/>
              <w:rPr>
                <w:sz w:val="17"/>
                <w:szCs w:val="17"/>
                <w:color w:val="auto"/>
              </w:rPr>
            </w:pPr>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98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9" w:right="7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4">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5">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9"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080" w:right="180" w:hanging="532"/>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532"/>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right="160" w:hanging="532"/>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532"/>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740" w:hanging="439"/>
        <w:spacing w:after="0" w:line="342" w:lineRule="auto"/>
        <w:tabs>
          <w:tab w:leader="none" w:pos="15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80" w:hanging="532"/>
        <w:spacing w:after="0" w:line="273"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080" w:right="600" w:hanging="532"/>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right="48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439"/>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120" w:right="18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532"/>
        <w:spacing w:after="0" w:line="270"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178435</wp:posOffset>
            </wp:positionV>
            <wp:extent cx="2871470" cy="676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87147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80"/>
        <w:spacing w:after="0"/>
        <w:rPr>
          <w:sz w:val="20"/>
          <w:szCs w:val="20"/>
          <w:color w:val="auto"/>
        </w:rPr>
      </w:pPr>
      <w:r>
        <w:rPr>
          <w:rFonts w:ascii="Arial" w:cs="Arial" w:eastAsia="Arial" w:hAnsi="Arial"/>
          <w:sz w:val="32"/>
          <w:szCs w:val="32"/>
          <w:b w:val="1"/>
          <w:bCs w:val="1"/>
          <w:color w:val="auto"/>
        </w:rPr>
        <w:t>$500,000,000 1.125% Notes due 2026</w:t>
      </w:r>
    </w:p>
    <w:p>
      <w:pPr>
        <w:spacing w:after="0" w:line="213" w:lineRule="exact"/>
        <w:rPr>
          <w:sz w:val="20"/>
          <w:szCs w:val="20"/>
          <w:color w:val="auto"/>
        </w:rPr>
      </w:pPr>
    </w:p>
    <w:p>
      <w:pPr>
        <w:ind w:left="3040"/>
        <w:spacing w:after="0"/>
        <w:rPr>
          <w:sz w:val="20"/>
          <w:szCs w:val="20"/>
          <w:color w:val="auto"/>
        </w:rPr>
      </w:pPr>
      <w:r>
        <w:rPr>
          <w:rFonts w:ascii="Arial" w:cs="Arial" w:eastAsia="Arial" w:hAnsi="Arial"/>
          <w:sz w:val="32"/>
          <w:szCs w:val="32"/>
          <w:b w:val="1"/>
          <w:bCs w:val="1"/>
          <w:color w:val="auto"/>
        </w:rPr>
        <w:t>$500,000,000 1.900 % Notes due 2031</w:t>
      </w:r>
    </w:p>
    <w:p>
      <w:pPr>
        <w:spacing w:after="0" w:line="213" w:lineRule="exact"/>
        <w:rPr>
          <w:sz w:val="20"/>
          <w:szCs w:val="20"/>
          <w:color w:val="auto"/>
        </w:rPr>
      </w:pPr>
    </w:p>
    <w:p>
      <w:pPr>
        <w:ind w:left="3080"/>
        <w:spacing w:after="0"/>
        <w:rPr>
          <w:sz w:val="20"/>
          <w:szCs w:val="20"/>
          <w:color w:val="auto"/>
        </w:rPr>
      </w:pPr>
      <w:r>
        <w:rPr>
          <w:rFonts w:ascii="Arial" w:cs="Arial" w:eastAsia="Arial" w:hAnsi="Arial"/>
          <w:sz w:val="32"/>
          <w:szCs w:val="32"/>
          <w:b w:val="1"/>
          <w:bCs w:val="1"/>
          <w:color w:val="auto"/>
        </w:rPr>
        <w:t>$500,000,000 2.700%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1412875</wp:posOffset>
            </wp:positionV>
            <wp:extent cx="11144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240030</wp:posOffset>
            </wp:positionV>
            <wp:extent cx="11144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92"/>
        </w:trPr>
        <w:tc>
          <w:tcPr>
            <w:tcW w:w="268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2020" w:type="dxa"/>
            <w:vAlign w:val="bottom"/>
          </w:tcPr>
          <w:p>
            <w:pPr>
              <w:spacing w:after="0"/>
              <w:rPr>
                <w:sz w:val="24"/>
                <w:szCs w:val="24"/>
                <w:color w:val="auto"/>
              </w:rPr>
            </w:pPr>
          </w:p>
        </w:tc>
        <w:tc>
          <w:tcPr>
            <w:tcW w:w="3920" w:type="dxa"/>
            <w:vAlign w:val="bottom"/>
          </w:tcPr>
          <w:p>
            <w:pPr>
              <w:ind w:left="200"/>
              <w:spacing w:after="0"/>
              <w:rPr>
                <w:sz w:val="20"/>
                <w:szCs w:val="20"/>
                <w:color w:val="auto"/>
              </w:rPr>
            </w:pPr>
            <w:r>
              <w:rPr>
                <w:rFonts w:ascii="Arial" w:cs="Arial" w:eastAsia="Arial" w:hAnsi="Arial"/>
                <w:sz w:val="25"/>
                <w:szCs w:val="25"/>
                <w:b w:val="1"/>
                <w:bCs w:val="1"/>
                <w:color w:val="auto"/>
              </w:rPr>
              <w:t>J.P. Morgan</w:t>
            </w:r>
          </w:p>
        </w:tc>
        <w:tc>
          <w:tcPr>
            <w:tcW w:w="2400" w:type="dxa"/>
            <w:vAlign w:val="bottom"/>
          </w:tcPr>
          <w:p>
            <w:pPr>
              <w:jc w:val="right"/>
              <w:spacing w:after="0"/>
              <w:rPr>
                <w:sz w:val="20"/>
                <w:szCs w:val="20"/>
                <w:color w:val="auto"/>
              </w:rPr>
            </w:pPr>
            <w:r>
              <w:rPr>
                <w:rFonts w:ascii="Arial" w:cs="Arial" w:eastAsia="Arial" w:hAnsi="Arial"/>
                <w:sz w:val="25"/>
                <w:szCs w:val="25"/>
                <w:b w:val="1"/>
                <w:bCs w:val="1"/>
                <w:color w:val="auto"/>
              </w:rPr>
              <w:t>MUFG</w:t>
            </w:r>
          </w:p>
        </w:tc>
      </w:tr>
      <w:tr>
        <w:trPr>
          <w:trHeight w:val="280"/>
        </w:trPr>
        <w:tc>
          <w:tcPr>
            <w:tcW w:w="2680" w:type="dxa"/>
            <w:vAlign w:val="bottom"/>
          </w:tcPr>
          <w:p>
            <w:pPr>
              <w:spacing w:after="0"/>
              <w:rPr>
                <w:sz w:val="20"/>
                <w:szCs w:val="20"/>
                <w:color w:val="auto"/>
              </w:rPr>
            </w:pPr>
            <w:r>
              <w:rPr>
                <w:rFonts w:ascii="Arial" w:cs="Arial" w:eastAsia="Arial" w:hAnsi="Arial"/>
                <w:sz w:val="22"/>
                <w:szCs w:val="22"/>
                <w:b w:val="1"/>
                <w:bCs w:val="1"/>
                <w:color w:val="auto"/>
              </w:rPr>
              <w:t>BofA Securities</w:t>
            </w:r>
          </w:p>
        </w:tc>
        <w:tc>
          <w:tcPr>
            <w:tcW w:w="2020" w:type="dxa"/>
            <w:vAlign w:val="bottom"/>
          </w:tcPr>
          <w:p>
            <w:pPr>
              <w:ind w:left="900"/>
              <w:spacing w:after="0"/>
              <w:rPr>
                <w:sz w:val="20"/>
                <w:szCs w:val="20"/>
                <w:color w:val="auto"/>
              </w:rPr>
            </w:pPr>
            <w:r>
              <w:rPr>
                <w:rFonts w:ascii="Arial" w:cs="Arial" w:eastAsia="Arial" w:hAnsi="Arial"/>
                <w:sz w:val="22"/>
                <w:szCs w:val="22"/>
                <w:b w:val="1"/>
                <w:bCs w:val="1"/>
                <w:color w:val="auto"/>
              </w:rPr>
              <w:t>Citigroup</w:t>
            </w:r>
          </w:p>
        </w:tc>
        <w:tc>
          <w:tcPr>
            <w:tcW w:w="3920" w:type="dxa"/>
            <w:vAlign w:val="bottom"/>
          </w:tcPr>
          <w:p>
            <w:pPr>
              <w:jc w:val="center"/>
              <w:ind w:left="357"/>
              <w:spacing w:after="0"/>
              <w:rPr>
                <w:sz w:val="20"/>
                <w:szCs w:val="20"/>
                <w:color w:val="auto"/>
              </w:rPr>
            </w:pPr>
            <w:r>
              <w:rPr>
                <w:rFonts w:ascii="Arial" w:cs="Arial" w:eastAsia="Arial" w:hAnsi="Arial"/>
                <w:sz w:val="22"/>
                <w:szCs w:val="22"/>
                <w:b w:val="1"/>
                <w:bCs w:val="1"/>
                <w:color w:val="auto"/>
                <w:w w:val="88"/>
              </w:rPr>
              <w:t>Mizuho Securities</w:t>
            </w:r>
          </w:p>
        </w:tc>
        <w:tc>
          <w:tcPr>
            <w:tcW w:w="240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314"/>
        </w:trPr>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20" w:type="dxa"/>
            <w:vAlign w:val="bottom"/>
          </w:tcPr>
          <w:p>
            <w:pPr>
              <w:ind w:left="300"/>
              <w:spacing w:after="0"/>
              <w:rPr>
                <w:sz w:val="20"/>
                <w:szCs w:val="20"/>
                <w:color w:val="auto"/>
              </w:rPr>
            </w:pPr>
            <w:r>
              <w:rPr>
                <w:rFonts w:ascii="Arial" w:cs="Arial" w:eastAsia="Arial" w:hAnsi="Arial"/>
                <w:sz w:val="18"/>
                <w:szCs w:val="18"/>
                <w:i w:val="1"/>
                <w:iCs w:val="1"/>
                <w:color w:val="auto"/>
              </w:rPr>
              <w:t>Co-Managers</w:t>
            </w:r>
          </w:p>
        </w:tc>
        <w:tc>
          <w:tcPr>
            <w:tcW w:w="2400" w:type="dxa"/>
            <w:vAlign w:val="bottom"/>
          </w:tcPr>
          <w:p>
            <w:pPr>
              <w:spacing w:after="0"/>
              <w:rPr>
                <w:sz w:val="24"/>
                <w:szCs w:val="24"/>
                <w:color w:val="auto"/>
              </w:rPr>
            </w:pPr>
          </w:p>
        </w:tc>
      </w:tr>
      <w:tr>
        <w:trPr>
          <w:trHeight w:val="338"/>
        </w:trPr>
        <w:tc>
          <w:tcPr>
            <w:tcW w:w="2680" w:type="dxa"/>
            <w:vAlign w:val="bottom"/>
          </w:tcPr>
          <w:p>
            <w:pPr>
              <w:spacing w:after="0"/>
              <w:rPr>
                <w:sz w:val="20"/>
                <w:szCs w:val="20"/>
                <w:color w:val="auto"/>
              </w:rPr>
            </w:pPr>
            <w:r>
              <w:rPr>
                <w:rFonts w:ascii="Arial" w:cs="Arial" w:eastAsia="Arial" w:hAnsi="Arial"/>
                <w:sz w:val="18"/>
                <w:szCs w:val="18"/>
                <w:b w:val="1"/>
                <w:bCs w:val="1"/>
                <w:color w:val="auto"/>
              </w:rPr>
              <w:t>Siebert Williams Shank</w:t>
            </w:r>
          </w:p>
        </w:tc>
        <w:tc>
          <w:tcPr>
            <w:tcW w:w="2020" w:type="dxa"/>
            <w:vAlign w:val="bottom"/>
          </w:tcPr>
          <w:p>
            <w:pPr>
              <w:ind w:left="880"/>
              <w:spacing w:after="0"/>
              <w:rPr>
                <w:sz w:val="20"/>
                <w:szCs w:val="20"/>
                <w:color w:val="auto"/>
              </w:rPr>
            </w:pPr>
            <w:r>
              <w:rPr>
                <w:rFonts w:ascii="Arial" w:cs="Arial" w:eastAsia="Arial" w:hAnsi="Arial"/>
                <w:sz w:val="18"/>
                <w:szCs w:val="18"/>
                <w:b w:val="1"/>
                <w:bCs w:val="1"/>
                <w:color w:val="auto"/>
              </w:rPr>
              <w:t>US Bancorp</w:t>
            </w:r>
          </w:p>
        </w:tc>
        <w:tc>
          <w:tcPr>
            <w:tcW w:w="3920" w:type="dxa"/>
            <w:vAlign w:val="bottom"/>
          </w:tcPr>
          <w:p>
            <w:pPr>
              <w:jc w:val="center"/>
              <w:ind w:left="357"/>
              <w:spacing w:after="0"/>
              <w:rPr>
                <w:sz w:val="20"/>
                <w:szCs w:val="20"/>
                <w:color w:val="auto"/>
              </w:rPr>
            </w:pPr>
            <w:r>
              <w:rPr>
                <w:rFonts w:ascii="Arial" w:cs="Arial" w:eastAsia="Arial" w:hAnsi="Arial"/>
                <w:sz w:val="18"/>
                <w:szCs w:val="18"/>
                <w:b w:val="1"/>
                <w:bCs w:val="1"/>
                <w:color w:val="auto"/>
                <w:w w:val="95"/>
              </w:rPr>
              <w:t>BNP PARIBAS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HSBC</w:t>
            </w:r>
          </w:p>
        </w:tc>
      </w:tr>
      <w:tr>
        <w:trPr>
          <w:trHeight w:val="54"/>
        </w:trPr>
        <w:tc>
          <w:tcPr>
            <w:tcW w:w="26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95"/>
        </w:trPr>
        <w:tc>
          <w:tcPr>
            <w:tcW w:w="268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2)"/>
      <w:numFmt w:val="decimal"/>
      <w:start w:val="1"/>
    </w:lvl>
  </w:abstractNum>
  <w:abstractNum w:abstractNumId="12">
    <w:nsid w:val="1E7FF521"/>
    <w:multiLevelType w:val="hybridMultilevel"/>
    <w:lvl w:ilvl="0">
      <w:lvlJc w:val="left"/>
      <w:lvlText w:val="•"/>
      <w:numFmt w:val="bullet"/>
      <w:start w:val="1"/>
    </w:lvl>
    <w:lvl w:ilvl="1">
      <w:lvlJc w:val="left"/>
      <w:lvlText w:val="(%2)"/>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0"/>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lvl w:ilvl="1">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lvl w:ilvl="1">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lvl w:ilvl="1">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jpe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jpeg"/><Relationship Id="rId89" Type="http://schemas.openxmlformats.org/officeDocument/2006/relationships/image" Target="media/image74.png"/><Relationship Id="rId90" Type="http://schemas.openxmlformats.org/officeDocument/2006/relationships/image" Target="media/image75.png"/><Relationship Id="rId48" Type="http://schemas.openxmlformats.org/officeDocument/2006/relationships/hyperlink" Target="http://www.sec.gov/ix?doc=/Archives/edgar/data/97476/000009747621000006/txn-20201231.htm" TargetMode="External"/><Relationship Id="rId49" Type="http://schemas.openxmlformats.org/officeDocument/2006/relationships/hyperlink" Target="http://www.sec.gov/Archives/edgar/data/97476/000119312521074319/d120322ddef14a.htm" TargetMode="External"/><Relationship Id="rId50" Type="http://schemas.openxmlformats.org/officeDocument/2006/relationships/hyperlink" Target="http://www.sec.gov/ix?doc=/Archives/edgar/data/97476/000009747621000013/txn-20210331.htm" TargetMode="External"/><Relationship Id="rId51" Type="http://schemas.openxmlformats.org/officeDocument/2006/relationships/hyperlink" Target="http://www.sec.gov/ix?doc=/Archives/edgar/data/97476/000009747621000020/txn-20210630.htm" TargetMode="External"/><Relationship Id="rId52" Type="http://schemas.openxmlformats.org/officeDocument/2006/relationships/hyperlink" Target="http://www.sec.gov/ix?doc=/Archives/edgar/data/97476/000119312521136852/d180778d8k.htm" TargetMode="External"/><Relationship Id="rId53" Type="http://schemas.openxmlformats.org/officeDocument/2006/relationships/hyperlink" Target="http://www.sec.gov/ix?doc=/Archives/edgar/data/97476/000119312521136843/d176870d8k.htm" TargetMode="External"/><Relationship Id="rId64" Type="http://schemas.openxmlformats.org/officeDocument/2006/relationships/hyperlink" Target="http://www.sec.gov/Archives/edgar/data/97476/000156459019003839/txn-10k_20181231.htm" TargetMode="External"/><Relationship Id="rId65"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2021-09-08T16:24:52Z</dcterms:created>
  <dcterms:modified xsi:type="dcterms:W3CDTF">2021-09-08T16:24:52Z</dcterms:modified>
</cp:coreProperties>
</file>