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1680"/>
        <w:spacing w:after="0"/>
        <w:rPr>
          <w:sz w:val="20"/>
          <w:szCs w:val="20"/>
          <w:color w:val="auto"/>
        </w:rPr>
      </w:pPr>
      <w:r>
        <w:rPr>
          <w:rFonts w:ascii="Arial" w:cs="Arial" w:eastAsia="Arial" w:hAnsi="Arial"/>
          <w:sz w:val="22"/>
          <w:szCs w:val="22"/>
          <w:b w:val="1"/>
          <w:bCs w:val="1"/>
          <w:color w:val="auto"/>
        </w:rPr>
        <w:t>DATE OF REPORT (DATE OF EARLIEST EVENT REPORTED): December 19,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4" w:lineRule="exact"/>
        <w:rPr>
          <w:sz w:val="24"/>
          <w:szCs w:val="24"/>
          <w:color w:val="auto"/>
        </w:rPr>
      </w:pPr>
    </w:p>
    <w:tbl>
      <w:tblPr>
        <w:tblLayout w:type="fixed"/>
        <w:tblInd w:w="1180" w:type="dxa"/>
        <w:tblCellMar>
          <w:top w:w="0" w:type="dxa"/>
          <w:left w:w="0" w:type="dxa"/>
          <w:bottom w:w="0" w:type="dxa"/>
          <w:right w:w="0" w:type="dxa"/>
        </w:tblCellMar>
      </w:tblPr>
      <w:tr>
        <w:trPr>
          <w:trHeight w:val="228"/>
        </w:trPr>
        <w:tc>
          <w:tcPr>
            <w:tcW w:w="1780" w:type="dxa"/>
            <w:vAlign w:val="bottom"/>
          </w:tcPr>
          <w:p>
            <w:pPr>
              <w:spacing w:after="0"/>
              <w:rPr>
                <w:sz w:val="19"/>
                <w:szCs w:val="19"/>
                <w:color w:val="auto"/>
              </w:rPr>
            </w:pPr>
          </w:p>
        </w:tc>
        <w:tc>
          <w:tcPr>
            <w:tcW w:w="5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(Exact name of registrant as specified in charter)</w:t>
            </w:r>
          </w:p>
        </w:tc>
        <w:tc>
          <w:tcPr>
            <w:tcW w:w="1440" w:type="dxa"/>
            <w:vAlign w:val="bottom"/>
          </w:tcPr>
          <w:p>
            <w:pPr>
              <w:spacing w:after="0"/>
              <w:rPr>
                <w:sz w:val="19"/>
                <w:szCs w:val="19"/>
                <w:color w:val="auto"/>
              </w:rPr>
            </w:pPr>
          </w:p>
        </w:tc>
      </w:tr>
      <w:tr>
        <w:trPr>
          <w:trHeight w:val="158"/>
        </w:trPr>
        <w:tc>
          <w:tcPr>
            <w:tcW w:w="1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5"/>
        </w:trPr>
        <w:tc>
          <w:tcPr>
            <w:tcW w:w="1780" w:type="dxa"/>
            <w:vAlign w:val="bottom"/>
          </w:tcPr>
          <w:p>
            <w:pPr>
              <w:jc w:val="center"/>
              <w:ind w:right="146"/>
              <w:spacing w:after="0"/>
              <w:rPr>
                <w:sz w:val="20"/>
                <w:szCs w:val="20"/>
                <w:color w:val="auto"/>
              </w:rPr>
            </w:pPr>
            <w:r>
              <w:rPr>
                <w:rFonts w:ascii="Arial" w:cs="Arial" w:eastAsia="Arial" w:hAnsi="Arial"/>
                <w:sz w:val="18"/>
                <w:szCs w:val="18"/>
                <w:b w:val="1"/>
                <w:bCs w:val="1"/>
                <w:color w:val="auto"/>
                <w:w w:val="96"/>
              </w:rPr>
              <w:t>DELAWARE</w:t>
            </w:r>
          </w:p>
        </w:tc>
        <w:tc>
          <w:tcPr>
            <w:tcW w:w="3940" w:type="dxa"/>
            <w:vAlign w:val="bottom"/>
            <w:gridSpan w:val="2"/>
          </w:tcPr>
          <w:p>
            <w:pPr>
              <w:ind w:left="2500"/>
              <w:spacing w:after="0"/>
              <w:rPr>
                <w:sz w:val="20"/>
                <w:szCs w:val="20"/>
                <w:color w:val="auto"/>
              </w:rPr>
            </w:pPr>
            <w:r>
              <w:rPr>
                <w:rFonts w:ascii="Arial" w:cs="Arial" w:eastAsia="Arial" w:hAnsi="Arial"/>
                <w:sz w:val="18"/>
                <w:szCs w:val="18"/>
                <w:b w:val="1"/>
                <w:bCs w:val="1"/>
                <w:color w:val="auto"/>
              </w:rPr>
              <w:t>001-03761</w:t>
            </w:r>
          </w:p>
        </w:tc>
        <w:tc>
          <w:tcPr>
            <w:tcW w:w="1760" w:type="dxa"/>
            <w:vAlign w:val="bottom"/>
          </w:tcPr>
          <w:p>
            <w:pPr>
              <w:spacing w:after="0"/>
              <w:rPr>
                <w:sz w:val="24"/>
                <w:szCs w:val="24"/>
                <w:color w:val="auto"/>
              </w:rPr>
            </w:pPr>
          </w:p>
        </w:tc>
        <w:tc>
          <w:tcPr>
            <w:tcW w:w="1440" w:type="dxa"/>
            <w:vAlign w:val="bottom"/>
          </w:tcPr>
          <w:p>
            <w:pPr>
              <w:jc w:val="center"/>
              <w:ind w:left="366"/>
              <w:spacing w:after="0"/>
              <w:rPr>
                <w:sz w:val="20"/>
                <w:szCs w:val="20"/>
                <w:color w:val="auto"/>
              </w:rPr>
            </w:pPr>
            <w:r>
              <w:rPr>
                <w:rFonts w:ascii="Arial" w:cs="Arial" w:eastAsia="Arial" w:hAnsi="Arial"/>
                <w:sz w:val="18"/>
                <w:szCs w:val="18"/>
                <w:b w:val="1"/>
                <w:bCs w:val="1"/>
                <w:color w:val="auto"/>
                <w:w w:val="87"/>
              </w:rPr>
              <w:t>75-0289970</w:t>
            </w:r>
          </w:p>
        </w:tc>
      </w:tr>
      <w:tr>
        <w:trPr>
          <w:trHeight w:val="149"/>
        </w:trPr>
        <w:tc>
          <w:tcPr>
            <w:tcW w:w="178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560" w:type="dxa"/>
            <w:vAlign w:val="bottom"/>
          </w:tcPr>
          <w:p>
            <w:pPr>
              <w:spacing w:after="0"/>
              <w:rPr>
                <w:sz w:val="12"/>
                <w:szCs w:val="12"/>
                <w:color w:val="auto"/>
              </w:rPr>
            </w:pPr>
          </w:p>
        </w:tc>
        <w:tc>
          <w:tcPr>
            <w:tcW w:w="4140" w:type="dxa"/>
            <w:vAlign w:val="bottom"/>
            <w:gridSpan w:val="2"/>
          </w:tcPr>
          <w:p>
            <w:pPr>
              <w:ind w:left="940"/>
              <w:spacing w:after="0" w:line="149" w:lineRule="exact"/>
              <w:rPr>
                <w:sz w:val="20"/>
                <w:szCs w:val="20"/>
                <w:color w:val="auto"/>
              </w:rPr>
            </w:pPr>
            <w:r>
              <w:rPr>
                <w:rFonts w:ascii="Arial" w:cs="Arial" w:eastAsia="Arial" w:hAnsi="Arial"/>
                <w:sz w:val="14"/>
                <w:szCs w:val="14"/>
                <w:b w:val="1"/>
                <w:bCs w:val="1"/>
                <w:color w:val="auto"/>
              </w:rPr>
              <w:t>(Commission</w:t>
            </w:r>
          </w:p>
        </w:tc>
        <w:tc>
          <w:tcPr>
            <w:tcW w:w="1440" w:type="dxa"/>
            <w:vAlign w:val="bottom"/>
          </w:tcPr>
          <w:p>
            <w:pPr>
              <w:jc w:val="center"/>
              <w:ind w:left="34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1780" w:type="dxa"/>
            <w:vAlign w:val="bottom"/>
          </w:tcPr>
          <w:p>
            <w:pPr>
              <w:jc w:val="center"/>
              <w:ind w:right="166"/>
              <w:spacing w:after="0"/>
              <w:rPr>
                <w:sz w:val="20"/>
                <w:szCs w:val="20"/>
                <w:color w:val="auto"/>
              </w:rPr>
            </w:pPr>
            <w:r>
              <w:rPr>
                <w:rFonts w:ascii="Arial" w:cs="Arial" w:eastAsia="Arial" w:hAnsi="Arial"/>
                <w:sz w:val="14"/>
                <w:szCs w:val="14"/>
                <w:b w:val="1"/>
                <w:bCs w:val="1"/>
                <w:color w:val="auto"/>
                <w:w w:val="87"/>
              </w:rPr>
              <w:t>of incorporation)</w:t>
            </w:r>
          </w:p>
        </w:tc>
        <w:tc>
          <w:tcPr>
            <w:tcW w:w="1560" w:type="dxa"/>
            <w:vAlign w:val="bottom"/>
          </w:tcPr>
          <w:p>
            <w:pPr>
              <w:spacing w:after="0"/>
              <w:rPr>
                <w:sz w:val="15"/>
                <w:szCs w:val="15"/>
                <w:color w:val="auto"/>
              </w:rPr>
            </w:pPr>
          </w:p>
        </w:tc>
        <w:tc>
          <w:tcPr>
            <w:tcW w:w="4140" w:type="dxa"/>
            <w:vAlign w:val="bottom"/>
            <w:gridSpan w:val="2"/>
          </w:tcPr>
          <w:p>
            <w:pPr>
              <w:ind w:left="960"/>
              <w:spacing w:after="0"/>
              <w:rPr>
                <w:sz w:val="20"/>
                <w:szCs w:val="20"/>
                <w:color w:val="auto"/>
              </w:rPr>
            </w:pPr>
            <w:r>
              <w:rPr>
                <w:rFonts w:ascii="Arial" w:cs="Arial" w:eastAsia="Arial" w:hAnsi="Arial"/>
                <w:sz w:val="14"/>
                <w:szCs w:val="14"/>
                <w:b w:val="1"/>
                <w:bCs w:val="1"/>
                <w:color w:val="auto"/>
              </w:rPr>
              <w:t>file number)</w:t>
            </w:r>
          </w:p>
        </w:tc>
        <w:tc>
          <w:tcPr>
            <w:tcW w:w="1440" w:type="dxa"/>
            <w:vAlign w:val="bottom"/>
          </w:tcPr>
          <w:p>
            <w:pPr>
              <w:jc w:val="center"/>
              <w:ind w:left="346"/>
              <w:spacing w:after="0"/>
              <w:rPr>
                <w:sz w:val="20"/>
                <w:szCs w:val="20"/>
                <w:color w:val="auto"/>
              </w:rPr>
            </w:pPr>
            <w:r>
              <w:rPr>
                <w:rFonts w:ascii="Arial" w:cs="Arial" w:eastAsia="Arial" w:hAnsi="Arial"/>
                <w:sz w:val="14"/>
                <w:szCs w:val="14"/>
                <w:b w:val="1"/>
                <w:bCs w:val="1"/>
                <w:color w:val="auto"/>
                <w:w w:val="87"/>
              </w:rPr>
              <w:t>identification no.)</w:t>
            </w:r>
          </w:p>
        </w:tc>
      </w:tr>
      <w:tr>
        <w:trPr>
          <w:trHeight w:val="364"/>
        </w:trPr>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4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5"/>
              </w:rPr>
              <w:t>12500 TI BOULEVARD</w:t>
            </w:r>
          </w:p>
        </w:tc>
        <w:tc>
          <w:tcPr>
            <w:tcW w:w="1440" w:type="dxa"/>
            <w:vAlign w:val="bottom"/>
          </w:tcPr>
          <w:p>
            <w:pPr>
              <w:spacing w:after="0"/>
              <w:rPr>
                <w:sz w:val="24"/>
                <w:szCs w:val="24"/>
                <w:color w:val="auto"/>
              </w:rPr>
            </w:pPr>
          </w:p>
        </w:tc>
      </w:tr>
      <w:tr>
        <w:trPr>
          <w:trHeight w:val="216"/>
        </w:trPr>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4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89"/>
              </w:rPr>
              <w:t>P.O. BOX 660199</w:t>
            </w:r>
          </w:p>
        </w:tc>
        <w:tc>
          <w:tcPr>
            <w:tcW w:w="1440" w:type="dxa"/>
            <w:vAlign w:val="bottom"/>
          </w:tcPr>
          <w:p>
            <w:pPr>
              <w:spacing w:after="0"/>
              <w:rPr>
                <w:sz w:val="18"/>
                <w:szCs w:val="18"/>
                <w:color w:val="auto"/>
              </w:rPr>
            </w:pPr>
          </w:p>
        </w:tc>
      </w:tr>
      <w:tr>
        <w:trPr>
          <w:trHeight w:val="218"/>
        </w:trPr>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4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3"/>
              </w:rPr>
              <w:t>DALLAS, TEXAS 75266-0199</w:t>
            </w:r>
          </w:p>
        </w:tc>
        <w:tc>
          <w:tcPr>
            <w:tcW w:w="1440" w:type="dxa"/>
            <w:vAlign w:val="bottom"/>
          </w:tcPr>
          <w:p>
            <w:pPr>
              <w:spacing w:after="0"/>
              <w:rPr>
                <w:sz w:val="18"/>
                <w:szCs w:val="18"/>
                <w:color w:val="auto"/>
              </w:rPr>
            </w:pPr>
          </w:p>
        </w:tc>
      </w:tr>
      <w:tr>
        <w:trPr>
          <w:trHeight w:val="174"/>
        </w:trPr>
        <w:tc>
          <w:tcPr>
            <w:tcW w:w="1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1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40" w:type="dxa"/>
            <w:vAlign w:val="bottom"/>
          </w:tcPr>
          <w:p>
            <w:pPr>
              <w:spacing w:after="0"/>
              <w:rPr>
                <w:sz w:val="15"/>
                <w:szCs w:val="15"/>
                <w:color w:val="auto"/>
              </w:rPr>
            </w:pPr>
          </w:p>
        </w:tc>
      </w:tr>
      <w:tr>
        <w:trPr>
          <w:trHeight w:val="363"/>
        </w:trPr>
        <w:tc>
          <w:tcPr>
            <w:tcW w:w="1780" w:type="dxa"/>
            <w:vAlign w:val="bottom"/>
          </w:tcPr>
          <w:p>
            <w:pPr>
              <w:spacing w:after="0"/>
              <w:rPr>
                <w:sz w:val="24"/>
                <w:szCs w:val="24"/>
                <w:color w:val="auto"/>
              </w:rPr>
            </w:pPr>
          </w:p>
        </w:tc>
        <w:tc>
          <w:tcPr>
            <w:tcW w:w="57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Registrant’s telephone number, including area code: (972) 995-3773</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Texas Instruments Incorporated (the “Company”) has transferred shares of its Common Stock (“Shares”) to a wholly owned subsidiary. The transactions were undertaken between December 19 and 22, 2011, as part of a restructuring by the Company of its subsidiaries following its acquisition of National Semiconductor Corporation in September 2011. The Shares were already issued and held in the Company’s treasury. They will continue to be reflected as treasury shares on the Company’s financial statements and excluded from earnings per share calculations.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total of 57,887,451 Shares were transferred to the subsidiary in exchange for promissory notes of the subsidiary having an aggregate principal amount of $1.66 billion, representing an amount per share equal to the closing price of the Company’s common stock on the exchange on which the Company’s shares are listed for the trading day immediately preceding the date of transfer.</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subsidiary restructuring, the Company intends to transfer in the first quarter of 2012 approximately $225 million of Shares held in its treasury to the same subsidiary in exchange for equity of the subsidiary. The Shares will be valued, and the impact on the Company’s financial statements will be, as described above.</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each case, the Shares are voting stock, but in accordance with Delaware law and the Company’s By-Laws, they will not be voted on matters brought before our stockholders or counted for quorum purposes. To the extent required, Section 4(2) of the Securities Act of 1933, as amended, provides an exemption from registration for the transactions described above.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7760" w:type="dxa"/>
            <w:vAlign w:val="bottom"/>
            <w:gridSpan w:val="2"/>
          </w:tcPr>
          <w:p>
            <w:pPr>
              <w:ind w:left="1840"/>
              <w:spacing w:after="0"/>
              <w:rPr>
                <w:sz w:val="20"/>
                <w:szCs w:val="20"/>
                <w:color w:val="auto"/>
              </w:rPr>
            </w:pPr>
            <w:r>
              <w:rPr>
                <w:rFonts w:ascii="Arial" w:cs="Arial" w:eastAsia="Arial" w:hAnsi="Arial"/>
                <w:sz w:val="18"/>
                <w:szCs w:val="18"/>
                <w:color w:val="auto"/>
              </w:rPr>
              <w:t>TEXAS INSTRUMENTS INCORPORATED</w:t>
            </w:r>
          </w:p>
        </w:tc>
      </w:tr>
      <w:tr>
        <w:trPr>
          <w:trHeight w:val="325"/>
        </w:trPr>
        <w:tc>
          <w:tcPr>
            <w:tcW w:w="3660" w:type="dxa"/>
            <w:vAlign w:val="bottom"/>
          </w:tcPr>
          <w:p>
            <w:pPr>
              <w:spacing w:after="0"/>
              <w:rPr>
                <w:sz w:val="20"/>
                <w:szCs w:val="20"/>
                <w:color w:val="auto"/>
              </w:rPr>
            </w:pPr>
            <w:r>
              <w:rPr>
                <w:rFonts w:ascii="Arial" w:cs="Arial" w:eastAsia="Arial" w:hAnsi="Arial"/>
                <w:sz w:val="18"/>
                <w:szCs w:val="18"/>
                <w:color w:val="auto"/>
              </w:rPr>
              <w:t>Date: December 22, 2011</w:t>
            </w:r>
          </w:p>
        </w:tc>
        <w:tc>
          <w:tcPr>
            <w:tcW w:w="7760" w:type="dxa"/>
            <w:vAlign w:val="bottom"/>
            <w:gridSpan w:val="2"/>
          </w:tcPr>
          <w:p>
            <w:pPr>
              <w:ind w:left="1840"/>
              <w:spacing w:after="0"/>
              <w:rPr>
                <w:sz w:val="20"/>
                <w:szCs w:val="20"/>
                <w:color w:val="auto"/>
              </w:rPr>
            </w:pPr>
            <w:r>
              <w:rPr>
                <w:rFonts w:ascii="Arial" w:cs="Arial" w:eastAsia="Arial" w:hAnsi="Arial"/>
                <w:sz w:val="18"/>
                <w:szCs w:val="18"/>
                <w:color w:val="auto"/>
              </w:rPr>
              <w:t>By:    /s/ KEVIN P. MARCH</w:t>
            </w:r>
          </w:p>
        </w:tc>
      </w:tr>
      <w:tr>
        <w:trPr>
          <w:trHeight w:val="202"/>
        </w:trPr>
        <w:tc>
          <w:tcPr>
            <w:tcW w:w="36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46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Kevin P. March</w:t>
            </w:r>
          </w:p>
        </w:tc>
      </w:tr>
      <w:tr>
        <w:trPr>
          <w:trHeight w:val="216"/>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Senior Vice President and</w:t>
            </w:r>
          </w:p>
        </w:tc>
      </w:tr>
      <w:tr>
        <w:trPr>
          <w:trHeight w:val="222"/>
        </w:trPr>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2019-12-10T04:09:17Z</dcterms:created>
  <dcterms:modified xsi:type="dcterms:W3CDTF">2019-12-10T04:09:17Z</dcterms:modified>
</cp:coreProperties>
</file>