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As filed with the Securities and Exchange Commission on May 5, 2014</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0" w:lineRule="exact"/>
        <w:rPr>
          <w:sz w:val="24"/>
          <w:szCs w:val="24"/>
          <w:color w:val="auto"/>
        </w:rPr>
      </w:pPr>
    </w:p>
    <w:p>
      <w:pPr>
        <w:spacing w:after="0" w:line="223" w:lineRule="exact"/>
        <w:rPr>
          <w:sz w:val="24"/>
          <w:szCs w:val="24"/>
          <w:color w:val="auto"/>
        </w:rPr>
      </w:pPr>
    </w:p>
    <w:tbl>
      <w:tblPr>
        <w:tblLayout w:type="fixed"/>
        <w:tblInd w:w="1680" w:type="dxa"/>
        <w:tblCellMar>
          <w:top w:w="0" w:type="dxa"/>
          <w:left w:w="0" w:type="dxa"/>
          <w:bottom w:w="0" w:type="dxa"/>
          <w:right w:w="0" w:type="dxa"/>
        </w:tblCellMar>
      </w:tblPr>
      <w:tr>
        <w:trPr>
          <w:trHeight w:val="216"/>
        </w:trPr>
        <w:tc>
          <w:tcPr>
            <w:tcW w:w="43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Delaware</w:t>
            </w:r>
          </w:p>
        </w:tc>
        <w:tc>
          <w:tcPr>
            <w:tcW w:w="340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75-0289970</w:t>
            </w:r>
          </w:p>
        </w:tc>
      </w:tr>
      <w:tr>
        <w:trPr>
          <w:trHeight w:val="216"/>
        </w:trPr>
        <w:tc>
          <w:tcPr>
            <w:tcW w:w="43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0"/>
              </w:rPr>
              <w:t>(State or other jurisdiction of</w:t>
            </w:r>
          </w:p>
        </w:tc>
        <w:tc>
          <w:tcPr>
            <w:tcW w:w="3400" w:type="dxa"/>
            <w:vAlign w:val="bottom"/>
          </w:tcPr>
          <w:p>
            <w:pPr>
              <w:jc w:val="center"/>
              <w:ind w:left="189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4320" w:type="dxa"/>
            <w:vAlign w:val="bottom"/>
          </w:tcPr>
          <w:p>
            <w:pPr>
              <w:jc w:val="center"/>
              <w:ind w:right="1870"/>
              <w:spacing w:after="0"/>
              <w:rPr>
                <w:sz w:val="20"/>
                <w:szCs w:val="20"/>
                <w:color w:val="auto"/>
              </w:rPr>
            </w:pPr>
            <w:r>
              <w:rPr>
                <w:rFonts w:ascii="Arial" w:cs="Arial" w:eastAsia="Arial" w:hAnsi="Arial"/>
                <w:sz w:val="18"/>
                <w:szCs w:val="18"/>
                <w:b w:val="1"/>
                <w:bCs w:val="1"/>
                <w:color w:val="auto"/>
                <w:w w:val="91"/>
              </w:rPr>
              <w:t>incorporation or organization)</w:t>
            </w:r>
          </w:p>
        </w:tc>
        <w:tc>
          <w:tcPr>
            <w:tcW w:w="3400" w:type="dxa"/>
            <w:vAlign w:val="bottom"/>
          </w:tcPr>
          <w:p>
            <w:pPr>
              <w:jc w:val="center"/>
              <w:ind w:left="1890"/>
              <w:spacing w:after="0"/>
              <w:rPr>
                <w:sz w:val="20"/>
                <w:szCs w:val="20"/>
                <w:color w:val="auto"/>
              </w:rPr>
            </w:pPr>
            <w:r>
              <w:rPr>
                <w:rFonts w:ascii="Arial" w:cs="Arial" w:eastAsia="Arial" w:hAnsi="Arial"/>
                <w:sz w:val="18"/>
                <w:szCs w:val="18"/>
                <w:b w:val="1"/>
                <w:bCs w:val="1"/>
                <w:color w:val="auto"/>
                <w:w w:val="93"/>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655474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75265-5474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(Address of principal executive offices including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 Employees 2014 Stock Purchase Plan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(Full title of the plan)</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Joseph F. Hubach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Senior Vice President, Secretary and General Counsel</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Texas Instruments Incorporated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12500 TI Boulevard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75265-0199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and address of agent for service)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972-995-3773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including area code, of agent for service)</w:t>
      </w:r>
    </w:p>
    <w:p>
      <w:pPr>
        <w:spacing w:after="0" w:line="200" w:lineRule="exact"/>
        <w:rPr>
          <w:sz w:val="24"/>
          <w:szCs w:val="24"/>
          <w:color w:val="auto"/>
        </w:rPr>
      </w:pPr>
    </w:p>
    <w:p>
      <w:pPr>
        <w:spacing w:after="0" w:line="281"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74"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800" w:type="dxa"/>
            <w:vAlign w:val="bottom"/>
          </w:tcPr>
          <w:p>
            <w:pPr>
              <w:spacing w:after="0"/>
              <w:rPr>
                <w:sz w:val="20"/>
                <w:szCs w:val="20"/>
                <w:color w:val="auto"/>
              </w:rPr>
            </w:pPr>
            <w:r>
              <w:rPr>
                <w:rFonts w:ascii="Arial" w:cs="Arial" w:eastAsia="Arial" w:hAnsi="Arial"/>
                <w:sz w:val="18"/>
                <w:szCs w:val="18"/>
                <w:color w:val="auto"/>
              </w:rPr>
              <w:t>Large accelerated filer x</w:t>
            </w:r>
          </w:p>
        </w:tc>
        <w:tc>
          <w:tcPr>
            <w:tcW w:w="3680" w:type="dxa"/>
            <w:vAlign w:val="bottom"/>
          </w:tcPr>
          <w:p>
            <w:pPr>
              <w:spacing w:after="0"/>
              <w:rPr>
                <w:sz w:val="18"/>
                <w:szCs w:val="18"/>
                <w:color w:val="auto"/>
              </w:rPr>
            </w:pPr>
          </w:p>
        </w:tc>
        <w:tc>
          <w:tcPr>
            <w:tcW w:w="3540" w:type="dxa"/>
            <w:vAlign w:val="bottom"/>
            <w:gridSpan w:val="2"/>
          </w:tcPr>
          <w:p>
            <w:pPr>
              <w:ind w:left="1180"/>
              <w:spacing w:after="0"/>
              <w:rPr>
                <w:sz w:val="20"/>
                <w:szCs w:val="20"/>
                <w:color w:val="auto"/>
              </w:rPr>
            </w:pPr>
            <w:r>
              <w:rPr>
                <w:rFonts w:ascii="Arial" w:cs="Arial" w:eastAsia="Arial" w:hAnsi="Arial"/>
                <w:sz w:val="18"/>
                <w:szCs w:val="18"/>
                <w:color w:val="auto"/>
              </w:rPr>
              <w:t>Accelerated filer</w:t>
            </w:r>
          </w:p>
        </w:tc>
        <w:tc>
          <w:tcPr>
            <w:tcW w:w="1400" w:type="dxa"/>
            <w:vAlign w:val="bottom"/>
          </w:tcPr>
          <w:p>
            <w:pPr>
              <w:spacing w:after="0"/>
              <w:rPr>
                <w:sz w:val="18"/>
                <w:szCs w:val="18"/>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680" w:type="dxa"/>
            <w:vAlign w:val="bottom"/>
          </w:tcPr>
          <w:p>
            <w:pPr>
              <w:ind w:left="180"/>
              <w:spacing w:after="0"/>
              <w:rPr>
                <w:sz w:val="20"/>
                <w:szCs w:val="20"/>
                <w:color w:val="auto"/>
              </w:rPr>
            </w:pPr>
            <w:r>
              <w:rPr>
                <w:rFonts w:ascii="Arial" w:cs="Arial" w:eastAsia="Arial" w:hAnsi="Arial"/>
                <w:sz w:val="18"/>
                <w:szCs w:val="18"/>
                <w:color w:val="auto"/>
                <w:w w:val="95"/>
              </w:rPr>
              <w:t>(Do not check if a smaller reporting company)</w:t>
            </w:r>
          </w:p>
        </w:tc>
        <w:tc>
          <w:tcPr>
            <w:tcW w:w="3540" w:type="dxa"/>
            <w:vAlign w:val="bottom"/>
            <w:gridSpan w:val="2"/>
          </w:tcPr>
          <w:p>
            <w:pPr>
              <w:ind w:left="1180"/>
              <w:spacing w:after="0"/>
              <w:rPr>
                <w:sz w:val="20"/>
                <w:szCs w:val="20"/>
                <w:color w:val="auto"/>
              </w:rPr>
            </w:pPr>
            <w:r>
              <w:rPr>
                <w:rFonts w:ascii="Arial" w:cs="Arial" w:eastAsia="Arial" w:hAnsi="Arial"/>
                <w:sz w:val="18"/>
                <w:szCs w:val="18"/>
                <w:color w:val="auto"/>
              </w:rPr>
              <w:t>Smaller reporting company</w:t>
            </w:r>
          </w:p>
        </w:tc>
        <w:tc>
          <w:tcPr>
            <w:tcW w:w="1400" w:type="dxa"/>
            <w:vAlign w:val="bottom"/>
          </w:tcPr>
          <w:p>
            <w:pPr>
              <w:spacing w:after="0"/>
              <w:rPr>
                <w:sz w:val="20"/>
                <w:szCs w:val="20"/>
                <w:color w:val="auto"/>
              </w:rPr>
            </w:pPr>
          </w:p>
        </w:tc>
      </w:tr>
      <w:tr>
        <w:trPr>
          <w:trHeight w:val="432"/>
        </w:trPr>
        <w:tc>
          <w:tcPr>
            <w:tcW w:w="2800" w:type="dxa"/>
            <w:vAlign w:val="bottom"/>
          </w:tcPr>
          <w:p>
            <w:pPr>
              <w:spacing w:after="0"/>
              <w:rPr>
                <w:sz w:val="24"/>
                <w:szCs w:val="24"/>
                <w:color w:val="auto"/>
              </w:rPr>
            </w:pPr>
          </w:p>
        </w:tc>
        <w:tc>
          <w:tcPr>
            <w:tcW w:w="5240" w:type="dxa"/>
            <w:vAlign w:val="bottom"/>
            <w:gridSpan w:val="2"/>
          </w:tcPr>
          <w:p>
            <w:pPr>
              <w:ind w:left="1180"/>
              <w:spacing w:after="0"/>
              <w:rPr>
                <w:sz w:val="20"/>
                <w:szCs w:val="20"/>
                <w:color w:val="auto"/>
              </w:rPr>
            </w:pPr>
            <w:r>
              <w:rPr>
                <w:rFonts w:ascii="Arial" w:cs="Arial" w:eastAsia="Arial" w:hAnsi="Arial"/>
                <w:sz w:val="18"/>
                <w:szCs w:val="18"/>
                <w:b w:val="1"/>
                <w:bCs w:val="1"/>
                <w:color w:val="auto"/>
              </w:rPr>
              <w:t>CALCULATION OF REGISTRATION FEE</w:t>
            </w:r>
          </w:p>
        </w:tc>
        <w:tc>
          <w:tcPr>
            <w:tcW w:w="19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414"/>
        </w:trPr>
        <w:tc>
          <w:tcPr>
            <w:tcW w:w="28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86"/>
              </w:rPr>
              <w:t>Proposed</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6"/>
              </w:rPr>
              <w:t>Proposed</w:t>
            </w:r>
          </w:p>
        </w:tc>
        <w:tc>
          <w:tcPr>
            <w:tcW w:w="1400" w:type="dxa"/>
            <w:vAlign w:val="bottom"/>
          </w:tcPr>
          <w:p>
            <w:pPr>
              <w:spacing w:after="0"/>
              <w:rPr>
                <w:sz w:val="24"/>
                <w:szCs w:val="24"/>
                <w:color w:val="auto"/>
              </w:rPr>
            </w:pPr>
          </w:p>
        </w:tc>
      </w:tr>
      <w:tr>
        <w:trPr>
          <w:trHeight w:val="216"/>
        </w:trPr>
        <w:tc>
          <w:tcPr>
            <w:tcW w:w="280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96"/>
              </w:rPr>
              <w:t>Maximum</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96"/>
              </w:rPr>
              <w:t>Maximum</w:t>
            </w:r>
          </w:p>
        </w:tc>
        <w:tc>
          <w:tcPr>
            <w:tcW w:w="140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Amount of</w:t>
            </w:r>
          </w:p>
        </w:tc>
      </w:tr>
      <w:tr>
        <w:trPr>
          <w:trHeight w:val="216"/>
        </w:trPr>
        <w:tc>
          <w:tcPr>
            <w:tcW w:w="2800" w:type="dxa"/>
            <w:vAlign w:val="bottom"/>
          </w:tcPr>
          <w:p>
            <w:pPr>
              <w:spacing w:after="0"/>
              <w:rPr>
                <w:sz w:val="18"/>
                <w:szCs w:val="18"/>
                <w:color w:val="auto"/>
              </w:rPr>
            </w:pPr>
          </w:p>
        </w:tc>
        <w:tc>
          <w:tcPr>
            <w:tcW w:w="3680" w:type="dxa"/>
            <w:vAlign w:val="bottom"/>
          </w:tcPr>
          <w:p>
            <w:pPr>
              <w:jc w:val="center"/>
              <w:ind w:left="1690"/>
              <w:spacing w:after="0"/>
              <w:rPr>
                <w:sz w:val="20"/>
                <w:szCs w:val="20"/>
                <w:color w:val="auto"/>
              </w:rPr>
            </w:pPr>
            <w:r>
              <w:rPr>
                <w:rFonts w:ascii="Arial" w:cs="Arial" w:eastAsia="Arial" w:hAnsi="Arial"/>
                <w:sz w:val="18"/>
                <w:szCs w:val="18"/>
                <w:b w:val="1"/>
                <w:bCs w:val="1"/>
                <w:color w:val="auto"/>
                <w:w w:val="91"/>
              </w:rPr>
              <w:t>Amount to be</w:t>
            </w:r>
          </w:p>
        </w:tc>
        <w:tc>
          <w:tcPr>
            <w:tcW w:w="15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Offering Price</w:t>
            </w:r>
          </w:p>
        </w:tc>
        <w:tc>
          <w:tcPr>
            <w:tcW w:w="1980" w:type="dxa"/>
            <w:vAlign w:val="bottom"/>
          </w:tcPr>
          <w:p>
            <w:pPr>
              <w:jc w:val="center"/>
              <w:spacing w:after="0"/>
              <w:rPr>
                <w:sz w:val="20"/>
                <w:szCs w:val="20"/>
                <w:color w:val="auto"/>
              </w:rPr>
            </w:pPr>
            <w:r>
              <w:rPr>
                <w:rFonts w:ascii="Arial" w:cs="Arial" w:eastAsia="Arial" w:hAnsi="Arial"/>
                <w:sz w:val="18"/>
                <w:szCs w:val="18"/>
                <w:b w:val="1"/>
                <w:bCs w:val="1"/>
                <w:color w:val="auto"/>
                <w:w w:val="87"/>
              </w:rPr>
              <w:t>Aggregate</w:t>
            </w:r>
          </w:p>
        </w:tc>
        <w:tc>
          <w:tcPr>
            <w:tcW w:w="1400" w:type="dxa"/>
            <w:vAlign w:val="bottom"/>
          </w:tcPr>
          <w:p>
            <w:pPr>
              <w:jc w:val="center"/>
              <w:ind w:left="50"/>
              <w:spacing w:after="0"/>
              <w:rPr>
                <w:sz w:val="20"/>
                <w:szCs w:val="20"/>
                <w:color w:val="auto"/>
              </w:rPr>
            </w:pPr>
            <w:r>
              <w:rPr>
                <w:rFonts w:ascii="Arial" w:cs="Arial" w:eastAsia="Arial" w:hAnsi="Arial"/>
                <w:sz w:val="18"/>
                <w:szCs w:val="18"/>
                <w:b w:val="1"/>
                <w:bCs w:val="1"/>
                <w:color w:val="auto"/>
                <w:w w:val="89"/>
              </w:rPr>
              <w:t>Registration</w:t>
            </w:r>
          </w:p>
        </w:tc>
      </w:tr>
      <w:tr>
        <w:trPr>
          <w:trHeight w:val="241"/>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Title of Securities to be Registered</w:t>
            </w:r>
          </w:p>
        </w:tc>
        <w:tc>
          <w:tcPr>
            <w:tcW w:w="3680" w:type="dxa"/>
            <w:vAlign w:val="bottom"/>
            <w:tcBorders>
              <w:bottom w:val="single" w:sz="8" w:color="auto"/>
            </w:tcBorders>
          </w:tcPr>
          <w:p>
            <w:pPr>
              <w:jc w:val="center"/>
              <w:ind w:left="1670"/>
              <w:spacing w:after="0"/>
              <w:rPr>
                <w:sz w:val="20"/>
                <w:szCs w:val="20"/>
                <w:color w:val="auto"/>
              </w:rPr>
            </w:pPr>
            <w:r>
              <w:rPr>
                <w:rFonts w:ascii="Arial" w:cs="Arial" w:eastAsia="Arial" w:hAnsi="Arial"/>
                <w:sz w:val="18"/>
                <w:szCs w:val="18"/>
                <w:b w:val="1"/>
                <w:bCs w:val="1"/>
                <w:color w:val="auto"/>
                <w:w w:val="89"/>
              </w:rPr>
              <w:t>Registered (1)</w:t>
            </w:r>
          </w:p>
        </w:tc>
        <w:tc>
          <w:tcPr>
            <w:tcW w:w="1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0"/>
              </w:rPr>
              <w:t>Per Share (2)</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Offering Price (2)</w:t>
            </w:r>
          </w:p>
        </w:tc>
        <w:tc>
          <w:tcPr>
            <w:tcW w:w="14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92"/>
              </w:rPr>
              <w:t>Fee (2)</w:t>
            </w:r>
          </w:p>
        </w:tc>
      </w:tr>
      <w:tr>
        <w:trPr>
          <w:trHeight w:val="223"/>
        </w:trPr>
        <w:tc>
          <w:tcPr>
            <w:tcW w:w="2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Common Stock ($1 par value)</w:t>
            </w:r>
          </w:p>
        </w:tc>
        <w:tc>
          <w:tcPr>
            <w:tcW w:w="3680" w:type="dxa"/>
            <w:vAlign w:val="bottom"/>
            <w:tcBorders>
              <w:bottom w:val="single" w:sz="8" w:color="auto"/>
            </w:tcBorders>
          </w:tcPr>
          <w:p>
            <w:pPr>
              <w:jc w:val="center"/>
              <w:ind w:left="1690"/>
              <w:spacing w:after="0"/>
              <w:rPr>
                <w:sz w:val="20"/>
                <w:szCs w:val="20"/>
                <w:color w:val="auto"/>
              </w:rPr>
            </w:pPr>
            <w:r>
              <w:rPr>
                <w:rFonts w:ascii="Arial" w:cs="Arial" w:eastAsia="Arial" w:hAnsi="Arial"/>
                <w:sz w:val="18"/>
                <w:szCs w:val="18"/>
                <w:color w:val="auto"/>
                <w:w w:val="90"/>
              </w:rPr>
              <w:t>40,000,000</w:t>
            </w:r>
          </w:p>
        </w:tc>
        <w:tc>
          <w:tcPr>
            <w:tcW w:w="1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$45.575</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$1,823,000,000</w:t>
            </w:r>
          </w:p>
        </w:tc>
        <w:tc>
          <w:tcPr>
            <w:tcW w:w="14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87"/>
              </w:rPr>
              <w:t>$234,803</w:t>
            </w:r>
          </w:p>
        </w:tc>
      </w:tr>
    </w:tbl>
    <w:p>
      <w:pPr>
        <w:spacing w:after="0" w:line="229" w:lineRule="exact"/>
        <w:rPr>
          <w:sz w:val="24"/>
          <w:szCs w:val="24"/>
          <w:color w:val="auto"/>
        </w:rPr>
      </w:pPr>
    </w:p>
    <w:p>
      <w:pPr>
        <w:ind w:left="660" w:right="20" w:hanging="304"/>
        <w:spacing w:after="0" w:line="258"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(the “Securities Act”), the Registrant is also registering an indeterminate number of additional shares which may be issued to prevent dilution resulting from stock splits, stock dividends or similar transactions.</w:t>
      </w:r>
    </w:p>
    <w:p>
      <w:pPr>
        <w:spacing w:after="0" w:line="1" w:lineRule="exact"/>
        <w:rPr>
          <w:rFonts w:ascii="Arial" w:cs="Arial" w:eastAsia="Arial" w:hAnsi="Arial"/>
          <w:sz w:val="18"/>
          <w:szCs w:val="18"/>
          <w:color w:val="auto"/>
        </w:rPr>
      </w:pPr>
    </w:p>
    <w:p>
      <w:pPr>
        <w:ind w:left="660" w:hanging="304"/>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 under the Securities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544195</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310" w:right="2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color w:val="auto"/>
        </w:rPr>
        <w:t>PART II</w:t>
      </w:r>
    </w:p>
    <w:p>
      <w:pPr>
        <w:spacing w:after="0" w:line="22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3. Incorporation of Documents by Reference</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following documents have been filed by the Company with the Securities and Exchange Commission (the “Commission”) pursuant to the Securities Exchange Act of 1934 (the “Exchange Act”) and are incorporated herein by reference and made a part of this registration statement:</w:t>
      </w:r>
    </w:p>
    <w:p>
      <w:pPr>
        <w:spacing w:after="0" w:line="147"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Annual Report on Form 10-K for the year ended December 31, 2013;</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Quarterly Report on Form 10-Q for the quarter ended March 31, 2014;</w:t>
      </w:r>
    </w:p>
    <w:p>
      <w:pPr>
        <w:spacing w:after="0" w:line="225" w:lineRule="exact"/>
        <w:rPr>
          <w:rFonts w:ascii="Arial" w:cs="Arial" w:eastAsia="Arial" w:hAnsi="Arial"/>
          <w:sz w:val="18"/>
          <w:szCs w:val="18"/>
          <w:color w:val="auto"/>
        </w:rPr>
      </w:pPr>
    </w:p>
    <w:p>
      <w:pPr>
        <w:ind w:left="660" w:right="2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Company’s Current Reports on Form 8-K filed January 21, 2014, March 12, 2014, and April 21, 2014, excepting any portions of such reports that were furnished but not filed; and</w:t>
      </w:r>
    </w:p>
    <w:p>
      <w:pPr>
        <w:spacing w:after="0" w:line="170" w:lineRule="exact"/>
        <w:rPr>
          <w:rFonts w:ascii="Arial" w:cs="Arial" w:eastAsia="Arial" w:hAnsi="Arial"/>
          <w:sz w:val="18"/>
          <w:szCs w:val="18"/>
          <w:color w:val="auto"/>
        </w:rPr>
      </w:pPr>
    </w:p>
    <w:p>
      <w:pPr>
        <w:ind w:left="660" w:right="52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description of the Company’s common stock contained in its Registration Statement on Form 8-A filed on December 15, 2011, with the Commission pursuant to Section 12 of the Exchange Act together with any amendment or report filed with the Commission for the purpose of updating such description.</w:t>
      </w:r>
    </w:p>
    <w:p>
      <w:pPr>
        <w:spacing w:after="0" w:line="181"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All documents filed by the Company with the Commission pursuant to Sections 13(a), 13(c), 14, or 15(d) of the Exchange Act subsequent to the date of this Registration Statement and prior to the filing of a post-effective amendment which indicates that all securities offered hereby have been sold or which deregisters all securities then remaining unsold, shall be deemed to be incorporated herein by reference and to be a part hereof from the date of filing of such documents. Any statement contained herein or in a document incorporated or deemed to be incorporated by reference herein shall be deemed to be modified or superseded for purposes of this Registration Statement to the extent that a statement contained herein or in any subsequently filed document which is or is deemed to be incorporated by reference herein modifies or supersedes such statement. Any such statements so modified or superseded shall not be deemed, except as so modified or superseded, to constitute a part of this Registration Statement.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Item 4. Description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5. Interests of Named Experts and Counsel</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Joseph F. Hubach, Senior Vice President and General Counsel of the Company, has given an opinion on the validity of the securities being registered. Mr. Hubach is an employee of the Company. He beneficially owns common stock of the Company, and as a participant in the Company’s equity compensation plans, holds options to acquire common stock and restricted stock units that are payable in common stock of the Company. He is eligible to participate in the TI Employees 2014 Stock Purchase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Item 6. Indemnification of Directors and Officers</w:t>
      </w:r>
    </w:p>
    <w:p>
      <w:pPr>
        <w:spacing w:after="0" w:line="225"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General Corporation Law of the State of Delaware, at Section 145, provides, in pertinent part, that a corporation may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officer, employee or agent of the corporation, or is or was serving at the request of the corporation as the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 In addition, the indemnification of expenses (including attorneys’ fees) is allowed in derivative actions, except no indemnification is allowed in respect to any claim, issue or matter as to which any such person has been adjudged to be liable to the corporation, unless and only to the extent that the Court of Chancery or the court in which such action or suit was brought decides that indemnification is proper. To the extent that any such person succeeds on the merits or otherwise, such person shall be indemnified against expenses (including attorneys’ fees) actually and reasonably incurred by such person in connection therewith. The determination that the person to be indemnified met the applicable standard of conduct, if not made by a court and if such person is a director or officer at the time of such determination, is made by the directors of the corporation by a majority vote of the directors not party to such an action, suit or proceeding even though less than a quorum, by a committee of such directors designated by a majority vote of such directors even though less than a quorum, or, if there are no such directors, or if such directors so direct, by independent legal counsel in a written opinion or by the stockholders. Expenses may be paid in advance upon the receipt, in the case of officers and directors, of undertakings to repay such amount if it shall ultimately be determined that the person is not entitled to be indemnified by the corporation as authorized in this section. A corporation may purchase indemnity insurance.</w:t>
      </w:r>
    </w:p>
    <w:p>
      <w:pPr>
        <w:spacing w:after="0" w:line="384"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The above-described indemnification and advancement of expenses, unless otherwise provided when authorized or ratified, continue as to a person who has ceased to be a director, officer, employee or agent and inure to the benefit of such person’s heirs, executors and administrators.</w:t>
      </w:r>
    </w:p>
    <w:p>
      <w:pPr>
        <w:spacing w:after="0" w:line="14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Article VI, Section 2 of the Company’s By-laws provides that the Company shall indemnify its officers and directors for such expenses, judgments, fines and amounts paid in settlement to the full extent permitted by the laws of the State of Delaware.</w:t>
      </w:r>
    </w:p>
    <w:p>
      <w:pPr>
        <w:spacing w:after="0" w:line="170"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Section 102(b)(7) of the Delaware General Corporation Law, as amended, permits a corporation to provide in its certificate of incorporation that a director of the corporation shall not be personally liable to the corporation or its stockholders for monetary damages for breach of fiduciary duty as a director, except for liability (i) for any breach of the director’s duty of loyalty to the corporation or its stockholders, (ii) for acts or omissions not in good faith or which involve intentional misconduct or a knowing violation of law, (iii) under Section 174 of the Delaware General Corporation Law, or (iv) for any transaction from which the director derived an improper personal benefit. Article Seventh of the Company’s Restated Certificate of Incorporation contains such a provision.</w:t>
      </w:r>
    </w:p>
    <w:p>
      <w:pPr>
        <w:sectPr>
          <w:pgSz w:w="11900" w:h="16838" w:orient="portrait"/>
          <w:cols w:equalWidth="0" w:num="1">
            <w:col w:w="11420"/>
          </w:cols>
          <w:pgMar w:left="240" w:top="274" w:right="239" w:bottom="0" w:gutter="0" w:footer="0" w:header="0"/>
        </w:sectPr>
      </w:pPr>
    </w:p>
    <w:bookmarkStart w:id="2" w:name="page3"/>
    <w:bookmarkEnd w:id="2"/>
    <w:p>
      <w:pPr>
        <w:spacing w:after="0" w:line="342" w:lineRule="auto"/>
        <w:rPr>
          <w:sz w:val="20"/>
          <w:szCs w:val="20"/>
          <w:color w:val="auto"/>
        </w:rPr>
      </w:pPr>
      <w:r>
        <w:rPr>
          <w:rFonts w:ascii="Arial" w:cs="Arial" w:eastAsia="Arial" w:hAnsi="Arial"/>
          <w:sz w:val="16"/>
          <w:szCs w:val="16"/>
          <w:color w:val="auto"/>
        </w:rPr>
        <w:t>Under insurance policies of the Company, directors and officers of the Company may be indemnified against certain losses arising from certain claims, including claims under the Securities Act of 1933, which may be made against such persons by reason of their being such directors or officers.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Item 7. Exemption from Registration Claimed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8. Exhibits</w:t>
      </w:r>
    </w:p>
    <w:p>
      <w:pPr>
        <w:spacing w:after="0" w:line="225" w:lineRule="exact"/>
        <w:rPr>
          <w:sz w:val="20"/>
          <w:szCs w:val="20"/>
          <w:color w:val="auto"/>
        </w:rPr>
      </w:pPr>
    </w:p>
    <w:p>
      <w:pPr>
        <w:jc w:val="both"/>
        <w:ind w:left="400" w:right="3780" w:hanging="340"/>
        <w:spacing w:after="0" w:line="256" w:lineRule="auto"/>
        <w:rPr>
          <w:sz w:val="20"/>
          <w:szCs w:val="20"/>
          <w:color w:val="auto"/>
        </w:rPr>
      </w:pPr>
      <w:r>
        <w:rPr>
          <w:rFonts w:ascii="Arial" w:cs="Arial" w:eastAsia="Arial" w:hAnsi="Arial"/>
          <w:sz w:val="18"/>
          <w:szCs w:val="18"/>
          <w:color w:val="auto"/>
        </w:rPr>
        <w:t>4(a) Restated Certificate of Incorporation of the Registrant, dated April 18, 1985 (incorporated by reference to Exhibit 3(a)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-410845</wp:posOffset>
            </wp:positionV>
            <wp:extent cx="4707890"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707890" cy="411480"/>
                    </a:xfrm>
                    <a:prstGeom prst="rect">
                      <a:avLst/>
                    </a:prstGeom>
                    <a:noFill/>
                  </pic:spPr>
                </pic:pic>
              </a:graphicData>
            </a:graphic>
          </wp:anchor>
        </w:drawing>
      </w:r>
    </w:p>
    <w:p>
      <w:pPr>
        <w:ind w:left="60"/>
        <w:spacing w:after="0"/>
        <w:rPr>
          <w:sz w:val="20"/>
          <w:szCs w:val="20"/>
          <w:color w:val="auto"/>
        </w:rPr>
      </w:pPr>
      <w:r>
        <w:rPr>
          <w:rFonts w:ascii="Arial" w:cs="Arial" w:eastAsia="Arial" w:hAnsi="Arial"/>
          <w:sz w:val="18"/>
          <w:szCs w:val="18"/>
          <w:color w:val="auto"/>
        </w:rPr>
        <w:t>4(b) Certificate of Amendment to Restated Certificate of Incorporation of the Registrant, dated April</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16, 1987 (incorporated by reference to Exhibit 3(b) of the Registrant's Annual Report on Form</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10-K for the year ended December 31, 2011).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4(c) Certificate of Amendment to Restated Certificate of Incorporation of the Registrant, dated April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4707890" cy="411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707890" cy="411480"/>
                    </a:xfrm>
                    <a:prstGeom prst="rect">
                      <a:avLst/>
                    </a:prstGeom>
                    <a:noFill/>
                  </pic:spPr>
                </pic:pic>
              </a:graphicData>
            </a:graphic>
          </wp:anchor>
        </w:drawing>
      </w:r>
    </w:p>
    <w:p>
      <w:pPr>
        <w:ind w:left="400"/>
        <w:spacing w:after="0"/>
        <w:rPr>
          <w:sz w:val="20"/>
          <w:szCs w:val="20"/>
          <w:color w:val="auto"/>
        </w:rPr>
      </w:pPr>
      <w:r>
        <w:rPr>
          <w:rFonts w:ascii="Arial" w:cs="Arial" w:eastAsia="Arial" w:hAnsi="Arial"/>
          <w:sz w:val="17"/>
          <w:szCs w:val="17"/>
          <w:color w:val="auto"/>
        </w:rPr>
        <w:t>21, 1988 (incorporated by reference to Exhibit 3(c) of the Registrant's Annual Report on Form</w:t>
      </w:r>
    </w:p>
    <w:p>
      <w:pPr>
        <w:spacing w:after="0" w:line="2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10-K for the year ended December 31, 2011).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4(d) Certificate of Amendment to Restated Certificate of Incorporation of the Registrant, dated April</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18, 1996 (incorporated by reference to Exhibit 3(d) of the Registrant's Annual Report on Form</w:t>
      </w:r>
    </w:p>
    <w:p>
      <w:pPr>
        <w:spacing w:after="0" w:line="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10-K for the year ended December 31, 2011).</w:t>
      </w:r>
    </w:p>
    <w:p>
      <w:pPr>
        <w:spacing w:after="0" w:line="9" w:lineRule="exact"/>
        <w:rPr>
          <w:sz w:val="20"/>
          <w:szCs w:val="20"/>
          <w:color w:val="auto"/>
        </w:rPr>
      </w:pPr>
    </w:p>
    <w:p>
      <w:pPr>
        <w:ind w:left="400" w:right="3680" w:hanging="340"/>
        <w:spacing w:after="0" w:line="250" w:lineRule="auto"/>
        <w:rPr>
          <w:sz w:val="20"/>
          <w:szCs w:val="20"/>
          <w:color w:val="auto"/>
        </w:rPr>
      </w:pPr>
      <w:r>
        <w:rPr>
          <w:rFonts w:ascii="Arial" w:cs="Arial" w:eastAsia="Arial" w:hAnsi="Arial"/>
          <w:sz w:val="18"/>
          <w:szCs w:val="18"/>
          <w:color w:val="auto"/>
        </w:rPr>
        <w:t>4(e) Certificate of Ownership merging Texas Instruments Automation Controls, Inc. into the Registrant, dated March 28, 1988 (incorporated by reference to Exhibit 3(e)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470789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707890" cy="411480"/>
                    </a:xfrm>
                    <a:prstGeom prst="rect">
                      <a:avLst/>
                    </a:prstGeom>
                    <a:noFill/>
                  </pic:spPr>
                </pic:pic>
              </a:graphicData>
            </a:graphic>
          </wp:anchor>
        </w:drawing>
      </w:r>
    </w:p>
    <w:p>
      <w:pPr>
        <w:jc w:val="both"/>
        <w:ind w:left="400" w:right="3560" w:hanging="330"/>
        <w:spacing w:after="0" w:line="250" w:lineRule="auto"/>
        <w:rPr>
          <w:sz w:val="20"/>
          <w:szCs w:val="20"/>
          <w:color w:val="auto"/>
        </w:rPr>
      </w:pPr>
      <w:r>
        <w:rPr>
          <w:rFonts w:ascii="Arial" w:cs="Arial" w:eastAsia="Arial" w:hAnsi="Arial"/>
          <w:sz w:val="18"/>
          <w:szCs w:val="18"/>
          <w:color w:val="auto"/>
        </w:rPr>
        <w:t>4(f) Certificate of Elimination of Designations of Preferred Stock of the Registrant, dated March 18, 1994 (incorporated by reference to Exhibit 3(f) of the Registrant's Annual Report on Form 10-K for the year ended December 31, 2011).</w:t>
      </w:r>
    </w:p>
    <w:p>
      <w:pPr>
        <w:spacing w:after="0" w:line="1" w:lineRule="exact"/>
        <w:rPr>
          <w:sz w:val="20"/>
          <w:szCs w:val="20"/>
          <w:color w:val="auto"/>
        </w:rPr>
      </w:pPr>
    </w:p>
    <w:p>
      <w:pPr>
        <w:jc w:val="both"/>
        <w:ind w:left="400" w:right="3620" w:hanging="345"/>
        <w:spacing w:after="0" w:line="250" w:lineRule="auto"/>
        <w:rPr>
          <w:sz w:val="20"/>
          <w:szCs w:val="20"/>
          <w:color w:val="auto"/>
        </w:rPr>
      </w:pPr>
      <w:r>
        <w:rPr>
          <w:rFonts w:ascii="Arial" w:cs="Arial" w:eastAsia="Arial" w:hAnsi="Arial"/>
          <w:sz w:val="18"/>
          <w:szCs w:val="18"/>
          <w:color w:val="auto"/>
        </w:rPr>
        <w:t>4(g) Certificate of Ownership and Merger merging Tiburon Systems, Inc. into the Registrant, dated November 2, 1995 (incorporated by reference to Exhibit 3(g)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470789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707890" cy="411480"/>
                    </a:xfrm>
                    <a:prstGeom prst="rect">
                      <a:avLst/>
                    </a:prstGeom>
                    <a:noFill/>
                  </pic:spPr>
                </pic:pic>
              </a:graphicData>
            </a:graphic>
          </wp:anchor>
        </w:drawing>
      </w:r>
    </w:p>
    <w:p>
      <w:pPr>
        <w:ind w:left="400" w:right="3520" w:hanging="345"/>
        <w:spacing w:after="0" w:line="250" w:lineRule="auto"/>
        <w:rPr>
          <w:sz w:val="20"/>
          <w:szCs w:val="20"/>
          <w:color w:val="auto"/>
        </w:rPr>
      </w:pPr>
      <w:r>
        <w:rPr>
          <w:rFonts w:ascii="Arial" w:cs="Arial" w:eastAsia="Arial" w:hAnsi="Arial"/>
          <w:sz w:val="18"/>
          <w:szCs w:val="18"/>
          <w:color w:val="auto"/>
        </w:rPr>
        <w:t>4(h) Certificate of Ownership and Merger merging Tartan, Inc. into the Registrant, dated June 21, 1995 (incorporated by reference to Exhibit 3(h) of the Registrant's Annual Report on Form 10-K for the year ended December 31, 2011).</w:t>
      </w:r>
    </w:p>
    <w:p>
      <w:pPr>
        <w:spacing w:after="0" w:line="1" w:lineRule="exact"/>
        <w:rPr>
          <w:sz w:val="20"/>
          <w:szCs w:val="20"/>
          <w:color w:val="auto"/>
        </w:rPr>
      </w:pPr>
    </w:p>
    <w:p>
      <w:pPr>
        <w:jc w:val="both"/>
        <w:ind w:left="400" w:right="3560" w:hanging="325"/>
        <w:spacing w:after="0" w:line="250" w:lineRule="auto"/>
        <w:rPr>
          <w:sz w:val="20"/>
          <w:szCs w:val="20"/>
          <w:color w:val="auto"/>
        </w:rPr>
      </w:pPr>
      <w:r>
        <w:rPr>
          <w:rFonts w:ascii="Arial" w:cs="Arial" w:eastAsia="Arial" w:hAnsi="Arial"/>
          <w:sz w:val="18"/>
          <w:szCs w:val="18"/>
          <w:color w:val="auto"/>
        </w:rPr>
        <w:t>4(i) Certificate of Designation relating to the Registrant's Participating Cumulative Preferred Stock, dated June 23, 1998 (incorporated by reference to Exhibit 3(i)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470789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707890" cy="411480"/>
                    </a:xfrm>
                    <a:prstGeom prst="rect">
                      <a:avLst/>
                    </a:prstGeom>
                    <a:noFill/>
                  </pic:spPr>
                </pic:pic>
              </a:graphicData>
            </a:graphic>
          </wp:anchor>
        </w:drawing>
      </w:r>
    </w:p>
    <w:p>
      <w:pPr>
        <w:ind w:left="400" w:right="3560" w:hanging="325"/>
        <w:spacing w:after="0" w:line="250" w:lineRule="auto"/>
        <w:rPr>
          <w:sz w:val="20"/>
          <w:szCs w:val="20"/>
          <w:color w:val="auto"/>
        </w:rPr>
      </w:pPr>
      <w:r>
        <w:rPr>
          <w:rFonts w:ascii="Arial" w:cs="Arial" w:eastAsia="Arial" w:hAnsi="Arial"/>
          <w:sz w:val="18"/>
          <w:szCs w:val="18"/>
          <w:color w:val="auto"/>
        </w:rPr>
        <w:t>4(j) Certificate of Elimination of Designation of Preferred Stock of the Registrant, dated June 18, 1998 (incorporated by reference to Exhibit 3(j) of the Registrant's Annual Report on Form 10-K for the year ended December 31, 2011).</w:t>
      </w:r>
    </w:p>
    <w:p>
      <w:pPr>
        <w:spacing w:after="0" w:line="1" w:lineRule="exact"/>
        <w:rPr>
          <w:sz w:val="20"/>
          <w:szCs w:val="20"/>
          <w:color w:val="auto"/>
        </w:rPr>
      </w:pPr>
    </w:p>
    <w:p>
      <w:pPr>
        <w:jc w:val="both"/>
        <w:ind w:left="400" w:right="3840" w:hanging="345"/>
        <w:spacing w:after="0" w:line="265" w:lineRule="auto"/>
        <w:rPr>
          <w:sz w:val="20"/>
          <w:szCs w:val="20"/>
          <w:color w:val="auto"/>
        </w:rPr>
      </w:pPr>
      <w:r>
        <w:rPr>
          <w:rFonts w:ascii="Arial" w:cs="Arial" w:eastAsia="Arial" w:hAnsi="Arial"/>
          <w:sz w:val="17"/>
          <w:szCs w:val="17"/>
          <w:color w:val="auto"/>
        </w:rPr>
        <w:t>4(k) Certificate of Ownership and Merger merging Intersect Technologies, Inc. with and into the Registrant, dated July 15, 1999 (incorporated by reference to Exhibit 3(k)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470789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707890" cy="411480"/>
                    </a:xfrm>
                    <a:prstGeom prst="rect">
                      <a:avLst/>
                    </a:prstGeom>
                    <a:noFill/>
                  </pic:spPr>
                </pic:pic>
              </a:graphicData>
            </a:graphic>
          </wp:anchor>
        </w:drawing>
      </w:r>
    </w:p>
    <w:p>
      <w:pPr>
        <w:ind w:left="400" w:right="3540" w:hanging="325"/>
        <w:spacing w:after="0" w:line="250" w:lineRule="auto"/>
        <w:rPr>
          <w:sz w:val="20"/>
          <w:szCs w:val="20"/>
          <w:color w:val="auto"/>
        </w:rPr>
      </w:pPr>
      <w:r>
        <w:rPr>
          <w:rFonts w:ascii="Arial" w:cs="Arial" w:eastAsia="Arial" w:hAnsi="Arial"/>
          <w:sz w:val="18"/>
          <w:szCs w:val="18"/>
          <w:color w:val="auto"/>
        </w:rPr>
        <w:t>4(l) Certificate of Ownership and Merger merging Soft Warehouse, Inc. with and into the Registrant, dated September 23, 1999 (incorporated by reference to Exhibit 3(l) of the Registrant's Annual Report on Form 10-K for the year ended December 31, 2011).</w:t>
      </w:r>
    </w:p>
    <w:p>
      <w:pPr>
        <w:spacing w:after="0" w:line="1" w:lineRule="exact"/>
        <w:rPr>
          <w:sz w:val="20"/>
          <w:szCs w:val="20"/>
          <w:color w:val="auto"/>
        </w:rPr>
      </w:pPr>
    </w:p>
    <w:p>
      <w:pPr>
        <w:jc w:val="both"/>
        <w:ind w:left="400" w:right="3520" w:hanging="370"/>
        <w:spacing w:after="0" w:line="250" w:lineRule="auto"/>
        <w:rPr>
          <w:sz w:val="20"/>
          <w:szCs w:val="20"/>
          <w:color w:val="auto"/>
        </w:rPr>
      </w:pPr>
      <w:r>
        <w:rPr>
          <w:rFonts w:ascii="Arial" w:cs="Arial" w:eastAsia="Arial" w:hAnsi="Arial"/>
          <w:sz w:val="18"/>
          <w:szCs w:val="18"/>
          <w:color w:val="auto"/>
        </w:rPr>
        <w:t>4(m) Certificate of Ownership and Merger merging Silicon Systems, Inc. with and into the Registrant, dated December 17, 1999 (incorporated by reference to Exhibit 3(m)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4707890" cy="4114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707890" cy="411480"/>
                    </a:xfrm>
                    <a:prstGeom prst="rect">
                      <a:avLst/>
                    </a:prstGeom>
                    <a:noFill/>
                  </pic:spPr>
                </pic:pic>
              </a:graphicData>
            </a:graphic>
          </wp:anchor>
        </w:drawing>
      </w:r>
    </w:p>
    <w:p>
      <w:pPr>
        <w:ind w:left="400" w:right="3680" w:hanging="345"/>
        <w:spacing w:after="0" w:line="250" w:lineRule="auto"/>
        <w:rPr>
          <w:sz w:val="20"/>
          <w:szCs w:val="20"/>
          <w:color w:val="auto"/>
        </w:rPr>
      </w:pPr>
      <w:r>
        <w:rPr>
          <w:rFonts w:ascii="Arial" w:cs="Arial" w:eastAsia="Arial" w:hAnsi="Arial"/>
          <w:sz w:val="18"/>
          <w:szCs w:val="18"/>
          <w:color w:val="auto"/>
        </w:rPr>
        <w:t>4(n) Certificate of Amendment to Restated Certificate of Incorporation, dated April 20, 2000 (incorporated by reference to Exhibit 3(n) of the Registrant's Annual Report on Form 10-K for the year ended December 31, 2011).</w:t>
      </w:r>
    </w:p>
    <w:p>
      <w:pPr>
        <w:spacing w:after="0" w:line="1" w:lineRule="exact"/>
        <w:rPr>
          <w:sz w:val="20"/>
          <w:szCs w:val="20"/>
          <w:color w:val="auto"/>
        </w:rPr>
      </w:pPr>
    </w:p>
    <w:p>
      <w:pPr>
        <w:ind w:left="400" w:right="3520" w:hanging="345"/>
        <w:spacing w:after="0" w:line="250" w:lineRule="auto"/>
        <w:rPr>
          <w:sz w:val="20"/>
          <w:szCs w:val="20"/>
          <w:color w:val="auto"/>
        </w:rPr>
      </w:pPr>
      <w:r>
        <w:rPr>
          <w:rFonts w:ascii="Arial" w:cs="Arial" w:eastAsia="Arial" w:hAnsi="Arial"/>
          <w:sz w:val="18"/>
          <w:szCs w:val="18"/>
          <w:color w:val="auto"/>
        </w:rPr>
        <w:t>4(o) Certificate of Ownership and Merger merging Power Trends, Inc. with and into the Registrant, dated May 31, 2001 (incorporated by reference to Exhibit 3(o)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-410210</wp:posOffset>
            </wp:positionV>
            <wp:extent cx="470789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707890" cy="411480"/>
                    </a:xfrm>
                    <a:prstGeom prst="rect">
                      <a:avLst/>
                    </a:prstGeom>
                    <a:noFill/>
                  </pic:spPr>
                </pic:pic>
              </a:graphicData>
            </a:graphic>
          </wp:anchor>
        </w:drawing>
      </w:r>
    </w:p>
    <w:p>
      <w:pPr>
        <w:ind w:left="400" w:right="3500" w:hanging="345"/>
        <w:spacing w:after="0" w:line="265" w:lineRule="auto"/>
        <w:rPr>
          <w:sz w:val="20"/>
          <w:szCs w:val="20"/>
          <w:color w:val="auto"/>
        </w:rPr>
      </w:pPr>
      <w:r>
        <w:rPr>
          <w:rFonts w:ascii="Arial" w:cs="Arial" w:eastAsia="Arial" w:hAnsi="Arial"/>
          <w:sz w:val="17"/>
          <w:szCs w:val="17"/>
          <w:color w:val="auto"/>
        </w:rPr>
        <w:t>4(p) Certificate of Ownership and Merger merging Amati Communications Corporation with and into the Registrant, dated September 28, 2001 (incorporated by reference to Exhibit 3(p) of the Registrant's Annual Report on Form 10-K for the year ended December 31, 2011).</w:t>
      </w:r>
    </w:p>
    <w:p>
      <w:pPr>
        <w:spacing w:after="0" w:line="1" w:lineRule="exact"/>
        <w:rPr>
          <w:sz w:val="20"/>
          <w:szCs w:val="20"/>
          <w:color w:val="auto"/>
        </w:rPr>
      </w:pPr>
    </w:p>
    <w:p>
      <w:pPr>
        <w:jc w:val="both"/>
        <w:ind w:left="400" w:right="3600" w:hanging="345"/>
        <w:spacing w:after="0" w:line="281" w:lineRule="auto"/>
        <w:rPr>
          <w:sz w:val="20"/>
          <w:szCs w:val="20"/>
          <w:color w:val="auto"/>
        </w:rPr>
      </w:pPr>
      <w:r>
        <w:rPr>
          <w:rFonts w:ascii="Arial" w:cs="Arial" w:eastAsia="Arial" w:hAnsi="Arial"/>
          <w:sz w:val="16"/>
          <w:szCs w:val="16"/>
          <w:color w:val="auto"/>
        </w:rPr>
        <w:t>4(q) Certificate of Ownership and Merger merging Texas Instruments San Diego Incorporated with and into the Registrant, dated August 27, 2002 (incorporated by reference to Exhibit 3(q)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-409575</wp:posOffset>
            </wp:positionV>
            <wp:extent cx="4707890" cy="4114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07890" cy="411480"/>
                    </a:xfrm>
                    <a:prstGeom prst="rect">
                      <a:avLst/>
                    </a:prstGeom>
                    <a:noFill/>
                  </pic:spPr>
                </pic:pic>
              </a:graphicData>
            </a:graphic>
          </wp:anchor>
        </w:drawing>
      </w:r>
    </w:p>
    <w:p>
      <w:pPr>
        <w:jc w:val="both"/>
        <w:ind w:left="400" w:right="3660" w:hanging="330"/>
        <w:spacing w:after="0" w:line="281" w:lineRule="auto"/>
        <w:rPr>
          <w:sz w:val="20"/>
          <w:szCs w:val="20"/>
          <w:color w:val="auto"/>
        </w:rPr>
      </w:pPr>
      <w:r>
        <w:rPr>
          <w:rFonts w:ascii="Arial" w:cs="Arial" w:eastAsia="Arial" w:hAnsi="Arial"/>
          <w:sz w:val="16"/>
          <w:szCs w:val="16"/>
          <w:color w:val="auto"/>
        </w:rPr>
        <w:t>4(r) Certificate of Ownership and Merger merging Texas Instruments Burlington Incorporated with and into the Registrant, dated December 31, 2003 (incorporated by reference to Exhibit 3(r) of the Registrant's Annual Report on Form 10-K for the year ended December 31, 2011).</w:t>
      </w:r>
    </w:p>
    <w:p>
      <w:pPr>
        <w:spacing w:after="0" w:line="2" w:lineRule="exact"/>
        <w:rPr>
          <w:sz w:val="20"/>
          <w:szCs w:val="20"/>
          <w:color w:val="auto"/>
        </w:rPr>
      </w:pPr>
    </w:p>
    <w:p>
      <w:pPr>
        <w:ind w:left="400" w:right="3800" w:hanging="335"/>
        <w:spacing w:after="0" w:line="250" w:lineRule="auto"/>
        <w:rPr>
          <w:sz w:val="20"/>
          <w:szCs w:val="20"/>
          <w:color w:val="auto"/>
        </w:rPr>
      </w:pPr>
      <w:r>
        <w:rPr>
          <w:rFonts w:ascii="Arial" w:cs="Arial" w:eastAsia="Arial" w:hAnsi="Arial"/>
          <w:sz w:val="18"/>
          <w:szCs w:val="18"/>
          <w:color w:val="auto"/>
        </w:rPr>
        <w:t>4(s) Certificate of Ownership and Merger merging Texas Instruments Automotive Sensors and Controls San Jose Inc. with and into the Registrant, dated October 31, 2004 (incorporated by reference to Exhibit 3(s)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-546735</wp:posOffset>
            </wp:positionV>
            <wp:extent cx="4707890"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707890" cy="548640"/>
                    </a:xfrm>
                    <a:prstGeom prst="rect">
                      <a:avLst/>
                    </a:prstGeom>
                    <a:noFill/>
                  </pic:spPr>
                </pic:pic>
              </a:graphicData>
            </a:graphic>
          </wp:anchor>
        </w:drawing>
      </w:r>
    </w:p>
    <w:p>
      <w:pPr>
        <w:ind w:left="400" w:right="3520" w:hanging="325"/>
        <w:spacing w:after="0" w:line="281" w:lineRule="auto"/>
        <w:rPr>
          <w:sz w:val="20"/>
          <w:szCs w:val="20"/>
          <w:color w:val="auto"/>
        </w:rPr>
      </w:pPr>
      <w:r>
        <w:rPr>
          <w:rFonts w:ascii="Arial" w:cs="Arial" w:eastAsia="Arial" w:hAnsi="Arial"/>
          <w:sz w:val="16"/>
          <w:szCs w:val="16"/>
          <w:color w:val="auto"/>
        </w:rPr>
        <w:t>4(t) Certificate of Elimination of Series B Participating Cumulative Preferred Stock (incorporated by reference to Exhibit 3 to the Registrant's Current Report on Form 8-K filed June 23, 2008).</w:t>
      </w:r>
    </w:p>
    <w:p>
      <w:pPr>
        <w:spacing w:after="0" w:line="1" w:lineRule="exact"/>
        <w:rPr>
          <w:sz w:val="20"/>
          <w:szCs w:val="20"/>
          <w:color w:val="auto"/>
        </w:rPr>
      </w:pPr>
    </w:p>
    <w:p>
      <w:pPr>
        <w:ind w:left="400" w:right="3800" w:hanging="345"/>
        <w:spacing w:after="0" w:line="250" w:lineRule="auto"/>
        <w:rPr>
          <w:sz w:val="20"/>
          <w:szCs w:val="20"/>
          <w:color w:val="auto"/>
        </w:rPr>
      </w:pPr>
      <w:r>
        <w:rPr>
          <w:rFonts w:ascii="Arial" w:cs="Arial" w:eastAsia="Arial" w:hAnsi="Arial"/>
          <w:sz w:val="18"/>
          <w:szCs w:val="18"/>
          <w:color w:val="auto"/>
        </w:rPr>
        <w:t>4(u) By-Laws of the Registrant (incorporated by reference to Exhibit 3 to the Registrant's Current Report on Form 8-K filed July 18,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4707890" cy="274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707890" cy="274320"/>
                    </a:xfrm>
                    <a:prstGeom prst="rect">
                      <a:avLst/>
                    </a:prstGeom>
                    <a:noFill/>
                  </pic:spPr>
                </pic:pic>
              </a:graphicData>
            </a:graphic>
          </wp:anchor>
        </w:drawing>
      </w:r>
    </w:p>
    <w:p>
      <w:pPr>
        <w:ind w:left="20" w:right="7980" w:firstLine="139"/>
        <w:spacing w:after="0" w:line="281" w:lineRule="auto"/>
        <w:tabs>
          <w:tab w:leader="none" w:pos="406" w:val="left"/>
        </w:tabs>
        <w:numPr>
          <w:ilvl w:val="0"/>
          <w:numId w:val="3"/>
        </w:numPr>
        <w:rPr>
          <w:rFonts w:ascii="Arial" w:cs="Arial" w:eastAsia="Arial" w:hAnsi="Arial"/>
          <w:sz w:val="16"/>
          <w:szCs w:val="16"/>
          <w:color w:val="auto"/>
        </w:rPr>
      </w:pPr>
      <w:r>
        <w:rPr>
          <w:rFonts w:ascii="Arial" w:cs="Arial" w:eastAsia="Arial" w:hAnsi="Arial"/>
          <w:sz w:val="16"/>
          <w:szCs w:val="16"/>
          <w:color w:val="auto"/>
        </w:rPr>
        <w:t>Opinion of Joseph F. Hubach, Esq. 23(a)Consent of Ernst &amp; Young LLP.</w:t>
      </w:r>
    </w:p>
    <w:p>
      <w:pPr>
        <w:spacing w:after="0" w:line="1" w:lineRule="exact"/>
        <w:rPr>
          <w:rFonts w:ascii="Arial" w:cs="Arial" w:eastAsia="Arial" w:hAnsi="Arial"/>
          <w:sz w:val="16"/>
          <w:szCs w:val="16"/>
          <w:color w:val="auto"/>
        </w:rPr>
      </w:pPr>
    </w:p>
    <w:p>
      <w:pPr>
        <w:ind w:left="120" w:right="6260" w:hanging="105"/>
        <w:spacing w:after="0" w:line="290" w:lineRule="auto"/>
        <w:rPr>
          <w:rFonts w:ascii="Arial" w:cs="Arial" w:eastAsia="Arial" w:hAnsi="Arial"/>
          <w:sz w:val="16"/>
          <w:szCs w:val="16"/>
          <w:color w:val="auto"/>
        </w:rPr>
      </w:pPr>
      <w:r>
        <w:rPr>
          <w:rFonts w:ascii="Arial" w:cs="Arial" w:eastAsia="Arial" w:hAnsi="Arial"/>
          <w:sz w:val="17"/>
          <w:szCs w:val="17"/>
          <w:color w:val="auto"/>
        </w:rPr>
        <w:t>23(b)Consent of Joseph F. Hubach, Esq. (included in Exhibit 5). 24 Power of Attorney (included on signature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470789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0789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-161925</wp:posOffset>
            </wp:positionV>
            <wp:extent cx="470789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707890" cy="137160"/>
                    </a:xfrm>
                    <a:prstGeom prst="rect">
                      <a:avLst/>
                    </a:prstGeom>
                    <a:noFill/>
                  </pic:spPr>
                </pic:pic>
              </a:graphicData>
            </a:graphic>
          </wp:anchor>
        </w:drawing>
      </w:r>
    </w:p>
    <w:p>
      <w:pPr>
        <w:sectPr>
          <w:pgSz w:w="11900" w:h="16838" w:orient="portrait"/>
          <w:cols w:equalWidth="0" w:num="1">
            <w:col w:w="10880"/>
          </w:cols>
          <w:pgMar w:left="240" w:top="125" w:right="77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Item 9. Undertakings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hereby undertakes:</w:t>
      </w:r>
    </w:p>
    <w:p>
      <w:pPr>
        <w:spacing w:after="0" w:line="225" w:lineRule="exact"/>
        <w:rPr>
          <w:sz w:val="20"/>
          <w:szCs w:val="20"/>
          <w:color w:val="auto"/>
        </w:rPr>
      </w:pPr>
    </w:p>
    <w:p>
      <w:pPr>
        <w:ind w:left="660" w:right="16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of the securities registered hereby, a post-effective amendment to this registration statement:</w:t>
      </w:r>
    </w:p>
    <w:p>
      <w:pPr>
        <w:spacing w:after="0" w:line="170" w:lineRule="exact"/>
        <w:rPr>
          <w:rFonts w:ascii="Arial" w:cs="Arial" w:eastAsia="Arial" w:hAnsi="Arial"/>
          <w:sz w:val="18"/>
          <w:szCs w:val="18"/>
          <w:color w:val="auto"/>
        </w:rPr>
      </w:pPr>
    </w:p>
    <w:p>
      <w:pPr>
        <w:ind w:left="1140" w:hanging="257"/>
        <w:spacing w:after="0"/>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1140" w:hanging="307"/>
        <w:spacing w:after="0" w:line="264" w:lineRule="auto"/>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and</w:t>
      </w:r>
    </w:p>
    <w:p>
      <w:pPr>
        <w:spacing w:after="0" w:line="181" w:lineRule="exact"/>
        <w:rPr>
          <w:rFonts w:ascii="Arial" w:cs="Arial" w:eastAsia="Arial" w:hAnsi="Arial"/>
          <w:sz w:val="18"/>
          <w:szCs w:val="18"/>
          <w:color w:val="auto"/>
        </w:rPr>
      </w:pPr>
    </w:p>
    <w:p>
      <w:pPr>
        <w:ind w:left="1140" w:hanging="357"/>
        <w:spacing w:after="0" w:line="277" w:lineRule="auto"/>
        <w:tabs>
          <w:tab w:leader="none" w:pos="114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70"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provided, however, that the undertakings set forth in paragraphs 1(i) and 1(ii) above do not apply if the information required to be included in a post-effective amendment by those paragraphs is contained in reports filed or furnished by the Company pursuant to Section 13 or Section 15(d) of the Securities Exchange Act of 1934 that are incorporated by reference in this registration statement.</w:t>
      </w:r>
    </w:p>
    <w:p>
      <w:pPr>
        <w:spacing w:after="0" w:line="181" w:lineRule="exact"/>
        <w:rPr>
          <w:sz w:val="20"/>
          <w:szCs w:val="20"/>
          <w:color w:val="auto"/>
        </w:rPr>
      </w:pPr>
    </w:p>
    <w:p>
      <w:pPr>
        <w:ind w:left="660" w:right="8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Company hereby further undertakes that, for purposes of determining any liability under the Securities Act of 1933,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Company pursuant to the provisions set forth or described in Item 6 of this registration statement, or otherwise, the Company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a successful defense of any action, suit or proceeding) is asserted against the Company by such director, officer or controlling person in connection with the securities registered hereby, the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ectPr>
          <w:pgSz w:w="11900" w:h="16838" w:orient="portrait"/>
          <w:cols w:equalWidth="0" w:num="1">
            <w:col w:w="11420"/>
          </w:cols>
          <w:pgMar w:left="240" w:top="125" w:right="239" w:bottom="1440" w:gutter="0" w:footer="0" w:header="0"/>
        </w:sectPr>
      </w:pPr>
    </w:p>
    <w:bookmarkStart w:id="4" w:name="page5"/>
    <w:bookmarkEnd w:id="4"/>
    <w:p>
      <w:pPr>
        <w:jc w:val="center"/>
        <w:ind w:right="-199"/>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Dallas and State of Texas, on the 5th day of May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KEVIN P. MARCH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450850</wp:posOffset>
            </wp:positionH>
            <wp:positionV relativeFrom="paragraph">
              <wp:posOffset>14605</wp:posOffset>
            </wp:positionV>
            <wp:extent cx="201549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15490" cy="17145"/>
                    </a:xfrm>
                    <a:prstGeom prst="rect">
                      <a:avLst/>
                    </a:prstGeom>
                    <a:noFill/>
                  </pic:spPr>
                </pic:pic>
              </a:graphicData>
            </a:graphic>
          </wp:anchor>
        </w:drawing>
      </w:r>
    </w:p>
    <w:p>
      <w:pPr>
        <w:spacing w:after="0" w:line="3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Kevin P. March</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240"/>
          </w:cols>
          <w:pgMar w:left="240" w:top="517" w:right="419" w:bottom="1440" w:gutter="0" w:footer="0" w:header="0"/>
        </w:sectPr>
      </w:pPr>
    </w:p>
    <w:bookmarkStart w:id="5" w:name="page6"/>
    <w:bookmarkEnd w:id="5"/>
    <w:p>
      <w:pPr>
        <w:jc w:val="center"/>
        <w:ind w:right="-59"/>
        <w:spacing w:after="0"/>
        <w:rPr>
          <w:sz w:val="20"/>
          <w:szCs w:val="20"/>
          <w:color w:val="auto"/>
        </w:rPr>
      </w:pPr>
      <w:r>
        <w:rPr>
          <w:rFonts w:ascii="Arial" w:cs="Arial" w:eastAsia="Arial" w:hAnsi="Arial"/>
          <w:sz w:val="18"/>
          <w:szCs w:val="18"/>
          <w:color w:val="auto"/>
        </w:rPr>
        <w:t>POWER OF ATTORNEY</w:t>
      </w:r>
    </w:p>
    <w:p>
      <w:pPr>
        <w:spacing w:after="0" w:line="200" w:lineRule="exact"/>
        <w:rPr>
          <w:sz w:val="20"/>
          <w:szCs w:val="20"/>
          <w:color w:val="auto"/>
        </w:rPr>
      </w:pPr>
    </w:p>
    <w:p>
      <w:pPr>
        <w:spacing w:after="0" w:line="24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KNOW ALL MEN BY THESE PRESENTS, that the undersigned constitutes and appoints RICHARD K. TEMPLETON, JOSEPH F. HUBACH and KEVIN P. MARCH, and each of them, with full power to act without the others, his or her true and lawful attorneys-in-fact and agents, with full and several power of substitution, for him or her and in his or her name, place and stead, in any and all capacities, to sign the Registration Statement on Form S-8 under the Securities Act of 1933 and any or all amendments or supplements to such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his or her substitutes, may lawfully do or cause to be done by virtue hereof.</w:t>
      </w:r>
    </w:p>
    <w:p>
      <w:pPr>
        <w:spacing w:after="0" w:line="17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indicated on the 16th day of April 2014.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Signature</w:t>
            </w:r>
          </w:p>
        </w:tc>
        <w:tc>
          <w:tcPr>
            <w:tcW w:w="3340" w:type="dxa"/>
            <w:vAlign w:val="bottom"/>
          </w:tcPr>
          <w:p>
            <w:pPr>
              <w:jc w:val="center"/>
              <w:ind w:left="1010"/>
              <w:spacing w:after="0"/>
              <w:rPr>
                <w:sz w:val="20"/>
                <w:szCs w:val="20"/>
                <w:color w:val="auto"/>
              </w:rPr>
            </w:pPr>
            <w:r>
              <w:rPr>
                <w:rFonts w:ascii="Arial" w:cs="Arial" w:eastAsia="Arial" w:hAnsi="Arial"/>
                <w:sz w:val="18"/>
                <w:szCs w:val="18"/>
                <w:b w:val="1"/>
                <w:bCs w:val="1"/>
                <w:color w:val="auto"/>
                <w:w w:val="97"/>
              </w:rPr>
              <w:t>Title</w:t>
            </w:r>
          </w:p>
        </w:tc>
        <w:tc>
          <w:tcPr>
            <w:tcW w:w="0" w:type="dxa"/>
            <w:vAlign w:val="bottom"/>
          </w:tcPr>
          <w:p>
            <w:pPr>
              <w:spacing w:after="0"/>
              <w:rPr>
                <w:sz w:val="1"/>
                <w:szCs w:val="1"/>
                <w:color w:val="auto"/>
              </w:rPr>
            </w:pPr>
          </w:p>
        </w:tc>
      </w:tr>
      <w:tr>
        <w:trPr>
          <w:trHeight w:val="655"/>
        </w:trPr>
        <w:tc>
          <w:tcPr>
            <w:tcW w:w="7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/s/ RALPH W. BABB, JR.</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spacing w:after="0"/>
              <w:rPr>
                <w:sz w:val="20"/>
                <w:szCs w:val="20"/>
                <w:color w:val="auto"/>
              </w:rPr>
            </w:pPr>
            <w:r>
              <w:rPr>
                <w:rFonts w:ascii="Arial" w:cs="Arial" w:eastAsia="Arial" w:hAnsi="Arial"/>
                <w:sz w:val="18"/>
                <w:szCs w:val="18"/>
                <w:color w:val="auto"/>
                <w:w w:val="88"/>
              </w:rPr>
              <w:t>Ralph W. Babb, Jr.</w:t>
            </w:r>
          </w:p>
        </w:tc>
        <w:tc>
          <w:tcPr>
            <w:tcW w:w="334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25"/>
        </w:trPr>
        <w:tc>
          <w:tcPr>
            <w:tcW w:w="7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rPr>
              <w:t>/s/ MARK A. BLINN</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spacing w:after="0"/>
              <w:rPr>
                <w:sz w:val="20"/>
                <w:szCs w:val="20"/>
                <w:color w:val="auto"/>
              </w:rPr>
            </w:pPr>
            <w:r>
              <w:rPr>
                <w:rFonts w:ascii="Arial" w:cs="Arial" w:eastAsia="Arial" w:hAnsi="Arial"/>
                <w:sz w:val="18"/>
                <w:szCs w:val="18"/>
                <w:color w:val="auto"/>
                <w:w w:val="98"/>
              </w:rPr>
              <w:t>Mark A. Blinn</w:t>
            </w:r>
          </w:p>
        </w:tc>
        <w:tc>
          <w:tcPr>
            <w:tcW w:w="334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25"/>
        </w:trPr>
        <w:tc>
          <w:tcPr>
            <w:tcW w:w="7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7"/>
              </w:rPr>
              <w:t>/s/ DANIEL A. CARP</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spacing w:after="0"/>
              <w:rPr>
                <w:sz w:val="20"/>
                <w:szCs w:val="20"/>
                <w:color w:val="auto"/>
              </w:rPr>
            </w:pPr>
            <w:r>
              <w:rPr>
                <w:rFonts w:ascii="Arial" w:cs="Arial" w:eastAsia="Arial" w:hAnsi="Arial"/>
                <w:sz w:val="18"/>
                <w:szCs w:val="18"/>
                <w:color w:val="auto"/>
                <w:w w:val="93"/>
              </w:rPr>
              <w:t>Daniel A. Carp</w:t>
            </w:r>
          </w:p>
        </w:tc>
        <w:tc>
          <w:tcPr>
            <w:tcW w:w="334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25"/>
        </w:trPr>
        <w:tc>
          <w:tcPr>
            <w:tcW w:w="7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/s/ CARRIE S. COX</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spacing w:after="0"/>
              <w:rPr>
                <w:sz w:val="20"/>
                <w:szCs w:val="20"/>
                <w:color w:val="auto"/>
              </w:rPr>
            </w:pPr>
            <w:r>
              <w:rPr>
                <w:rFonts w:ascii="Arial" w:cs="Arial" w:eastAsia="Arial" w:hAnsi="Arial"/>
                <w:sz w:val="18"/>
                <w:szCs w:val="18"/>
                <w:color w:val="auto"/>
                <w:w w:val="90"/>
              </w:rPr>
              <w:t>Carrie S. Cox</w:t>
            </w:r>
          </w:p>
        </w:tc>
        <w:tc>
          <w:tcPr>
            <w:tcW w:w="334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25"/>
        </w:trPr>
        <w:tc>
          <w:tcPr>
            <w:tcW w:w="7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9"/>
              </w:rPr>
              <w:t>/s/ RONALD KIRK</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spacing w:after="0"/>
              <w:rPr>
                <w:sz w:val="20"/>
                <w:szCs w:val="20"/>
                <w:color w:val="auto"/>
              </w:rPr>
            </w:pPr>
            <w:r>
              <w:rPr>
                <w:rFonts w:ascii="Arial" w:cs="Arial" w:eastAsia="Arial" w:hAnsi="Arial"/>
                <w:sz w:val="18"/>
                <w:szCs w:val="18"/>
                <w:color w:val="auto"/>
                <w:w w:val="96"/>
              </w:rPr>
              <w:t>Ronald Kirk</w:t>
            </w:r>
          </w:p>
        </w:tc>
        <w:tc>
          <w:tcPr>
            <w:tcW w:w="3340" w:type="dxa"/>
            <w:vAlign w:val="bottom"/>
          </w:tcPr>
          <w:p>
            <w:pPr>
              <w:jc w:val="center"/>
              <w:ind w:left="85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25"/>
        </w:trPr>
        <w:tc>
          <w:tcPr>
            <w:tcW w:w="7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/s/ PAMELA H. PATSLEY</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spacing w:after="0"/>
              <w:rPr>
                <w:sz w:val="20"/>
                <w:szCs w:val="20"/>
                <w:color w:val="auto"/>
              </w:rPr>
            </w:pPr>
            <w:r>
              <w:rPr>
                <w:rFonts w:ascii="Arial" w:cs="Arial" w:eastAsia="Arial" w:hAnsi="Arial"/>
                <w:sz w:val="18"/>
                <w:szCs w:val="18"/>
                <w:color w:val="auto"/>
                <w:w w:val="87"/>
              </w:rPr>
              <w:t>Pamela H. Patsley</w:t>
            </w:r>
          </w:p>
        </w:tc>
        <w:tc>
          <w:tcPr>
            <w:tcW w:w="334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25"/>
        </w:trPr>
        <w:tc>
          <w:tcPr>
            <w:tcW w:w="7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3"/>
              </w:rPr>
              <w:t>/s/ ROBERT E. SANCHEZ</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spacing w:after="0"/>
              <w:rPr>
                <w:sz w:val="20"/>
                <w:szCs w:val="20"/>
                <w:color w:val="auto"/>
              </w:rPr>
            </w:pPr>
            <w:r>
              <w:rPr>
                <w:rFonts w:ascii="Arial" w:cs="Arial" w:eastAsia="Arial" w:hAnsi="Arial"/>
                <w:sz w:val="18"/>
                <w:szCs w:val="18"/>
                <w:color w:val="auto"/>
                <w:w w:val="88"/>
              </w:rPr>
              <w:t>Robert E. Sanchez</w:t>
            </w:r>
          </w:p>
        </w:tc>
        <w:tc>
          <w:tcPr>
            <w:tcW w:w="334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25"/>
        </w:trPr>
        <w:tc>
          <w:tcPr>
            <w:tcW w:w="7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/s/ WAYNE R. SANDERS</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ind w:right="20"/>
              <w:spacing w:after="0"/>
              <w:rPr>
                <w:sz w:val="20"/>
                <w:szCs w:val="20"/>
                <w:color w:val="auto"/>
              </w:rPr>
            </w:pPr>
            <w:r>
              <w:rPr>
                <w:rFonts w:ascii="Arial" w:cs="Arial" w:eastAsia="Arial" w:hAnsi="Arial"/>
                <w:sz w:val="18"/>
                <w:szCs w:val="18"/>
                <w:color w:val="auto"/>
                <w:w w:val="87"/>
              </w:rPr>
              <w:t>Wayne R. Sanders</w:t>
            </w:r>
          </w:p>
        </w:tc>
        <w:tc>
          <w:tcPr>
            <w:tcW w:w="334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25"/>
        </w:trPr>
        <w:tc>
          <w:tcPr>
            <w:tcW w:w="7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4"/>
              </w:rPr>
              <w:t>/s/ RUTH J. SIMMONS</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spacing w:after="0"/>
              <w:rPr>
                <w:sz w:val="20"/>
                <w:szCs w:val="20"/>
                <w:color w:val="auto"/>
              </w:rPr>
            </w:pPr>
            <w:r>
              <w:rPr>
                <w:rFonts w:ascii="Arial" w:cs="Arial" w:eastAsia="Arial" w:hAnsi="Arial"/>
                <w:sz w:val="18"/>
                <w:szCs w:val="18"/>
                <w:color w:val="auto"/>
                <w:w w:val="88"/>
              </w:rPr>
              <w:t>Ruth J. Simmons</w:t>
            </w:r>
          </w:p>
        </w:tc>
        <w:tc>
          <w:tcPr>
            <w:tcW w:w="334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25"/>
        </w:trPr>
        <w:tc>
          <w:tcPr>
            <w:tcW w:w="75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6"/>
              </w:rPr>
              <w:t>/s/ RICHARD K. TEMPLETON</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54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3"/>
              </w:rPr>
              <w:t>Richard K. Templeton</w:t>
            </w:r>
          </w:p>
        </w:tc>
        <w:tc>
          <w:tcPr>
            <w:tcW w:w="3340" w:type="dxa"/>
            <w:vAlign w:val="bottom"/>
          </w:tcPr>
          <w:p>
            <w:pPr>
              <w:jc w:val="center"/>
              <w:ind w:left="850"/>
              <w:spacing w:after="0" w:line="201" w:lineRule="exact"/>
              <w:rPr>
                <w:sz w:val="20"/>
                <w:szCs w:val="20"/>
                <w:color w:val="auto"/>
              </w:rPr>
            </w:pPr>
            <w:r>
              <w:rPr>
                <w:rFonts w:ascii="Arial" w:cs="Arial" w:eastAsia="Arial" w:hAnsi="Arial"/>
                <w:sz w:val="18"/>
                <w:szCs w:val="18"/>
                <w:color w:val="auto"/>
                <w:w w:val="89"/>
              </w:rPr>
              <w:t>Chairman; President;</w:t>
            </w:r>
          </w:p>
        </w:tc>
        <w:tc>
          <w:tcPr>
            <w:tcW w:w="0" w:type="dxa"/>
            <w:vAlign w:val="bottom"/>
          </w:tcPr>
          <w:p>
            <w:pPr>
              <w:spacing w:after="0"/>
              <w:rPr>
                <w:sz w:val="1"/>
                <w:szCs w:val="1"/>
                <w:color w:val="auto"/>
              </w:rPr>
            </w:pPr>
          </w:p>
        </w:tc>
      </w:tr>
      <w:tr>
        <w:trPr>
          <w:trHeight w:val="230"/>
        </w:trPr>
        <w:tc>
          <w:tcPr>
            <w:tcW w:w="754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/s/ CHRISTINE TODD WHITMAN</w:t>
            </w:r>
          </w:p>
        </w:tc>
        <w:tc>
          <w:tcPr>
            <w:tcW w:w="3340" w:type="dxa"/>
            <w:vAlign w:val="bottom"/>
          </w:tcPr>
          <w:p>
            <w:pPr>
              <w:jc w:val="center"/>
              <w:ind w:left="830"/>
              <w:spacing w:after="0"/>
              <w:rPr>
                <w:sz w:val="20"/>
                <w:szCs w:val="20"/>
                <w:color w:val="auto"/>
              </w:rPr>
            </w:pPr>
            <w:r>
              <w:rPr>
                <w:rFonts w:ascii="Arial" w:cs="Arial" w:eastAsia="Arial" w:hAnsi="Arial"/>
                <w:sz w:val="18"/>
                <w:szCs w:val="18"/>
                <w:color w:val="auto"/>
                <w:w w:val="94"/>
              </w:rPr>
              <w:t>Chief Executive Officer; Director</w:t>
            </w:r>
          </w:p>
        </w:tc>
        <w:tc>
          <w:tcPr>
            <w:tcW w:w="0" w:type="dxa"/>
            <w:vAlign w:val="bottom"/>
          </w:tcPr>
          <w:p>
            <w:pPr>
              <w:spacing w:after="0"/>
              <w:rPr>
                <w:sz w:val="1"/>
                <w:szCs w:val="1"/>
                <w:color w:val="auto"/>
              </w:rPr>
            </w:pPr>
          </w:p>
        </w:tc>
      </w:tr>
      <w:tr>
        <w:trPr>
          <w:trHeight w:val="228"/>
        </w:trPr>
        <w:tc>
          <w:tcPr>
            <w:tcW w:w="7540" w:type="dxa"/>
            <w:vAlign w:val="bottom"/>
            <w:tcBorders>
              <w:bottom w:val="single" w:sz="8" w:color="auto"/>
            </w:tcBorders>
            <w:gridSpan w:val="2"/>
            <w:vMerge w:val="continue"/>
          </w:tcPr>
          <w:p>
            <w:pPr>
              <w:spacing w:after="0"/>
              <w:rPr>
                <w:sz w:val="19"/>
                <w:szCs w:val="19"/>
                <w:color w:val="auto"/>
              </w:rPr>
            </w:pPr>
          </w:p>
        </w:tc>
        <w:tc>
          <w:tcPr>
            <w:tcW w:w="3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540" w:type="dxa"/>
            <w:vAlign w:val="bottom"/>
            <w:gridSpan w:val="2"/>
          </w:tcPr>
          <w:p>
            <w:pPr>
              <w:jc w:val="center"/>
              <w:spacing w:after="0"/>
              <w:rPr>
                <w:sz w:val="20"/>
                <w:szCs w:val="20"/>
                <w:color w:val="auto"/>
              </w:rPr>
            </w:pPr>
            <w:r>
              <w:rPr>
                <w:rFonts w:ascii="Arial" w:cs="Arial" w:eastAsia="Arial" w:hAnsi="Arial"/>
                <w:sz w:val="18"/>
                <w:szCs w:val="18"/>
                <w:color w:val="auto"/>
                <w:w w:val="92"/>
              </w:rPr>
              <w:t>Christine Todd Whitman</w:t>
            </w:r>
          </w:p>
        </w:tc>
        <w:tc>
          <w:tcPr>
            <w:tcW w:w="3340" w:type="dxa"/>
            <w:vAlign w:val="bottom"/>
          </w:tcPr>
          <w:p>
            <w:pPr>
              <w:jc w:val="center"/>
              <w:ind w:left="1010"/>
              <w:spacing w:after="0"/>
              <w:rPr>
                <w:sz w:val="20"/>
                <w:szCs w:val="20"/>
                <w:color w:val="auto"/>
              </w:rPr>
            </w:pPr>
            <w:r>
              <w:rPr>
                <w:rFonts w:ascii="Arial" w:cs="Arial" w:eastAsia="Arial" w:hAnsi="Arial"/>
                <w:sz w:val="18"/>
                <w:szCs w:val="18"/>
                <w:color w:val="auto"/>
                <w:w w:val="95"/>
              </w:rPr>
              <w:t>Director</w:t>
            </w:r>
          </w:p>
        </w:tc>
        <w:tc>
          <w:tcPr>
            <w:tcW w:w="0" w:type="dxa"/>
            <w:vAlign w:val="bottom"/>
          </w:tcPr>
          <w:p>
            <w:pPr>
              <w:spacing w:after="0"/>
              <w:rPr>
                <w:sz w:val="1"/>
                <w:szCs w:val="1"/>
                <w:color w:val="auto"/>
              </w:rPr>
            </w:pPr>
          </w:p>
        </w:tc>
      </w:tr>
      <w:tr>
        <w:trPr>
          <w:trHeight w:val="452"/>
        </w:trPr>
        <w:tc>
          <w:tcPr>
            <w:tcW w:w="7540" w:type="dxa"/>
            <w:vAlign w:val="bottom"/>
            <w:gridSpan w:val="2"/>
          </w:tcPr>
          <w:p>
            <w:pPr>
              <w:jc w:val="center"/>
              <w:ind w:right="20"/>
              <w:spacing w:after="0"/>
              <w:rPr>
                <w:sz w:val="20"/>
                <w:szCs w:val="20"/>
                <w:color w:val="auto"/>
              </w:rPr>
            </w:pPr>
            <w:r>
              <w:rPr>
                <w:rFonts w:ascii="Arial" w:cs="Arial" w:eastAsia="Arial" w:hAnsi="Arial"/>
                <w:sz w:val="18"/>
                <w:szCs w:val="18"/>
                <w:color w:val="auto"/>
                <w:w w:val="95"/>
              </w:rPr>
              <w:t>/s/ KEVIN P. MARCH</w:t>
            </w:r>
          </w:p>
        </w:tc>
        <w:tc>
          <w:tcPr>
            <w:tcW w:w="3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75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1"/>
              </w:rPr>
              <w:t>Kevin P. March</w:t>
            </w:r>
          </w:p>
        </w:tc>
        <w:tc>
          <w:tcPr>
            <w:tcW w:w="20" w:type="dxa"/>
            <w:vAlign w:val="bottom"/>
          </w:tcPr>
          <w:p>
            <w:pPr>
              <w:spacing w:after="0"/>
              <w:rPr>
                <w:sz w:val="17"/>
                <w:szCs w:val="17"/>
                <w:color w:val="auto"/>
              </w:rPr>
            </w:pPr>
          </w:p>
        </w:tc>
        <w:tc>
          <w:tcPr>
            <w:tcW w:w="3340" w:type="dxa"/>
            <w:vAlign w:val="bottom"/>
          </w:tcPr>
          <w:p>
            <w:pPr>
              <w:jc w:val="center"/>
              <w:ind w:left="1030"/>
              <w:spacing w:after="0" w:line="201" w:lineRule="exact"/>
              <w:rPr>
                <w:sz w:val="20"/>
                <w:szCs w:val="20"/>
                <w:color w:val="auto"/>
              </w:rPr>
            </w:pPr>
            <w:r>
              <w:rPr>
                <w:rFonts w:ascii="Arial" w:cs="Arial" w:eastAsia="Arial" w:hAnsi="Arial"/>
                <w:sz w:val="18"/>
                <w:szCs w:val="18"/>
                <w:color w:val="auto"/>
                <w:w w:val="90"/>
              </w:rPr>
              <w:t>Senior Vice President;</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40" w:type="dxa"/>
            <w:vAlign w:val="bottom"/>
          </w:tcPr>
          <w:p>
            <w:pPr>
              <w:jc w:val="center"/>
              <w:ind w:left="850"/>
              <w:spacing w:after="0"/>
              <w:rPr>
                <w:sz w:val="20"/>
                <w:szCs w:val="20"/>
                <w:color w:val="auto"/>
              </w:rPr>
            </w:pPr>
            <w:r>
              <w:rPr>
                <w:rFonts w:ascii="Arial" w:cs="Arial" w:eastAsia="Arial" w:hAnsi="Arial"/>
                <w:sz w:val="18"/>
                <w:szCs w:val="18"/>
                <w:color w:val="auto"/>
                <w:w w:val="94"/>
              </w:rPr>
              <w:t>Chief Financial Officer;</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340" w:type="dxa"/>
            <w:vAlign w:val="bottom"/>
          </w:tcPr>
          <w:p>
            <w:pPr>
              <w:jc w:val="center"/>
              <w:ind w:left="1010"/>
              <w:spacing w:after="0"/>
              <w:rPr>
                <w:sz w:val="20"/>
                <w:szCs w:val="20"/>
                <w:color w:val="auto"/>
              </w:rPr>
            </w:pPr>
            <w:r>
              <w:rPr>
                <w:rFonts w:ascii="Arial" w:cs="Arial" w:eastAsia="Arial" w:hAnsi="Arial"/>
                <w:sz w:val="18"/>
                <w:szCs w:val="18"/>
                <w:color w:val="auto"/>
                <w:w w:val="94"/>
              </w:rPr>
              <w:t>Chief Accounting Officer</w:t>
            </w:r>
          </w:p>
        </w:tc>
        <w:tc>
          <w:tcPr>
            <w:tcW w:w="0" w:type="dxa"/>
            <w:vAlign w:val="bottom"/>
          </w:tcPr>
          <w:p>
            <w:pPr>
              <w:spacing w:after="0"/>
              <w:rPr>
                <w:sz w:val="1"/>
                <w:szCs w:val="1"/>
                <w:color w:val="auto"/>
              </w:rPr>
            </w:pPr>
          </w:p>
        </w:tc>
      </w:tr>
    </w:tbl>
    <w:p>
      <w:pPr>
        <w:sectPr>
          <w:pgSz w:w="11900" w:h="16838" w:orient="portrait"/>
          <w:cols w:equalWidth="0" w:num="1">
            <w:col w:w="11360"/>
          </w:cols>
          <w:pgMar w:left="240" w:top="517" w:right="299" w:bottom="1440" w:gutter="0" w:footer="0" w:header="0"/>
        </w:sectPr>
      </w:pPr>
    </w:p>
    <w:bookmarkStart w:id="6" w:name="page7"/>
    <w:bookmarkEnd w:id="6"/>
    <w:p>
      <w:pPr>
        <w:ind w:left="4840"/>
        <w:spacing w:after="0"/>
        <w:rPr>
          <w:sz w:val="20"/>
          <w:szCs w:val="20"/>
          <w:color w:val="auto"/>
        </w:rPr>
      </w:pPr>
      <w:r>
        <w:rPr>
          <w:rFonts w:ascii="Arial" w:cs="Arial" w:eastAsia="Arial" w:hAnsi="Arial"/>
          <w:sz w:val="18"/>
          <w:szCs w:val="18"/>
          <w:color w:val="auto"/>
        </w:rPr>
        <w:t>INDEX TO EXHIBITS</w:t>
      </w: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u w:val="single" w:color="auto"/>
          <w:color w:val="auto"/>
        </w:rPr>
        <w:t>Number</w:t>
      </w:r>
      <w:r>
        <w:rPr>
          <w:sz w:val="20"/>
          <w:szCs w:val="20"/>
          <w:color w:val="auto"/>
        </w:rPr>
        <w:tab/>
      </w:r>
      <w:r>
        <w:rPr>
          <w:rFonts w:ascii="Arial" w:cs="Arial" w:eastAsia="Arial" w:hAnsi="Arial"/>
          <w:sz w:val="17"/>
          <w:szCs w:val="17"/>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498475</wp:posOffset>
            </wp:positionH>
            <wp:positionV relativeFrom="paragraph">
              <wp:posOffset>5715</wp:posOffset>
            </wp:positionV>
            <wp:extent cx="49225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22520" cy="17145"/>
                    </a:xfrm>
                    <a:prstGeom prst="rect">
                      <a:avLst/>
                    </a:prstGeom>
                    <a:noFill/>
                  </pic:spPr>
                </pic:pic>
              </a:graphicData>
            </a:graphic>
          </wp:anchor>
        </w:drawing>
      </w:r>
    </w:p>
    <w:p>
      <w:pPr>
        <w:spacing w:after="0" w:line="2" w:lineRule="exact"/>
        <w:rPr>
          <w:sz w:val="20"/>
          <w:szCs w:val="20"/>
          <w:color w:val="auto"/>
        </w:rPr>
      </w:pPr>
    </w:p>
    <w:p>
      <w:pPr>
        <w:ind w:left="780" w:right="1799" w:hanging="619"/>
        <w:spacing w:after="0" w:line="291" w:lineRule="auto"/>
        <w:tabs>
          <w:tab w:leader="none" w:pos="760" w:val="left"/>
        </w:tabs>
        <w:rPr>
          <w:sz w:val="20"/>
          <w:szCs w:val="20"/>
          <w:color w:val="auto"/>
        </w:rPr>
      </w:pPr>
      <w:r>
        <w:rPr>
          <w:rFonts w:ascii="Arial" w:cs="Arial" w:eastAsia="Arial" w:hAnsi="Arial"/>
          <w:sz w:val="16"/>
          <w:szCs w:val="16"/>
          <w:color w:val="auto"/>
        </w:rPr>
        <w:t>4(a)</w:t>
      </w:r>
      <w:r>
        <w:rPr>
          <w:sz w:val="20"/>
          <w:szCs w:val="20"/>
          <w:color w:val="auto"/>
        </w:rPr>
        <w:tab/>
      </w:r>
      <w:r>
        <w:rPr>
          <w:rFonts w:ascii="Arial" w:cs="Arial" w:eastAsia="Arial" w:hAnsi="Arial"/>
          <w:sz w:val="16"/>
          <w:szCs w:val="16"/>
          <w:color w:val="auto"/>
        </w:rPr>
        <w:t>Restated Certificate of Incorporation of the Registrant, dated April 18, 1985 (incorporated by reference to Exhibit 3(a)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5428615"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28615" cy="274320"/>
                    </a:xfrm>
                    <a:prstGeom prst="rect">
                      <a:avLst/>
                    </a:prstGeom>
                    <a:noFill/>
                  </pic:spPr>
                </pic:pic>
              </a:graphicData>
            </a:graphic>
          </wp:anchor>
        </w:drawing>
      </w:r>
    </w:p>
    <w:p>
      <w:pPr>
        <w:ind w:left="780" w:right="1819" w:hanging="619"/>
        <w:spacing w:after="0" w:line="250" w:lineRule="auto"/>
        <w:tabs>
          <w:tab w:leader="none" w:pos="760" w:val="left"/>
        </w:tabs>
        <w:rPr>
          <w:sz w:val="20"/>
          <w:szCs w:val="20"/>
          <w:color w:val="auto"/>
        </w:rPr>
      </w:pPr>
      <w:r>
        <w:rPr>
          <w:rFonts w:ascii="Arial" w:cs="Arial" w:eastAsia="Arial" w:hAnsi="Arial"/>
          <w:sz w:val="18"/>
          <w:szCs w:val="18"/>
          <w:color w:val="auto"/>
        </w:rPr>
        <w:t>4(b)</w:t>
      </w:r>
      <w:r>
        <w:rPr>
          <w:sz w:val="20"/>
          <w:szCs w:val="20"/>
          <w:color w:val="auto"/>
        </w:rPr>
        <w:tab/>
      </w:r>
      <w:r>
        <w:rPr>
          <w:rFonts w:ascii="Arial" w:cs="Arial" w:eastAsia="Arial" w:hAnsi="Arial"/>
          <w:sz w:val="18"/>
          <w:szCs w:val="18"/>
          <w:color w:val="auto"/>
        </w:rPr>
        <w:t>Certificate of Amendment to Restated Certificate of Incorporation of the Registrant, dated April 16, 1987 (incorporated by reference to Exhibit 3(b) of the Registrant's Annual Report on Form 10-K for the year ended December 31, 2011).</w:t>
      </w:r>
    </w:p>
    <w:p>
      <w:pPr>
        <w:spacing w:after="0" w:line="1" w:lineRule="exact"/>
        <w:rPr>
          <w:sz w:val="20"/>
          <w:szCs w:val="20"/>
          <w:color w:val="auto"/>
        </w:rPr>
      </w:pPr>
    </w:p>
    <w:p>
      <w:pPr>
        <w:ind w:left="780" w:right="1819" w:hanging="619"/>
        <w:spacing w:after="0" w:line="250" w:lineRule="auto"/>
        <w:tabs>
          <w:tab w:leader="none" w:pos="760" w:val="left"/>
        </w:tabs>
        <w:rPr>
          <w:sz w:val="20"/>
          <w:szCs w:val="20"/>
          <w:color w:val="auto"/>
        </w:rPr>
      </w:pPr>
      <w:r>
        <w:rPr>
          <w:rFonts w:ascii="Arial" w:cs="Arial" w:eastAsia="Arial" w:hAnsi="Arial"/>
          <w:sz w:val="18"/>
          <w:szCs w:val="18"/>
          <w:color w:val="auto"/>
        </w:rPr>
        <w:t>4(c)</w:t>
      </w:r>
      <w:r>
        <w:rPr>
          <w:sz w:val="20"/>
          <w:szCs w:val="20"/>
          <w:color w:val="auto"/>
        </w:rPr>
        <w:tab/>
      </w:r>
      <w:r>
        <w:rPr>
          <w:rFonts w:ascii="Arial" w:cs="Arial" w:eastAsia="Arial" w:hAnsi="Arial"/>
          <w:sz w:val="18"/>
          <w:szCs w:val="18"/>
          <w:color w:val="auto"/>
        </w:rPr>
        <w:t>Certificate of Amendment to Restated Certificate of Incorporation of the Registrant, dated April 21, 1988 (incorporated by reference to Exhibit 3(c)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5428615" cy="4114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28615" cy="411480"/>
                    </a:xfrm>
                    <a:prstGeom prst="rect">
                      <a:avLst/>
                    </a:prstGeom>
                    <a:noFill/>
                  </pic:spPr>
                </pic:pic>
              </a:graphicData>
            </a:graphic>
          </wp:anchor>
        </w:drawing>
      </w:r>
    </w:p>
    <w:p>
      <w:pPr>
        <w:ind w:left="780" w:right="1819" w:hanging="619"/>
        <w:spacing w:after="0" w:line="250" w:lineRule="auto"/>
        <w:tabs>
          <w:tab w:leader="none" w:pos="760" w:val="left"/>
        </w:tabs>
        <w:rPr>
          <w:sz w:val="20"/>
          <w:szCs w:val="20"/>
          <w:color w:val="auto"/>
        </w:rPr>
      </w:pPr>
      <w:r>
        <w:rPr>
          <w:rFonts w:ascii="Arial" w:cs="Arial" w:eastAsia="Arial" w:hAnsi="Arial"/>
          <w:sz w:val="18"/>
          <w:szCs w:val="18"/>
          <w:color w:val="auto"/>
        </w:rPr>
        <w:t>4(d)</w:t>
      </w:r>
      <w:r>
        <w:rPr>
          <w:sz w:val="20"/>
          <w:szCs w:val="20"/>
          <w:color w:val="auto"/>
        </w:rPr>
        <w:tab/>
      </w:r>
      <w:r>
        <w:rPr>
          <w:rFonts w:ascii="Arial" w:cs="Arial" w:eastAsia="Arial" w:hAnsi="Arial"/>
          <w:sz w:val="18"/>
          <w:szCs w:val="18"/>
          <w:color w:val="auto"/>
        </w:rPr>
        <w:t>Certificate of Amendment to Restated Certificate of Incorporation of the Registrant, dated April 18, 1996 (incorporated by reference to Exhibit 3(d) of the Registrant's Annual Report on Form 10-K for the year ended December 31, 2011).</w:t>
      </w:r>
    </w:p>
    <w:p>
      <w:pPr>
        <w:spacing w:after="0" w:line="1" w:lineRule="exact"/>
        <w:rPr>
          <w:sz w:val="20"/>
          <w:szCs w:val="20"/>
          <w:color w:val="auto"/>
        </w:rPr>
      </w:pPr>
    </w:p>
    <w:p>
      <w:pPr>
        <w:ind w:left="780" w:right="1679" w:hanging="619"/>
        <w:spacing w:after="0" w:line="250" w:lineRule="auto"/>
        <w:tabs>
          <w:tab w:leader="none" w:pos="760" w:val="left"/>
        </w:tabs>
        <w:rPr>
          <w:sz w:val="20"/>
          <w:szCs w:val="20"/>
          <w:color w:val="auto"/>
        </w:rPr>
      </w:pPr>
      <w:r>
        <w:rPr>
          <w:rFonts w:ascii="Arial" w:cs="Arial" w:eastAsia="Arial" w:hAnsi="Arial"/>
          <w:sz w:val="18"/>
          <w:szCs w:val="18"/>
          <w:color w:val="auto"/>
        </w:rPr>
        <w:t>4(e)</w:t>
      </w:r>
      <w:r>
        <w:rPr>
          <w:sz w:val="20"/>
          <w:szCs w:val="20"/>
          <w:color w:val="auto"/>
        </w:rPr>
        <w:tab/>
      </w:r>
      <w:r>
        <w:rPr>
          <w:rFonts w:ascii="Arial" w:cs="Arial" w:eastAsia="Arial" w:hAnsi="Arial"/>
          <w:sz w:val="18"/>
          <w:szCs w:val="18"/>
          <w:color w:val="auto"/>
        </w:rPr>
        <w:t>Certificate of Ownership merging Texas Instruments Automation Controls, Inc. into the Registrant, dated March 28, 1988 (incorporated by reference to Exhibit 3(e)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5428615" cy="4114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28615" cy="411480"/>
                    </a:xfrm>
                    <a:prstGeom prst="rect">
                      <a:avLst/>
                    </a:prstGeom>
                    <a:noFill/>
                  </pic:spPr>
                </pic:pic>
              </a:graphicData>
            </a:graphic>
          </wp:anchor>
        </w:drawing>
      </w:r>
    </w:p>
    <w:p>
      <w:pPr>
        <w:jc w:val="both"/>
        <w:ind w:left="780" w:right="2019" w:hanging="599"/>
        <w:spacing w:after="0" w:line="250" w:lineRule="auto"/>
        <w:tabs>
          <w:tab w:leader="none" w:pos="760" w:val="left"/>
        </w:tabs>
        <w:rPr>
          <w:sz w:val="20"/>
          <w:szCs w:val="20"/>
          <w:color w:val="auto"/>
        </w:rPr>
      </w:pPr>
      <w:r>
        <w:rPr>
          <w:rFonts w:ascii="Arial" w:cs="Arial" w:eastAsia="Arial" w:hAnsi="Arial"/>
          <w:sz w:val="18"/>
          <w:szCs w:val="18"/>
          <w:color w:val="auto"/>
        </w:rPr>
        <w:t>4(f)</w:t>
      </w:r>
      <w:r>
        <w:rPr>
          <w:sz w:val="20"/>
          <w:szCs w:val="20"/>
          <w:color w:val="auto"/>
        </w:rPr>
        <w:tab/>
      </w:r>
      <w:r>
        <w:rPr>
          <w:rFonts w:ascii="Arial" w:cs="Arial" w:eastAsia="Arial" w:hAnsi="Arial"/>
          <w:sz w:val="18"/>
          <w:szCs w:val="18"/>
          <w:color w:val="auto"/>
        </w:rPr>
        <w:t>Certificate of Elimination of Designations of Preferred Stock of the Registrant, dated March 18, 1994 (incorporated by reference to Exhibit 3(f) of the Registrant's Annual Report on Form 10-K for the year ended December 31, 2011).</w:t>
      </w:r>
    </w:p>
    <w:p>
      <w:pPr>
        <w:spacing w:after="0" w:line="1" w:lineRule="exact"/>
        <w:rPr>
          <w:sz w:val="20"/>
          <w:szCs w:val="20"/>
          <w:color w:val="auto"/>
        </w:rPr>
      </w:pPr>
    </w:p>
    <w:p>
      <w:pPr>
        <w:jc w:val="both"/>
        <w:ind w:left="780" w:right="1759" w:hanging="619"/>
        <w:spacing w:after="0" w:line="250" w:lineRule="auto"/>
        <w:tabs>
          <w:tab w:leader="none" w:pos="760" w:val="left"/>
        </w:tabs>
        <w:rPr>
          <w:sz w:val="20"/>
          <w:szCs w:val="20"/>
          <w:color w:val="auto"/>
        </w:rPr>
      </w:pPr>
      <w:r>
        <w:rPr>
          <w:rFonts w:ascii="Arial" w:cs="Arial" w:eastAsia="Arial" w:hAnsi="Arial"/>
          <w:sz w:val="18"/>
          <w:szCs w:val="18"/>
          <w:color w:val="auto"/>
        </w:rPr>
        <w:t>4(g)</w:t>
      </w:r>
      <w:r>
        <w:rPr>
          <w:sz w:val="20"/>
          <w:szCs w:val="20"/>
          <w:color w:val="auto"/>
        </w:rPr>
        <w:tab/>
      </w:r>
      <w:r>
        <w:rPr>
          <w:rFonts w:ascii="Arial" w:cs="Arial" w:eastAsia="Arial" w:hAnsi="Arial"/>
          <w:sz w:val="18"/>
          <w:szCs w:val="18"/>
          <w:color w:val="auto"/>
        </w:rPr>
        <w:t>Certificate of Ownership and Merger merging Tiburon Systems, Inc. into the Registrant, dated November 2, 1995 (incorporated by reference to Exhibit 3(g)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5428615" cy="4114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28615" cy="411480"/>
                    </a:xfrm>
                    <a:prstGeom prst="rect">
                      <a:avLst/>
                    </a:prstGeom>
                    <a:noFill/>
                  </pic:spPr>
                </pic:pic>
              </a:graphicData>
            </a:graphic>
          </wp:anchor>
        </w:drawing>
      </w:r>
    </w:p>
    <w:p>
      <w:pPr>
        <w:ind w:left="780" w:right="1999" w:hanging="619"/>
        <w:spacing w:after="0" w:line="250" w:lineRule="auto"/>
        <w:tabs>
          <w:tab w:leader="none" w:pos="760" w:val="left"/>
        </w:tabs>
        <w:rPr>
          <w:sz w:val="20"/>
          <w:szCs w:val="20"/>
          <w:color w:val="auto"/>
        </w:rPr>
      </w:pPr>
      <w:r>
        <w:rPr>
          <w:rFonts w:ascii="Arial" w:cs="Arial" w:eastAsia="Arial" w:hAnsi="Arial"/>
          <w:sz w:val="18"/>
          <w:szCs w:val="18"/>
          <w:color w:val="auto"/>
        </w:rPr>
        <w:t>4(h)</w:t>
      </w:r>
      <w:r>
        <w:rPr>
          <w:sz w:val="20"/>
          <w:szCs w:val="20"/>
          <w:color w:val="auto"/>
        </w:rPr>
        <w:tab/>
      </w:r>
      <w:r>
        <w:rPr>
          <w:rFonts w:ascii="Arial" w:cs="Arial" w:eastAsia="Arial" w:hAnsi="Arial"/>
          <w:sz w:val="18"/>
          <w:szCs w:val="18"/>
          <w:color w:val="auto"/>
        </w:rPr>
        <w:t>Certificate of Ownership and Merger merging Tartan, Inc. into the Registrant, dated June 21, 1995 (incorporated by reference to Exhibit 3(h) of the Registrant's Annual Report on Form 10-K for the year ended December 31, 2011).</w:t>
      </w:r>
    </w:p>
    <w:p>
      <w:pPr>
        <w:spacing w:after="0" w:line="1" w:lineRule="exact"/>
        <w:rPr>
          <w:sz w:val="20"/>
          <w:szCs w:val="20"/>
          <w:color w:val="auto"/>
        </w:rPr>
      </w:pPr>
    </w:p>
    <w:p>
      <w:pPr>
        <w:jc w:val="both"/>
        <w:ind w:left="780" w:right="1719" w:hanging="599"/>
        <w:spacing w:after="0" w:line="250" w:lineRule="auto"/>
        <w:tabs>
          <w:tab w:leader="none" w:pos="760" w:val="left"/>
        </w:tabs>
        <w:rPr>
          <w:sz w:val="20"/>
          <w:szCs w:val="20"/>
          <w:color w:val="auto"/>
        </w:rPr>
      </w:pPr>
      <w:r>
        <w:rPr>
          <w:rFonts w:ascii="Arial" w:cs="Arial" w:eastAsia="Arial" w:hAnsi="Arial"/>
          <w:sz w:val="18"/>
          <w:szCs w:val="18"/>
          <w:color w:val="auto"/>
        </w:rPr>
        <w:t>4(i)</w:t>
      </w:r>
      <w:r>
        <w:rPr>
          <w:sz w:val="20"/>
          <w:szCs w:val="20"/>
          <w:color w:val="auto"/>
        </w:rPr>
        <w:tab/>
      </w:r>
      <w:r>
        <w:rPr>
          <w:rFonts w:ascii="Arial" w:cs="Arial" w:eastAsia="Arial" w:hAnsi="Arial"/>
          <w:sz w:val="18"/>
          <w:szCs w:val="18"/>
          <w:color w:val="auto"/>
        </w:rPr>
        <w:t>Certificate of Designation relating to the Registrant's Participating Cumulative Preferred Stock, dated June 23, 1998 (incorporated by reference to Exhibit 3(i)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5428615" cy="4114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28615" cy="411480"/>
                    </a:xfrm>
                    <a:prstGeom prst="rect">
                      <a:avLst/>
                    </a:prstGeom>
                    <a:noFill/>
                  </pic:spPr>
                </pic:pic>
              </a:graphicData>
            </a:graphic>
          </wp:anchor>
        </w:drawing>
      </w:r>
    </w:p>
    <w:p>
      <w:pPr>
        <w:ind w:left="780" w:right="2039" w:hanging="599"/>
        <w:spacing w:after="0" w:line="250" w:lineRule="auto"/>
        <w:tabs>
          <w:tab w:leader="none" w:pos="760" w:val="left"/>
        </w:tabs>
        <w:rPr>
          <w:sz w:val="20"/>
          <w:szCs w:val="20"/>
          <w:color w:val="auto"/>
        </w:rPr>
      </w:pPr>
      <w:r>
        <w:rPr>
          <w:rFonts w:ascii="Arial" w:cs="Arial" w:eastAsia="Arial" w:hAnsi="Arial"/>
          <w:sz w:val="18"/>
          <w:szCs w:val="18"/>
          <w:color w:val="auto"/>
        </w:rPr>
        <w:t>4(j)</w:t>
      </w:r>
      <w:r>
        <w:rPr>
          <w:sz w:val="20"/>
          <w:szCs w:val="20"/>
          <w:color w:val="auto"/>
        </w:rPr>
        <w:tab/>
      </w:r>
      <w:r>
        <w:rPr>
          <w:rFonts w:ascii="Arial" w:cs="Arial" w:eastAsia="Arial" w:hAnsi="Arial"/>
          <w:sz w:val="18"/>
          <w:szCs w:val="18"/>
          <w:color w:val="auto"/>
        </w:rPr>
        <w:t>Certificate of Elimination of Designation of Preferred Stock of the Registrant, dated June 18, 1998 (incorporated by reference to Exhibit 3(j) of the Registrant's Annual Report on Form 10-K for the year ended December 31, 2011).</w:t>
      </w:r>
    </w:p>
    <w:p>
      <w:pPr>
        <w:spacing w:after="0" w:line="1" w:lineRule="exact"/>
        <w:rPr>
          <w:sz w:val="20"/>
          <w:szCs w:val="20"/>
          <w:color w:val="auto"/>
        </w:rPr>
      </w:pPr>
    </w:p>
    <w:p>
      <w:pPr>
        <w:ind w:left="780" w:right="1819" w:hanging="619"/>
        <w:spacing w:after="0" w:line="250" w:lineRule="auto"/>
        <w:tabs>
          <w:tab w:leader="none" w:pos="760" w:val="left"/>
        </w:tabs>
        <w:rPr>
          <w:sz w:val="20"/>
          <w:szCs w:val="20"/>
          <w:color w:val="auto"/>
        </w:rPr>
      </w:pPr>
      <w:r>
        <w:rPr>
          <w:rFonts w:ascii="Arial" w:cs="Arial" w:eastAsia="Arial" w:hAnsi="Arial"/>
          <w:sz w:val="18"/>
          <w:szCs w:val="18"/>
          <w:color w:val="auto"/>
        </w:rPr>
        <w:t>4(k)</w:t>
      </w:r>
      <w:r>
        <w:rPr>
          <w:sz w:val="20"/>
          <w:szCs w:val="20"/>
          <w:color w:val="auto"/>
        </w:rPr>
        <w:tab/>
      </w:r>
      <w:r>
        <w:rPr>
          <w:rFonts w:ascii="Arial" w:cs="Arial" w:eastAsia="Arial" w:hAnsi="Arial"/>
          <w:sz w:val="18"/>
          <w:szCs w:val="18"/>
          <w:color w:val="auto"/>
        </w:rPr>
        <w:t>Certificate of Ownership and Merger merging Intersect Technologies, Inc. with and into the Registrant, dated July 15, 1999 (incorporated by reference to Exhibit 3(k)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5428615" cy="4114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428615" cy="411480"/>
                    </a:xfrm>
                    <a:prstGeom prst="rect">
                      <a:avLst/>
                    </a:prstGeom>
                    <a:noFill/>
                  </pic:spPr>
                </pic:pic>
              </a:graphicData>
            </a:graphic>
          </wp:anchor>
        </w:drawing>
      </w:r>
    </w:p>
    <w:p>
      <w:pPr>
        <w:ind w:left="780" w:right="1839" w:hanging="599"/>
        <w:spacing w:after="0" w:line="250" w:lineRule="auto"/>
        <w:tabs>
          <w:tab w:leader="none" w:pos="760" w:val="left"/>
        </w:tabs>
        <w:rPr>
          <w:sz w:val="20"/>
          <w:szCs w:val="20"/>
          <w:color w:val="auto"/>
        </w:rPr>
      </w:pPr>
      <w:r>
        <w:rPr>
          <w:rFonts w:ascii="Arial" w:cs="Arial" w:eastAsia="Arial" w:hAnsi="Arial"/>
          <w:sz w:val="18"/>
          <w:szCs w:val="18"/>
          <w:color w:val="auto"/>
        </w:rPr>
        <w:t>4(l)</w:t>
      </w:r>
      <w:r>
        <w:rPr>
          <w:sz w:val="20"/>
          <w:szCs w:val="20"/>
          <w:color w:val="auto"/>
        </w:rPr>
        <w:tab/>
      </w:r>
      <w:r>
        <w:rPr>
          <w:rFonts w:ascii="Arial" w:cs="Arial" w:eastAsia="Arial" w:hAnsi="Arial"/>
          <w:sz w:val="18"/>
          <w:szCs w:val="18"/>
          <w:color w:val="auto"/>
        </w:rPr>
        <w:t>Certificate of Ownership and Merger merging Soft Warehouse, Inc. with and into the Registrant, dated September 23, 1999 (incorporated by reference to Exhibit 3(l) of the Registrant's Annual Report on Form 10-K for the year ended December 31, 2011).</w:t>
      </w:r>
    </w:p>
    <w:p>
      <w:pPr>
        <w:spacing w:after="0" w:line="1" w:lineRule="exact"/>
        <w:rPr>
          <w:sz w:val="20"/>
          <w:szCs w:val="20"/>
          <w:color w:val="auto"/>
        </w:rPr>
      </w:pPr>
    </w:p>
    <w:p>
      <w:pPr>
        <w:ind w:left="780" w:right="1779" w:hanging="639"/>
        <w:spacing w:after="0" w:line="250" w:lineRule="auto"/>
        <w:tabs>
          <w:tab w:leader="none" w:pos="760" w:val="left"/>
        </w:tabs>
        <w:rPr>
          <w:sz w:val="20"/>
          <w:szCs w:val="20"/>
          <w:color w:val="auto"/>
        </w:rPr>
      </w:pPr>
      <w:r>
        <w:rPr>
          <w:rFonts w:ascii="Arial" w:cs="Arial" w:eastAsia="Arial" w:hAnsi="Arial"/>
          <w:sz w:val="18"/>
          <w:szCs w:val="18"/>
          <w:color w:val="auto"/>
        </w:rPr>
        <w:t>4(m)</w:t>
      </w:r>
      <w:r>
        <w:rPr>
          <w:sz w:val="20"/>
          <w:szCs w:val="20"/>
          <w:color w:val="auto"/>
        </w:rPr>
        <w:tab/>
      </w:r>
      <w:r>
        <w:rPr>
          <w:rFonts w:ascii="Arial" w:cs="Arial" w:eastAsia="Arial" w:hAnsi="Arial"/>
          <w:sz w:val="18"/>
          <w:szCs w:val="18"/>
          <w:color w:val="auto"/>
        </w:rPr>
        <w:t>Certificate of Ownership and Merger merging Silicon Systems, Inc. with and into the Registrant, dated December 17, 1999 (incorporated by reference to Exhibit 3(m)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5428615"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28615" cy="411480"/>
                    </a:xfrm>
                    <a:prstGeom prst="rect">
                      <a:avLst/>
                    </a:prstGeom>
                    <a:noFill/>
                  </pic:spPr>
                </pic:pic>
              </a:graphicData>
            </a:graphic>
          </wp:anchor>
        </w:drawing>
      </w:r>
    </w:p>
    <w:p>
      <w:pPr>
        <w:ind w:left="780" w:right="1699" w:hanging="619"/>
        <w:spacing w:after="0" w:line="250" w:lineRule="auto"/>
        <w:tabs>
          <w:tab w:leader="none" w:pos="760" w:val="left"/>
        </w:tabs>
        <w:rPr>
          <w:sz w:val="20"/>
          <w:szCs w:val="20"/>
          <w:color w:val="auto"/>
        </w:rPr>
      </w:pPr>
      <w:r>
        <w:rPr>
          <w:rFonts w:ascii="Arial" w:cs="Arial" w:eastAsia="Arial" w:hAnsi="Arial"/>
          <w:sz w:val="18"/>
          <w:szCs w:val="18"/>
          <w:color w:val="auto"/>
        </w:rPr>
        <w:t>4(n)</w:t>
      </w:r>
      <w:r>
        <w:rPr>
          <w:sz w:val="20"/>
          <w:szCs w:val="20"/>
          <w:color w:val="auto"/>
        </w:rPr>
        <w:tab/>
      </w:r>
      <w:r>
        <w:rPr>
          <w:rFonts w:ascii="Arial" w:cs="Arial" w:eastAsia="Arial" w:hAnsi="Arial"/>
          <w:sz w:val="18"/>
          <w:szCs w:val="18"/>
          <w:color w:val="auto"/>
        </w:rPr>
        <w:t>Certificate of Amendment to Restated Certificate of Incorporation, dated April 20, 2000 (incorporated by reference to Exhibit 3(n) of the Registrant's Annual Report on Form 10-K for the year ended December 31, 2011).</w:t>
      </w:r>
    </w:p>
    <w:p>
      <w:pPr>
        <w:spacing w:after="0" w:line="1" w:lineRule="exact"/>
        <w:rPr>
          <w:sz w:val="20"/>
          <w:szCs w:val="20"/>
          <w:color w:val="auto"/>
        </w:rPr>
      </w:pPr>
    </w:p>
    <w:p>
      <w:pPr>
        <w:ind w:left="780" w:right="1679" w:hanging="619"/>
        <w:spacing w:after="0" w:line="250" w:lineRule="auto"/>
        <w:tabs>
          <w:tab w:leader="none" w:pos="760" w:val="left"/>
        </w:tabs>
        <w:rPr>
          <w:sz w:val="20"/>
          <w:szCs w:val="20"/>
          <w:color w:val="auto"/>
        </w:rPr>
      </w:pPr>
      <w:r>
        <w:rPr>
          <w:rFonts w:ascii="Arial" w:cs="Arial" w:eastAsia="Arial" w:hAnsi="Arial"/>
          <w:sz w:val="18"/>
          <w:szCs w:val="18"/>
          <w:color w:val="auto"/>
        </w:rPr>
        <w:t>4(o)</w:t>
      </w:r>
      <w:r>
        <w:rPr>
          <w:sz w:val="20"/>
          <w:szCs w:val="20"/>
          <w:color w:val="auto"/>
        </w:rPr>
        <w:tab/>
      </w:r>
      <w:r>
        <w:rPr>
          <w:rFonts w:ascii="Arial" w:cs="Arial" w:eastAsia="Arial" w:hAnsi="Arial"/>
          <w:sz w:val="18"/>
          <w:szCs w:val="18"/>
          <w:color w:val="auto"/>
        </w:rPr>
        <w:t>Certificate of Ownership and Merger merging Power Trends, Inc. with and into the Registrant, dated May 31, 2001 (incorporated by reference to Exhibit 3(o)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5428615" cy="4114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28615" cy="411480"/>
                    </a:xfrm>
                    <a:prstGeom prst="rect">
                      <a:avLst/>
                    </a:prstGeom>
                    <a:noFill/>
                  </pic:spPr>
                </pic:pic>
              </a:graphicData>
            </a:graphic>
          </wp:anchor>
        </w:drawing>
      </w:r>
    </w:p>
    <w:p>
      <w:pPr>
        <w:ind w:left="780" w:right="1719" w:hanging="619"/>
        <w:spacing w:after="0" w:line="250" w:lineRule="auto"/>
        <w:tabs>
          <w:tab w:leader="none" w:pos="760" w:val="left"/>
        </w:tabs>
        <w:rPr>
          <w:sz w:val="20"/>
          <w:szCs w:val="20"/>
          <w:color w:val="auto"/>
        </w:rPr>
      </w:pPr>
      <w:r>
        <w:rPr>
          <w:rFonts w:ascii="Arial" w:cs="Arial" w:eastAsia="Arial" w:hAnsi="Arial"/>
          <w:sz w:val="18"/>
          <w:szCs w:val="18"/>
          <w:color w:val="auto"/>
        </w:rPr>
        <w:t>4(p)</w:t>
      </w:r>
      <w:r>
        <w:rPr>
          <w:sz w:val="20"/>
          <w:szCs w:val="20"/>
          <w:color w:val="auto"/>
        </w:rPr>
        <w:tab/>
      </w:r>
      <w:r>
        <w:rPr>
          <w:rFonts w:ascii="Arial" w:cs="Arial" w:eastAsia="Arial" w:hAnsi="Arial"/>
          <w:sz w:val="18"/>
          <w:szCs w:val="18"/>
          <w:color w:val="auto"/>
        </w:rPr>
        <w:t>Certificate of Ownership and Merger merging Amati Communications Corporation with and into the Registrant, dated September 28, 2001 (incorporated by reference to Exhibit 3(p) of the Registrant's Annual Report on Form 10-K for the year ended December 31, 2011).</w:t>
      </w:r>
    </w:p>
    <w:p>
      <w:pPr>
        <w:spacing w:after="0" w:line="1" w:lineRule="exact"/>
        <w:rPr>
          <w:sz w:val="20"/>
          <w:szCs w:val="20"/>
          <w:color w:val="auto"/>
        </w:rPr>
      </w:pPr>
    </w:p>
    <w:p>
      <w:pPr>
        <w:ind w:left="780" w:right="1719" w:hanging="619"/>
        <w:spacing w:after="0" w:line="250" w:lineRule="auto"/>
        <w:tabs>
          <w:tab w:leader="none" w:pos="760" w:val="left"/>
        </w:tabs>
        <w:rPr>
          <w:sz w:val="20"/>
          <w:szCs w:val="20"/>
          <w:color w:val="auto"/>
        </w:rPr>
      </w:pPr>
      <w:r>
        <w:rPr>
          <w:rFonts w:ascii="Arial" w:cs="Arial" w:eastAsia="Arial" w:hAnsi="Arial"/>
          <w:sz w:val="18"/>
          <w:szCs w:val="18"/>
          <w:color w:val="auto"/>
        </w:rPr>
        <w:t>4(q)</w:t>
      </w:r>
      <w:r>
        <w:rPr>
          <w:sz w:val="20"/>
          <w:szCs w:val="20"/>
          <w:color w:val="auto"/>
        </w:rPr>
        <w:tab/>
      </w:r>
      <w:r>
        <w:rPr>
          <w:rFonts w:ascii="Arial" w:cs="Arial" w:eastAsia="Arial" w:hAnsi="Arial"/>
          <w:sz w:val="18"/>
          <w:szCs w:val="18"/>
          <w:color w:val="auto"/>
        </w:rPr>
        <w:t>Certificate of Ownership and Merger merging Texas Instruments San Diego Incorporated with and into the Registrant, dated August 27, 2002 (incorporated by reference to Exhibit 3(q)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5428615"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28615" cy="411480"/>
                    </a:xfrm>
                    <a:prstGeom prst="rect">
                      <a:avLst/>
                    </a:prstGeom>
                    <a:noFill/>
                  </pic:spPr>
                </pic:pic>
              </a:graphicData>
            </a:graphic>
          </wp:anchor>
        </w:drawing>
      </w:r>
    </w:p>
    <w:p>
      <w:pPr>
        <w:jc w:val="both"/>
        <w:ind w:left="780" w:right="1699" w:hanging="599"/>
        <w:spacing w:after="0" w:line="250" w:lineRule="auto"/>
        <w:tabs>
          <w:tab w:leader="none" w:pos="760" w:val="left"/>
        </w:tabs>
        <w:rPr>
          <w:sz w:val="20"/>
          <w:szCs w:val="20"/>
          <w:color w:val="auto"/>
        </w:rPr>
      </w:pPr>
      <w:r>
        <w:rPr>
          <w:rFonts w:ascii="Arial" w:cs="Arial" w:eastAsia="Arial" w:hAnsi="Arial"/>
          <w:sz w:val="18"/>
          <w:szCs w:val="18"/>
          <w:color w:val="auto"/>
        </w:rPr>
        <w:t>4(r)</w:t>
      </w:r>
      <w:r>
        <w:rPr>
          <w:sz w:val="20"/>
          <w:szCs w:val="20"/>
          <w:color w:val="auto"/>
        </w:rPr>
        <w:tab/>
      </w:r>
      <w:r>
        <w:rPr>
          <w:rFonts w:ascii="Arial" w:cs="Arial" w:eastAsia="Arial" w:hAnsi="Arial"/>
          <w:sz w:val="18"/>
          <w:szCs w:val="18"/>
          <w:color w:val="auto"/>
        </w:rPr>
        <w:t>Certificate of Ownership and Merger merging Texas Instruments Burlington Incorporated with and into the Registrant, dated December 31, 2003 (incorporated by reference to Exhibit 3(r) of the Registrant's Annual Report on Form 10-K for the year ended December 31, 2011).</w:t>
      </w:r>
    </w:p>
    <w:p>
      <w:pPr>
        <w:spacing w:after="0" w:line="1" w:lineRule="exact"/>
        <w:rPr>
          <w:sz w:val="20"/>
          <w:szCs w:val="20"/>
          <w:color w:val="auto"/>
        </w:rPr>
      </w:pPr>
    </w:p>
    <w:p>
      <w:pPr>
        <w:ind w:left="780" w:right="1719" w:hanging="599"/>
        <w:spacing w:after="0" w:line="265" w:lineRule="auto"/>
        <w:tabs>
          <w:tab w:leader="none" w:pos="760" w:val="left"/>
        </w:tabs>
        <w:rPr>
          <w:sz w:val="20"/>
          <w:szCs w:val="20"/>
          <w:color w:val="auto"/>
        </w:rPr>
      </w:pPr>
      <w:r>
        <w:rPr>
          <w:rFonts w:ascii="Arial" w:cs="Arial" w:eastAsia="Arial" w:hAnsi="Arial"/>
          <w:sz w:val="17"/>
          <w:szCs w:val="17"/>
          <w:color w:val="auto"/>
        </w:rPr>
        <w:t>4(s)</w:t>
      </w:r>
      <w:r>
        <w:rPr>
          <w:sz w:val="20"/>
          <w:szCs w:val="20"/>
          <w:color w:val="auto"/>
        </w:rPr>
        <w:tab/>
      </w:r>
      <w:r>
        <w:rPr>
          <w:rFonts w:ascii="Arial" w:cs="Arial" w:eastAsia="Arial" w:hAnsi="Arial"/>
          <w:sz w:val="17"/>
          <w:szCs w:val="17"/>
          <w:color w:val="auto"/>
        </w:rPr>
        <w:t>Certificate of Ownership and Merger merging Texas Instruments Automotive Sensors and Controls San Jose Inc. with and into the Registrant, dated October 31, 2004 (incorporated by reference to Exhibit 3(s) of the Registrant's Annual Report on Form 10-K for the year ended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-410210</wp:posOffset>
            </wp:positionV>
            <wp:extent cx="5428615" cy="4114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28615" cy="411480"/>
                    </a:xfrm>
                    <a:prstGeom prst="rect">
                      <a:avLst/>
                    </a:prstGeom>
                    <a:noFill/>
                  </pic:spPr>
                </pic:pic>
              </a:graphicData>
            </a:graphic>
          </wp:anchor>
        </w:drawing>
      </w:r>
    </w:p>
    <w:p>
      <w:pPr>
        <w:ind w:left="780" w:right="1739" w:hanging="599"/>
        <w:spacing w:after="0" w:line="250" w:lineRule="auto"/>
        <w:tabs>
          <w:tab w:leader="none" w:pos="760" w:val="left"/>
        </w:tabs>
        <w:rPr>
          <w:sz w:val="20"/>
          <w:szCs w:val="20"/>
          <w:color w:val="auto"/>
        </w:rPr>
      </w:pPr>
      <w:r>
        <w:rPr>
          <w:rFonts w:ascii="Arial" w:cs="Arial" w:eastAsia="Arial" w:hAnsi="Arial"/>
          <w:sz w:val="18"/>
          <w:szCs w:val="18"/>
          <w:color w:val="auto"/>
        </w:rPr>
        <w:t>4(t)</w:t>
      </w:r>
      <w:r>
        <w:rPr>
          <w:sz w:val="20"/>
          <w:szCs w:val="20"/>
          <w:color w:val="auto"/>
        </w:rPr>
        <w:tab/>
      </w:r>
      <w:r>
        <w:rPr>
          <w:rFonts w:ascii="Arial" w:cs="Arial" w:eastAsia="Arial" w:hAnsi="Arial"/>
          <w:sz w:val="18"/>
          <w:szCs w:val="18"/>
          <w:color w:val="auto"/>
        </w:rPr>
        <w:t>Certificate of Elimination of Series B Participating Cumulative Preferred Stock (incorporated by reference to Exhibit 3 to the Registrant's Current Report on Form 8-K filed June 23, 2008).</w:t>
      </w:r>
    </w:p>
    <w:p>
      <w:pPr>
        <w:spacing w:after="0" w:line="1" w:lineRule="exact"/>
        <w:rPr>
          <w:sz w:val="20"/>
          <w:szCs w:val="20"/>
          <w:color w:val="auto"/>
        </w:rPr>
      </w:pPr>
    </w:p>
    <w:p>
      <w:pPr>
        <w:ind w:left="780" w:right="1959" w:hanging="619"/>
        <w:spacing w:after="0" w:line="250" w:lineRule="auto"/>
        <w:tabs>
          <w:tab w:leader="none" w:pos="760" w:val="left"/>
        </w:tabs>
        <w:rPr>
          <w:sz w:val="20"/>
          <w:szCs w:val="20"/>
          <w:color w:val="auto"/>
        </w:rPr>
      </w:pPr>
      <w:r>
        <w:rPr>
          <w:rFonts w:ascii="Arial" w:cs="Arial" w:eastAsia="Arial" w:hAnsi="Arial"/>
          <w:sz w:val="18"/>
          <w:szCs w:val="18"/>
          <w:color w:val="auto"/>
        </w:rPr>
        <w:t>4(u)</w:t>
      </w:r>
      <w:r>
        <w:rPr>
          <w:sz w:val="20"/>
          <w:szCs w:val="20"/>
          <w:color w:val="auto"/>
        </w:rPr>
        <w:tab/>
      </w:r>
      <w:r>
        <w:rPr>
          <w:rFonts w:ascii="Arial" w:cs="Arial" w:eastAsia="Arial" w:hAnsi="Arial"/>
          <w:sz w:val="18"/>
          <w:szCs w:val="18"/>
          <w:color w:val="auto"/>
        </w:rPr>
        <w:t>By-Laws of the Registrant (incorporated by reference to Exhibit 3 to the Registrant's Current Report on Form 8-K filed July 18,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5428615" cy="2743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28615" cy="274320"/>
                    </a:xfrm>
                    <a:prstGeom prst="rect">
                      <a:avLst/>
                    </a:prstGeom>
                    <a:noFill/>
                  </pic:spPr>
                </pic:pic>
              </a:graphicData>
            </a:graphic>
          </wp:anchor>
        </w:drawing>
      </w:r>
    </w:p>
    <w:p>
      <w:pPr>
        <w:ind w:left="120" w:right="6899" w:firstLine="147"/>
        <w:spacing w:after="0" w:line="281" w:lineRule="auto"/>
        <w:tabs>
          <w:tab w:leader="none" w:pos="783" w:val="left"/>
        </w:tabs>
        <w:numPr>
          <w:ilvl w:val="0"/>
          <w:numId w:val="6"/>
        </w:numPr>
        <w:rPr>
          <w:rFonts w:ascii="Arial" w:cs="Arial" w:eastAsia="Arial" w:hAnsi="Arial"/>
          <w:sz w:val="16"/>
          <w:szCs w:val="16"/>
          <w:color w:val="auto"/>
        </w:rPr>
      </w:pPr>
      <w:r>
        <w:rPr>
          <w:rFonts w:ascii="Arial" w:cs="Arial" w:eastAsia="Arial" w:hAnsi="Arial"/>
          <w:sz w:val="16"/>
          <w:szCs w:val="16"/>
          <w:color w:val="auto"/>
        </w:rPr>
        <w:t>Opinion of Joseph F. Hubach, Esq. 23(a) Consent of Ernst &amp; Young LLP.</w:t>
      </w:r>
    </w:p>
    <w:p>
      <w:pPr>
        <w:spacing w:after="0" w:line="1"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23(b)   Consent of Joseph F. Hubach, Esq. (included in Exhibit 5).</w:t>
      </w:r>
    </w:p>
    <w:p>
      <w:pPr>
        <w:spacing w:after="0" w:line="9" w:lineRule="exact"/>
        <w:rPr>
          <w:rFonts w:ascii="Arial" w:cs="Arial" w:eastAsia="Arial" w:hAnsi="Arial"/>
          <w:sz w:val="16"/>
          <w:szCs w:val="16"/>
          <w:color w:val="auto"/>
        </w:rPr>
      </w:pPr>
    </w:p>
    <w:p>
      <w:pPr>
        <w:ind w:left="220"/>
        <w:spacing w:after="0"/>
        <w:rPr>
          <w:rFonts w:ascii="Arial" w:cs="Arial" w:eastAsia="Arial" w:hAnsi="Arial"/>
          <w:sz w:val="16"/>
          <w:szCs w:val="16"/>
          <w:color w:val="auto"/>
        </w:rPr>
      </w:pPr>
      <w:r>
        <w:rPr>
          <w:rFonts w:ascii="Arial" w:cs="Arial" w:eastAsia="Arial" w:hAnsi="Arial"/>
          <w:sz w:val="18"/>
          <w:szCs w:val="18"/>
          <w:color w:val="auto"/>
        </w:rPr>
        <w:t>24</w:t>
      </w:r>
      <w:r>
        <w:rPr>
          <w:rFonts w:ascii="Arial" w:cs="Arial" w:eastAsia="Arial" w:hAnsi="Arial"/>
          <w:sz w:val="16"/>
          <w:szCs w:val="16"/>
          <w:color w:val="auto"/>
        </w:rPr>
        <w:t>Power of Attorney (included on signature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-405130</wp:posOffset>
            </wp:positionV>
            <wp:extent cx="5428615"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428615" cy="13716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-130810</wp:posOffset>
            </wp:positionV>
            <wp:extent cx="5428615"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428615" cy="137160"/>
                    </a:xfrm>
                    <a:prstGeom prst="rect">
                      <a:avLst/>
                    </a:prstGeom>
                    <a:noFill/>
                  </pic:spPr>
                </pic:pic>
              </a:graphicData>
            </a:graphic>
          </wp:anchor>
        </w:drawing>
      </w:r>
    </w:p>
    <w:p>
      <w:pPr>
        <w:sectPr>
          <w:pgSz w:w="11900" w:h="16838" w:orient="portrait"/>
          <w:cols w:equalWidth="0" w:num="1">
            <w:col w:w="10199"/>
          </w:cols>
          <w:pgMar w:left="260" w:top="517" w:right="1440" w:bottom="761" w:gutter="0" w:footer="0" w:header="0"/>
        </w:sectPr>
      </w:pPr>
    </w:p>
    <w:bookmarkStart w:id="7" w:name="page8"/>
    <w:bookmarkEnd w:id="7"/>
    <w:p>
      <w:pPr>
        <w:jc w:val="right"/>
        <w:spacing w:after="0"/>
        <w:rPr>
          <w:sz w:val="20"/>
          <w:szCs w:val="20"/>
          <w:color w:val="auto"/>
        </w:rPr>
      </w:pPr>
      <w:r>
        <w:rPr>
          <w:rFonts w:ascii="Arial" w:cs="Arial" w:eastAsia="Arial" w:hAnsi="Arial"/>
          <w:sz w:val="18"/>
          <w:szCs w:val="18"/>
          <w:b w:val="1"/>
          <w:bCs w:val="1"/>
          <w:u w:val="single" w:color="auto"/>
          <w:color w:val="auto"/>
        </w:rPr>
        <w:t>Exhibit 5</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5, 2014</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12500 TI Boulevard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Dallas, Texas 75243</w:t>
      </w:r>
    </w:p>
    <w:p>
      <w:pPr>
        <w:spacing w:after="0" w:line="200" w:lineRule="exact"/>
        <w:rPr>
          <w:sz w:val="20"/>
          <w:szCs w:val="20"/>
          <w:color w:val="auto"/>
        </w:rPr>
      </w:pPr>
    </w:p>
    <w:p>
      <w:pPr>
        <w:spacing w:after="0" w:line="281" w:lineRule="exact"/>
        <w:rPr>
          <w:sz w:val="20"/>
          <w:szCs w:val="20"/>
          <w:color w:val="auto"/>
        </w:rPr>
      </w:pPr>
    </w:p>
    <w:p>
      <w:pPr>
        <w:spacing w:after="0"/>
        <w:tabs>
          <w:tab w:leader="none" w:pos="72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Texas Instruments Incorporated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(Form S-8)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opinion of counsel is given in connection with a Registration Statement (Form S-8) being filed by you with the Securities and Exchange Commission relating to 40,000,000 shares of common stock of Texas Instruments Incorporated (“TI”) to be issued under the TI Employees 2014 Stock Purchase Plan (the “Plan”).</w:t>
      </w:r>
    </w:p>
    <w:p>
      <w:pPr>
        <w:spacing w:after="0" w:line="18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As Senior Vice President, Secretary and General Counsel of TI, I am familiar with all corporate action taken or expected to be taken with respect to the Plan and the common stock expected to be issued thereunder.</w:t>
      </w:r>
    </w:p>
    <w:p>
      <w:pPr>
        <w:spacing w:after="0" w:line="170" w:lineRule="exact"/>
        <w:rPr>
          <w:sz w:val="20"/>
          <w:szCs w:val="20"/>
          <w:color w:val="auto"/>
        </w:rPr>
      </w:pPr>
    </w:p>
    <w:p>
      <w:pPr>
        <w:ind w:right="280"/>
        <w:spacing w:after="0" w:line="308" w:lineRule="auto"/>
        <w:rPr>
          <w:sz w:val="20"/>
          <w:szCs w:val="20"/>
          <w:color w:val="auto"/>
        </w:rPr>
      </w:pPr>
      <w:r>
        <w:rPr>
          <w:rFonts w:ascii="Arial" w:cs="Arial" w:eastAsia="Arial" w:hAnsi="Arial"/>
          <w:sz w:val="17"/>
          <w:szCs w:val="17"/>
          <w:color w:val="auto"/>
        </w:rPr>
        <w:t>I am pleased to advise that the 40,000,000 shares of common stock of TI have been duly authorized and, when issued and delivered in accordance with the terms of the Plan and applicable Delaware General Corporation Law, will be validly issued, fully paid and nonassessable.</w:t>
      </w:r>
    </w:p>
    <w:p>
      <w:pPr>
        <w:spacing w:after="0" w:line="14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The opinion expressed herein is limited to the General Corporation Law of the State of Delaware, including the applicable provisions of the Delaware Constitution and the reported judicial decisions interpreting such law, in each case as currently in effect, and I express no opinion as to the effect of the laws of any other jurisdiction.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 hereby consent to the use of this opinion as an exhibit to the above-referenced Registration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JOSEPH F. HUBACH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Joseph F. Hubach</w:t>
      </w:r>
    </w:p>
    <w:p>
      <w:pPr>
        <w:sectPr>
          <w:pgSz w:w="11900" w:h="16838" w:orient="portrait"/>
          <w:cols w:equalWidth="0" w:num="1">
            <w:col w:w="11420"/>
          </w:cols>
          <w:pgMar w:left="240" w:top="121" w:right="2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u w:val="single" w:color="auto"/>
          <w:color w:val="auto"/>
        </w:rPr>
        <w:t>Exhibit 23(a)</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52"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We consent to the incorporation by reference in the Registration Statement (Form S-8) pertaining to the TI Employees 2014 Stock Purchase Plan of our reports dated February 24, 2014, with respect to the consolidated financial statements of Texas Instruments Incorporated and the effectiveness of internal control over financial reporting of Texas Instruments Incorporated, incorporated by reference in its Annual Report (Form 10-K) for the year ended December 31, 2013,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ERNST &amp; YOUNG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Ernst &amp; Young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2,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
    </w:lvl>
    <w:lvl w:ilvl="1">
      <w:lvlJc w:val="left"/>
      <w:lvlText w:val="(%2)"/>
      <w:numFmt w:val="lowerRoman"/>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5"/>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2019-12-05T15:24:36Z</dcterms:created>
  <dcterms:modified xsi:type="dcterms:W3CDTF">2019-12-05T15:24:36Z</dcterms:modified>
</cp:coreProperties>
</file>