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333-186803</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0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800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jc w:val="center"/>
              <w:ind w:left="1"/>
              <w:spacing w:after="0" w:line="117" w:lineRule="exact"/>
              <w:rPr>
                <w:sz w:val="20"/>
                <w:szCs w:val="20"/>
                <w:color w:val="auto"/>
              </w:rPr>
            </w:pPr>
            <w:r>
              <w:rPr>
                <w:rFonts w:ascii="Arial" w:cs="Arial" w:eastAsia="Arial" w:hAnsi="Arial"/>
                <w:sz w:val="12"/>
                <w:szCs w:val="12"/>
                <w:b w:val="1"/>
                <w:bCs w:val="1"/>
                <w:color w:val="auto"/>
              </w:rPr>
              <w:t>Proposed Maximum</w:t>
            </w:r>
          </w:p>
        </w:tc>
        <w:tc>
          <w:tcPr>
            <w:tcW w:w="1560" w:type="dxa"/>
            <w:vAlign w:val="bottom"/>
          </w:tcPr>
          <w:p>
            <w:pPr>
              <w:jc w:val="center"/>
              <w:ind w:left="21"/>
              <w:spacing w:after="0" w:line="117" w:lineRule="exact"/>
              <w:rPr>
                <w:sz w:val="20"/>
                <w:szCs w:val="20"/>
                <w:color w:val="auto"/>
              </w:rPr>
            </w:pPr>
            <w:r>
              <w:rPr>
                <w:rFonts w:ascii="Arial" w:cs="Arial" w:eastAsia="Arial" w:hAnsi="Arial"/>
                <w:sz w:val="12"/>
                <w:szCs w:val="12"/>
                <w:b w:val="1"/>
                <w:bCs w:val="1"/>
                <w:color w:val="auto"/>
              </w:rPr>
              <w:t>Amount of</w:t>
            </w:r>
          </w:p>
        </w:tc>
      </w:tr>
      <w:tr>
        <w:trPr>
          <w:trHeight w:val="161"/>
        </w:trPr>
        <w:tc>
          <w:tcPr>
            <w:tcW w:w="20" w:type="dxa"/>
            <w:vAlign w:val="bottom"/>
          </w:tcPr>
          <w:p>
            <w:pPr>
              <w:spacing w:after="0"/>
              <w:rPr>
                <w:sz w:val="14"/>
                <w:szCs w:val="14"/>
                <w:color w:val="auto"/>
              </w:rPr>
            </w:pPr>
          </w:p>
        </w:tc>
        <w:tc>
          <w:tcPr>
            <w:tcW w:w="8000" w:type="dxa"/>
            <w:vAlign w:val="bottom"/>
            <w:tcBorders>
              <w:bottom w:val="single" w:sz="8" w:color="auto"/>
              <w:right w:val="single" w:sz="8" w:color="auto"/>
            </w:tcBorders>
          </w:tcPr>
          <w:p>
            <w:pPr>
              <w:ind w:left="260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84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4"/>
                <w:szCs w:val="14"/>
                <w:b w:val="1"/>
                <w:bCs w:val="1"/>
                <w:color w:val="auto"/>
                <w:w w:val="86"/>
              </w:rPr>
              <w:t>Aggregate Offering Price</w:t>
            </w:r>
          </w:p>
        </w:tc>
        <w:tc>
          <w:tcPr>
            <w:tcW w:w="156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w w:val="86"/>
              </w:rPr>
              <w:t>Registration Fee(1)</w:t>
            </w:r>
          </w:p>
        </w:tc>
      </w:tr>
      <w:tr>
        <w:trPr>
          <w:trHeight w:val="210"/>
        </w:trPr>
        <w:tc>
          <w:tcPr>
            <w:tcW w:w="20" w:type="dxa"/>
            <w:vAlign w:val="bottom"/>
            <w:tcBorders>
              <w:bottom w:val="single" w:sz="8" w:color="auto"/>
            </w:tcBorders>
          </w:tcPr>
          <w:p>
            <w:pPr>
              <w:spacing w:after="0"/>
              <w:rPr>
                <w:sz w:val="18"/>
                <w:szCs w:val="18"/>
                <w:color w:val="auto"/>
              </w:rPr>
            </w:pPr>
          </w:p>
        </w:tc>
        <w:tc>
          <w:tcPr>
            <w:tcW w:w="8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0.875% Notes due 2017</w:t>
            </w:r>
          </w:p>
        </w:tc>
        <w:tc>
          <w:tcPr>
            <w:tcW w:w="184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8"/>
                <w:szCs w:val="18"/>
                <w:color w:val="auto"/>
                <w:w w:val="87"/>
              </w:rPr>
              <w:t>$250,000,000</w:t>
            </w:r>
          </w:p>
        </w:tc>
        <w:tc>
          <w:tcPr>
            <w:tcW w:w="1560" w:type="dxa"/>
            <w:vAlign w:val="bottom"/>
            <w:tcBorders>
              <w:bottom w:val="single" w:sz="8" w:color="auto"/>
            </w:tcBorders>
          </w:tcPr>
          <w:p>
            <w:pPr>
              <w:jc w:val="center"/>
              <w:ind w:left="1"/>
              <w:spacing w:after="0"/>
              <w:rPr>
                <w:sz w:val="20"/>
                <w:szCs w:val="20"/>
                <w:color w:val="auto"/>
              </w:rPr>
            </w:pPr>
            <w:r>
              <w:rPr>
                <w:rFonts w:ascii="Arial" w:cs="Arial" w:eastAsia="Arial" w:hAnsi="Arial"/>
                <w:sz w:val="18"/>
                <w:szCs w:val="18"/>
                <w:color w:val="auto"/>
                <w:w w:val="86"/>
              </w:rPr>
              <w:t>$32,200</w:t>
            </w:r>
          </w:p>
        </w:tc>
      </w:tr>
      <w:tr>
        <w:trPr>
          <w:trHeight w:val="210"/>
        </w:trPr>
        <w:tc>
          <w:tcPr>
            <w:tcW w:w="80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2.750% Notes due 2021</w:t>
            </w:r>
          </w:p>
        </w:tc>
        <w:tc>
          <w:tcPr>
            <w:tcW w:w="1840" w:type="dxa"/>
            <w:vAlign w:val="bottom"/>
            <w:tcBorders>
              <w:right w:val="single" w:sz="8" w:color="auto"/>
            </w:tcBorders>
          </w:tcPr>
          <w:p>
            <w:pPr>
              <w:jc w:val="center"/>
              <w:ind w:left="1"/>
              <w:spacing w:after="0"/>
              <w:rPr>
                <w:sz w:val="20"/>
                <w:szCs w:val="20"/>
                <w:color w:val="auto"/>
              </w:rPr>
            </w:pPr>
            <w:r>
              <w:rPr>
                <w:rFonts w:ascii="Arial" w:cs="Arial" w:eastAsia="Arial" w:hAnsi="Arial"/>
                <w:sz w:val="18"/>
                <w:szCs w:val="18"/>
                <w:color w:val="auto"/>
                <w:w w:val="87"/>
              </w:rPr>
              <w:t>$250,000,000</w:t>
            </w:r>
          </w:p>
        </w:tc>
        <w:tc>
          <w:tcPr>
            <w:tcW w:w="1560" w:type="dxa"/>
            <w:vAlign w:val="bottom"/>
          </w:tcPr>
          <w:p>
            <w:pPr>
              <w:jc w:val="center"/>
              <w:ind w:left="1"/>
              <w:spacing w:after="0"/>
              <w:rPr>
                <w:sz w:val="20"/>
                <w:szCs w:val="20"/>
                <w:color w:val="auto"/>
              </w:rPr>
            </w:pPr>
            <w:r>
              <w:rPr>
                <w:rFonts w:ascii="Arial" w:cs="Arial" w:eastAsia="Arial" w:hAnsi="Arial"/>
                <w:sz w:val="18"/>
                <w:szCs w:val="18"/>
                <w:color w:val="auto"/>
                <w:w w:val="86"/>
              </w:rPr>
              <w:t>$32,200</w:t>
            </w:r>
          </w:p>
        </w:tc>
      </w:tr>
      <w:tr>
        <w:trPr>
          <w:trHeight w:val="210"/>
        </w:trPr>
        <w:tc>
          <w:tcPr>
            <w:tcW w:w="20" w:type="dxa"/>
            <w:vAlign w:val="bottom"/>
          </w:tcPr>
          <w:p>
            <w:pPr>
              <w:spacing w:after="0"/>
              <w:rPr>
                <w:sz w:val="18"/>
                <w:szCs w:val="18"/>
                <w:color w:val="auto"/>
              </w:rPr>
            </w:pPr>
          </w:p>
        </w:tc>
        <w:tc>
          <w:tcPr>
            <w:tcW w:w="800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right w:val="single" w:sz="8" w:color="auto"/>
            </w:tcBorders>
          </w:tcPr>
          <w:p>
            <w:pPr>
              <w:jc w:val="center"/>
              <w:ind w:left="1"/>
              <w:spacing w:after="0"/>
              <w:rPr>
                <w:sz w:val="20"/>
                <w:szCs w:val="20"/>
                <w:color w:val="auto"/>
              </w:rPr>
            </w:pPr>
            <w:r>
              <w:rPr>
                <w:rFonts w:ascii="Arial" w:cs="Arial" w:eastAsia="Arial" w:hAnsi="Arial"/>
                <w:sz w:val="18"/>
                <w:szCs w:val="18"/>
                <w:color w:val="auto"/>
                <w:w w:val="87"/>
              </w:rPr>
              <w:t>$500,000,000</w:t>
            </w:r>
          </w:p>
        </w:tc>
        <w:tc>
          <w:tcPr>
            <w:tcW w:w="1560" w:type="dxa"/>
            <w:vAlign w:val="bottom"/>
            <w:tcBorders>
              <w:top w:val="single" w:sz="8" w:color="auto"/>
              <w:bottom w:val="single" w:sz="8" w:color="auto"/>
            </w:tcBorders>
          </w:tcPr>
          <w:p>
            <w:pPr>
              <w:jc w:val="center"/>
              <w:ind w:left="1"/>
              <w:spacing w:after="0"/>
              <w:rPr>
                <w:sz w:val="20"/>
                <w:szCs w:val="20"/>
                <w:color w:val="auto"/>
              </w:rPr>
            </w:pPr>
            <w:r>
              <w:rPr>
                <w:rFonts w:ascii="Arial" w:cs="Arial" w:eastAsia="Arial" w:hAnsi="Arial"/>
                <w:sz w:val="18"/>
                <w:szCs w:val="18"/>
                <w:color w:val="auto"/>
                <w:w w:val="86"/>
              </w:rPr>
              <w:t>$64,400</w:t>
            </w:r>
          </w:p>
        </w:tc>
      </w:tr>
      <w:tr>
        <w:trPr>
          <w:trHeight w:val="20"/>
        </w:trPr>
        <w:tc>
          <w:tcPr>
            <w:tcW w:w="20" w:type="dxa"/>
            <w:vAlign w:val="bottom"/>
          </w:tcPr>
          <w:p>
            <w:pPr>
              <w:spacing w:after="0" w:line="20" w:lineRule="exact"/>
              <w:rPr>
                <w:sz w:val="1"/>
                <w:szCs w:val="1"/>
                <w:color w:val="auto"/>
              </w:rPr>
            </w:pPr>
          </w:p>
        </w:tc>
        <w:tc>
          <w:tcPr>
            <w:tcW w:w="80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8"/>
        </w:trPr>
        <w:tc>
          <w:tcPr>
            <w:tcW w:w="8020" w:type="dxa"/>
            <w:vAlign w:val="bottom"/>
            <w:gridSpan w:val="2"/>
          </w:tcPr>
          <w:p>
            <w:pPr>
              <w:spacing w:after="0"/>
              <w:rPr>
                <w:sz w:val="20"/>
                <w:szCs w:val="20"/>
                <w:color w:val="auto"/>
              </w:rPr>
            </w:pPr>
            <w:r>
              <w:rPr>
                <w:rFonts w:ascii="Arial" w:cs="Arial" w:eastAsia="Arial" w:hAnsi="Arial"/>
                <w:sz w:val="18"/>
                <w:szCs w:val="18"/>
                <w:color w:val="auto"/>
              </w:rPr>
              <w:t>(1)   Calculated in accordance with Rule 457(r) of the Securities Act of 1933.</w:t>
            </w:r>
          </w:p>
        </w:tc>
        <w:tc>
          <w:tcPr>
            <w:tcW w:w="1840" w:type="dxa"/>
            <w:vAlign w:val="bottom"/>
          </w:tcPr>
          <w:p>
            <w:pPr>
              <w:spacing w:after="0"/>
              <w:rPr>
                <w:sz w:val="18"/>
                <w:szCs w:val="18"/>
                <w:color w:val="auto"/>
              </w:rPr>
            </w:pPr>
          </w:p>
        </w:tc>
        <w:tc>
          <w:tcPr>
            <w:tcW w:w="1560" w:type="dxa"/>
            <w:vAlign w:val="bottom"/>
          </w:tcPr>
          <w:p>
            <w:pPr>
              <w:spacing w:after="0"/>
              <w:rPr>
                <w:sz w:val="18"/>
                <w:szCs w:val="18"/>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February 22, 2013)</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127000</wp:posOffset>
            </wp:positionV>
            <wp:extent cx="286448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180"/>
        <w:spacing w:after="0"/>
        <w:rPr>
          <w:sz w:val="20"/>
          <w:szCs w:val="20"/>
          <w:color w:val="auto"/>
        </w:rPr>
      </w:pPr>
      <w:r>
        <w:rPr>
          <w:rFonts w:ascii="Arial" w:cs="Arial" w:eastAsia="Arial" w:hAnsi="Arial"/>
          <w:sz w:val="32"/>
          <w:szCs w:val="32"/>
          <w:b w:val="1"/>
          <w:bCs w:val="1"/>
          <w:color w:val="auto"/>
        </w:rPr>
        <w:t>$250,000,000 0.875% Notes due 2017</w:t>
      </w:r>
    </w:p>
    <w:p>
      <w:pPr>
        <w:spacing w:after="0" w:line="33" w:lineRule="exact"/>
        <w:rPr>
          <w:sz w:val="20"/>
          <w:szCs w:val="20"/>
          <w:color w:val="auto"/>
        </w:rPr>
      </w:pPr>
    </w:p>
    <w:p>
      <w:pPr>
        <w:ind w:left="3180"/>
        <w:spacing w:after="0"/>
        <w:rPr>
          <w:sz w:val="20"/>
          <w:szCs w:val="20"/>
          <w:color w:val="auto"/>
        </w:rPr>
      </w:pPr>
      <w:r>
        <w:rPr>
          <w:rFonts w:ascii="Arial" w:cs="Arial" w:eastAsia="Arial" w:hAnsi="Arial"/>
          <w:sz w:val="32"/>
          <w:szCs w:val="32"/>
          <w:b w:val="1"/>
          <w:bCs w:val="1"/>
          <w:color w:val="auto"/>
        </w:rPr>
        <w:t>$250,000,000 2.750% Notes due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95250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3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Texas Instruments Incorporated is offering the aggregate principal amount of each series of notes (collectively, the “Notes”), which will bear interest at the rate per year, in each case as set forth above. Interest on the Notes will be payable semi-annually in arrears on March 12 and September 12 of each year, beginning September 12, 2014.</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2017 Notes will mature on March 12, 2017 and the 2021 Notes will mature on March 12, 2021.</w:t>
      </w:r>
    </w:p>
    <w:p>
      <w:pPr>
        <w:spacing w:after="0" w:line="15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may redeem some or all of the Notes at any time, each at the redemption price indicated under the caption “Description of the Notes — Optional Redemption.”</w:t>
      </w:r>
    </w:p>
    <w:p>
      <w:pPr>
        <w:spacing w:after="0" w:line="118"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80645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87"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Notes involves risks. See “</w:t>
      </w:r>
      <w:hyperlink w:anchor="page12">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97155</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50800</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4"/>
              </w:rPr>
              <w:t>Per 2017 Note</w:t>
            </w: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4"/>
              </w:rPr>
              <w:t>Per 2021 Note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7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80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vMerge w:val="continue"/>
            <w:shd w:val="clear" w:color="auto" w:fill="CCEEFF"/>
          </w:tcPr>
          <w:p>
            <w:pPr>
              <w:spacing w:after="0"/>
              <w:rPr>
                <w:sz w:val="18"/>
                <w:szCs w:val="18"/>
                <w:color w:val="auto"/>
              </w:rPr>
            </w:pP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99.802%</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99.294%</w:t>
            </w:r>
          </w:p>
        </w:tc>
        <w:tc>
          <w:tcPr>
            <w:tcW w:w="3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497,740,000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Underwriting Discount</w:t>
            </w: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0.250%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0.400%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99.552%</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98.894%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496,115,000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on the Notes will accrue from March 12, 2014 to the date of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105410</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4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underwriters expect to deliver the Notes to purchasers on or about March 12, 2014, only in book-entry form through the facilities of The Depository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71755</wp:posOffset>
            </wp:positionV>
            <wp:extent cx="1089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8"/>
                <w:szCs w:val="18"/>
                <w:color w:val="auto"/>
              </w:rPr>
            </w:pPr>
          </w:p>
        </w:tc>
        <w:tc>
          <w:tcPr>
            <w:tcW w:w="6380" w:type="dxa"/>
            <w:vAlign w:val="bottom"/>
            <w:gridSpan w:val="3"/>
          </w:tcPr>
          <w:p>
            <w:pPr>
              <w:jc w:val="center"/>
              <w:ind w:left="813"/>
              <w:spacing w:after="0"/>
              <w:rPr>
                <w:sz w:val="20"/>
                <w:szCs w:val="20"/>
                <w:color w:val="auto"/>
              </w:rPr>
            </w:pPr>
            <w:r>
              <w:rPr>
                <w:rFonts w:ascii="Arial" w:cs="Arial" w:eastAsia="Arial" w:hAnsi="Arial"/>
                <w:sz w:val="18"/>
                <w:szCs w:val="18"/>
                <w:i w:val="1"/>
                <w:iCs w:val="1"/>
                <w:color w:val="auto"/>
                <w:w w:val="89"/>
              </w:rPr>
              <w:t>Joint Book-Running Managers</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2060" w:type="dxa"/>
            <w:vAlign w:val="bottom"/>
          </w:tcPr>
          <w:p>
            <w:pPr>
              <w:spacing w:after="0"/>
              <w:rPr>
                <w:sz w:val="20"/>
                <w:szCs w:val="20"/>
                <w:color w:val="auto"/>
              </w:rPr>
            </w:pPr>
            <w:r>
              <w:rPr>
                <w:rFonts w:ascii="Arial" w:cs="Arial" w:eastAsia="Arial" w:hAnsi="Arial"/>
                <w:sz w:val="32"/>
                <w:szCs w:val="32"/>
                <w:b w:val="1"/>
                <w:bCs w:val="1"/>
                <w:color w:val="auto"/>
              </w:rPr>
              <w:t>Citigroup</w:t>
            </w:r>
          </w:p>
        </w:tc>
        <w:tc>
          <w:tcPr>
            <w:tcW w:w="6380" w:type="dxa"/>
            <w:vAlign w:val="bottom"/>
            <w:gridSpan w:val="3"/>
          </w:tcPr>
          <w:p>
            <w:pPr>
              <w:jc w:val="center"/>
              <w:spacing w:after="0"/>
              <w:rPr>
                <w:sz w:val="20"/>
                <w:szCs w:val="20"/>
                <w:color w:val="auto"/>
              </w:rPr>
            </w:pPr>
            <w:r>
              <w:rPr>
                <w:rFonts w:ascii="Arial" w:cs="Arial" w:eastAsia="Arial" w:hAnsi="Arial"/>
                <w:sz w:val="32"/>
                <w:szCs w:val="32"/>
                <w:b w:val="1"/>
                <w:bCs w:val="1"/>
                <w:color w:val="auto"/>
                <w:w w:val="96"/>
              </w:rPr>
              <w:t>BofA Merrill Lynch</w:t>
            </w:r>
          </w:p>
        </w:tc>
        <w:tc>
          <w:tcPr>
            <w:tcW w:w="2980" w:type="dxa"/>
            <w:vAlign w:val="bottom"/>
          </w:tcPr>
          <w:p>
            <w:pPr>
              <w:jc w:val="right"/>
              <w:spacing w:after="0"/>
              <w:rPr>
                <w:sz w:val="20"/>
                <w:szCs w:val="20"/>
                <w:color w:val="auto"/>
              </w:rPr>
            </w:pPr>
            <w:r>
              <w:rPr>
                <w:rFonts w:ascii="Arial" w:cs="Arial" w:eastAsia="Arial" w:hAnsi="Arial"/>
                <w:sz w:val="32"/>
                <w:szCs w:val="32"/>
                <w:b w:val="1"/>
                <w:bCs w:val="1"/>
                <w:color w:val="auto"/>
              </w:rPr>
              <w:t>Mizuho Securities</w:t>
            </w:r>
          </w:p>
        </w:tc>
        <w:tc>
          <w:tcPr>
            <w:tcW w:w="0" w:type="dxa"/>
            <w:vAlign w:val="bottom"/>
          </w:tcPr>
          <w:p>
            <w:pPr>
              <w:spacing w:after="0"/>
              <w:rPr>
                <w:sz w:val="1"/>
                <w:szCs w:val="1"/>
                <w:color w:val="auto"/>
              </w:rPr>
            </w:pPr>
          </w:p>
        </w:tc>
      </w:tr>
      <w:tr>
        <w:trPr>
          <w:trHeight w:val="594"/>
        </w:trPr>
        <w:tc>
          <w:tcPr>
            <w:tcW w:w="2060" w:type="dxa"/>
            <w:vAlign w:val="bottom"/>
          </w:tcPr>
          <w:p>
            <w:pPr>
              <w:spacing w:after="0"/>
              <w:rPr>
                <w:sz w:val="20"/>
                <w:szCs w:val="20"/>
                <w:color w:val="auto"/>
              </w:rPr>
            </w:pPr>
            <w:r>
              <w:rPr>
                <w:rFonts w:ascii="Arial" w:cs="Arial" w:eastAsia="Arial" w:hAnsi="Arial"/>
                <w:sz w:val="32"/>
                <w:szCs w:val="32"/>
                <w:b w:val="1"/>
                <w:bCs w:val="1"/>
                <w:color w:val="auto"/>
              </w:rPr>
              <w:t>J.P. Morgan</w:t>
            </w:r>
          </w:p>
        </w:tc>
        <w:tc>
          <w:tcPr>
            <w:tcW w:w="6380" w:type="dxa"/>
            <w:vAlign w:val="bottom"/>
            <w:gridSpan w:val="3"/>
          </w:tcPr>
          <w:p>
            <w:pPr>
              <w:jc w:val="center"/>
              <w:spacing w:after="0"/>
              <w:rPr>
                <w:sz w:val="20"/>
                <w:szCs w:val="20"/>
                <w:color w:val="auto"/>
              </w:rPr>
            </w:pPr>
            <w:r>
              <w:rPr>
                <w:rFonts w:ascii="Arial" w:cs="Arial" w:eastAsia="Arial" w:hAnsi="Arial"/>
                <w:sz w:val="32"/>
                <w:szCs w:val="32"/>
                <w:b w:val="1"/>
                <w:bCs w:val="1"/>
                <w:color w:val="auto"/>
                <w:w w:val="91"/>
              </w:rPr>
              <w:t>Mitsubishi UFJ Securities</w:t>
            </w:r>
          </w:p>
        </w:tc>
        <w:tc>
          <w:tcPr>
            <w:tcW w:w="2980" w:type="dxa"/>
            <w:vAlign w:val="bottom"/>
          </w:tcPr>
          <w:p>
            <w:pPr>
              <w:jc w:val="right"/>
              <w:spacing w:after="0"/>
              <w:rPr>
                <w:sz w:val="20"/>
                <w:szCs w:val="20"/>
                <w:color w:val="auto"/>
              </w:rPr>
            </w:pPr>
            <w:r>
              <w:rPr>
                <w:rFonts w:ascii="Arial" w:cs="Arial" w:eastAsia="Arial" w:hAnsi="Arial"/>
                <w:sz w:val="32"/>
                <w:szCs w:val="32"/>
                <w:b w:val="1"/>
                <w:bCs w:val="1"/>
                <w:color w:val="auto"/>
              </w:rPr>
              <w:t>Morgan Stanley</w:t>
            </w:r>
          </w:p>
        </w:tc>
        <w:tc>
          <w:tcPr>
            <w:tcW w:w="0" w:type="dxa"/>
            <w:vAlign w:val="bottom"/>
          </w:tcPr>
          <w:p>
            <w:pPr>
              <w:spacing w:after="0"/>
              <w:rPr>
                <w:sz w:val="1"/>
                <w:szCs w:val="1"/>
                <w:color w:val="auto"/>
              </w:rPr>
            </w:pPr>
          </w:p>
        </w:tc>
      </w:tr>
      <w:tr>
        <w:trPr>
          <w:trHeight w:val="147"/>
        </w:trPr>
        <w:tc>
          <w:tcPr>
            <w:tcW w:w="20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18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60" w:type="dxa"/>
            <w:vAlign w:val="bottom"/>
            <w:vMerge w:val="restart"/>
          </w:tcPr>
          <w:p>
            <w:pPr>
              <w:spacing w:after="0"/>
              <w:rPr>
                <w:sz w:val="20"/>
                <w:szCs w:val="20"/>
                <w:color w:val="auto"/>
              </w:rPr>
            </w:pPr>
            <w:r>
              <w:rPr>
                <w:rFonts w:ascii="Arial" w:cs="Arial" w:eastAsia="Arial" w:hAnsi="Arial"/>
                <w:sz w:val="24"/>
                <w:szCs w:val="24"/>
                <w:b w:val="1"/>
                <w:bCs w:val="1"/>
                <w:color w:val="auto"/>
              </w:rPr>
              <w:t>BNP PARIBAS</w:t>
            </w:r>
          </w:p>
        </w:tc>
        <w:tc>
          <w:tcPr>
            <w:tcW w:w="2800" w:type="dxa"/>
            <w:vAlign w:val="bottom"/>
          </w:tcPr>
          <w:p>
            <w:pPr>
              <w:spacing w:after="0"/>
              <w:rPr>
                <w:sz w:val="24"/>
                <w:szCs w:val="24"/>
                <w:color w:val="auto"/>
              </w:rPr>
            </w:pPr>
          </w:p>
        </w:tc>
        <w:tc>
          <w:tcPr>
            <w:tcW w:w="3580" w:type="dxa"/>
            <w:vAlign w:val="bottom"/>
            <w:gridSpan w:val="2"/>
          </w:tcPr>
          <w:p>
            <w:pPr>
              <w:jc w:val="center"/>
              <w:ind w:right="1752"/>
              <w:spacing w:after="0"/>
              <w:rPr>
                <w:sz w:val="20"/>
                <w:szCs w:val="20"/>
                <w:color w:val="auto"/>
              </w:rPr>
            </w:pPr>
            <w:r>
              <w:rPr>
                <w:rFonts w:ascii="Arial" w:cs="Arial" w:eastAsia="Arial" w:hAnsi="Arial"/>
                <w:sz w:val="18"/>
                <w:szCs w:val="18"/>
                <w:i w:val="1"/>
                <w:iCs w:val="1"/>
                <w:color w:val="auto"/>
                <w:w w:val="89"/>
              </w:rPr>
              <w:t>Senior Co-Managers</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60" w:type="dxa"/>
            <w:vAlign w:val="bottom"/>
            <w:vMerge w:val="continue"/>
          </w:tcPr>
          <w:p>
            <w:pPr>
              <w:spacing w:after="0"/>
              <w:rPr>
                <w:sz w:val="24"/>
                <w:szCs w:val="24"/>
                <w:color w:val="auto"/>
              </w:rPr>
            </w:pPr>
          </w:p>
        </w:tc>
        <w:tc>
          <w:tcPr>
            <w:tcW w:w="6380" w:type="dxa"/>
            <w:vAlign w:val="bottom"/>
            <w:gridSpan w:val="3"/>
            <w:vMerge w:val="restart"/>
          </w:tcPr>
          <w:p>
            <w:pPr>
              <w:ind w:left="360"/>
              <w:spacing w:after="0"/>
              <w:rPr>
                <w:sz w:val="20"/>
                <w:szCs w:val="20"/>
                <w:color w:val="auto"/>
              </w:rPr>
            </w:pPr>
            <w:r>
              <w:rPr>
                <w:rFonts w:ascii="Arial" w:cs="Arial" w:eastAsia="Arial" w:hAnsi="Arial"/>
                <w:sz w:val="24"/>
                <w:szCs w:val="24"/>
                <w:b w:val="1"/>
                <w:bCs w:val="1"/>
                <w:color w:val="auto"/>
              </w:rPr>
              <w:t>SMBC Nikko</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60" w:type="dxa"/>
            <w:vAlign w:val="bottom"/>
          </w:tcPr>
          <w:p>
            <w:pPr>
              <w:spacing w:after="0"/>
              <w:rPr>
                <w:sz w:val="21"/>
                <w:szCs w:val="21"/>
                <w:color w:val="auto"/>
              </w:rPr>
            </w:pPr>
          </w:p>
        </w:tc>
        <w:tc>
          <w:tcPr>
            <w:tcW w:w="6380" w:type="dxa"/>
            <w:vAlign w:val="bottom"/>
            <w:gridSpan w:val="3"/>
            <w:vMerge w:val="continue"/>
          </w:tcPr>
          <w:p>
            <w:pPr>
              <w:spacing w:after="0"/>
              <w:rPr>
                <w:sz w:val="21"/>
                <w:szCs w:val="21"/>
                <w:color w:val="auto"/>
              </w:rPr>
            </w:pPr>
          </w:p>
        </w:tc>
        <w:tc>
          <w:tcPr>
            <w:tcW w:w="2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7"/>
        </w:trPr>
        <w:tc>
          <w:tcPr>
            <w:tcW w:w="2060" w:type="dxa"/>
            <w:vAlign w:val="bottom"/>
          </w:tcPr>
          <w:p>
            <w:pPr>
              <w:spacing w:after="0"/>
              <w:rPr>
                <w:sz w:val="24"/>
                <w:szCs w:val="24"/>
                <w:color w:val="auto"/>
              </w:rPr>
            </w:pPr>
          </w:p>
        </w:tc>
        <w:tc>
          <w:tcPr>
            <w:tcW w:w="6380" w:type="dxa"/>
            <w:vAlign w:val="bottom"/>
            <w:gridSpan w:val="3"/>
          </w:tcPr>
          <w:p>
            <w:pPr>
              <w:ind w:left="2420"/>
              <w:spacing w:after="0"/>
              <w:rPr>
                <w:sz w:val="20"/>
                <w:szCs w:val="20"/>
                <w:color w:val="auto"/>
              </w:rPr>
            </w:pPr>
            <w:r>
              <w:rPr>
                <w:rFonts w:ascii="Arial" w:cs="Arial" w:eastAsia="Arial" w:hAnsi="Arial"/>
                <w:sz w:val="24"/>
                <w:szCs w:val="24"/>
                <w:b w:val="1"/>
                <w:bCs w:val="1"/>
                <w:color w:val="auto"/>
              </w:rPr>
              <w:t>The Williams Capital Group, L.P.</w:t>
            </w:r>
          </w:p>
        </w:tc>
        <w:tc>
          <w:tcPr>
            <w:tcW w:w="2980" w:type="dxa"/>
            <w:vAlign w:val="bottom"/>
            <w:vMerge w:val="restart"/>
          </w:tcPr>
          <w:p>
            <w:pPr>
              <w:jc w:val="right"/>
              <w:spacing w:after="0"/>
              <w:rPr>
                <w:sz w:val="20"/>
                <w:szCs w:val="20"/>
                <w:color w:val="auto"/>
              </w:rPr>
            </w:pPr>
            <w:r>
              <w:rPr>
                <w:rFonts w:ascii="Arial" w:cs="Arial" w:eastAsia="Arial" w:hAnsi="Arial"/>
                <w:sz w:val="24"/>
                <w:szCs w:val="24"/>
                <w:b w:val="1"/>
                <w:bCs w:val="1"/>
                <w:color w:val="auto"/>
              </w:rPr>
              <w:t>US Bancorp</w:t>
            </w:r>
          </w:p>
        </w:tc>
        <w:tc>
          <w:tcPr>
            <w:tcW w:w="0" w:type="dxa"/>
            <w:vAlign w:val="bottom"/>
          </w:tcPr>
          <w:p>
            <w:pPr>
              <w:spacing w:after="0"/>
              <w:rPr>
                <w:sz w:val="1"/>
                <w:szCs w:val="1"/>
                <w:color w:val="auto"/>
              </w:rPr>
            </w:pPr>
          </w:p>
        </w:tc>
      </w:tr>
      <w:tr>
        <w:trPr>
          <w:trHeight w:val="284"/>
        </w:trPr>
        <w:tc>
          <w:tcPr>
            <w:tcW w:w="20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18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60" w:type="dxa"/>
            <w:vAlign w:val="bottom"/>
            <w:vMerge w:val="restart"/>
          </w:tcPr>
          <w:p>
            <w:pPr>
              <w:spacing w:after="0"/>
              <w:rPr>
                <w:sz w:val="20"/>
                <w:szCs w:val="20"/>
                <w:color w:val="auto"/>
              </w:rPr>
            </w:pPr>
            <w:r>
              <w:rPr>
                <w:rFonts w:ascii="Arial" w:cs="Arial" w:eastAsia="Arial" w:hAnsi="Arial"/>
                <w:sz w:val="22"/>
                <w:szCs w:val="22"/>
                <w:b w:val="1"/>
                <w:bCs w:val="1"/>
                <w:color w:val="auto"/>
              </w:rPr>
              <w:t>Barclays</w:t>
            </w:r>
          </w:p>
        </w:tc>
        <w:tc>
          <w:tcPr>
            <w:tcW w:w="2800" w:type="dxa"/>
            <w:vAlign w:val="bottom"/>
          </w:tcPr>
          <w:p>
            <w:pPr>
              <w:spacing w:after="0"/>
              <w:rPr>
                <w:sz w:val="24"/>
                <w:szCs w:val="24"/>
                <w:color w:val="auto"/>
              </w:rPr>
            </w:pPr>
          </w:p>
        </w:tc>
        <w:tc>
          <w:tcPr>
            <w:tcW w:w="3580" w:type="dxa"/>
            <w:vAlign w:val="bottom"/>
            <w:gridSpan w:val="2"/>
          </w:tcPr>
          <w:p>
            <w:pPr>
              <w:jc w:val="center"/>
              <w:ind w:right="1772"/>
              <w:spacing w:after="0"/>
              <w:rPr>
                <w:sz w:val="20"/>
                <w:szCs w:val="20"/>
                <w:color w:val="auto"/>
              </w:rPr>
            </w:pPr>
            <w:r>
              <w:rPr>
                <w:rFonts w:ascii="Arial" w:cs="Arial" w:eastAsia="Arial" w:hAnsi="Arial"/>
                <w:sz w:val="18"/>
                <w:szCs w:val="18"/>
                <w:i w:val="1"/>
                <w:iCs w:val="1"/>
                <w:color w:val="auto"/>
                <w:w w:val="89"/>
              </w:rPr>
              <w:t>Co-Managers</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60" w:type="dxa"/>
            <w:vAlign w:val="bottom"/>
            <w:vMerge w:val="continue"/>
          </w:tcPr>
          <w:p>
            <w:pPr>
              <w:spacing w:after="0"/>
              <w:rPr>
                <w:sz w:val="22"/>
                <w:szCs w:val="22"/>
                <w:color w:val="auto"/>
              </w:rPr>
            </w:pPr>
          </w:p>
        </w:tc>
        <w:tc>
          <w:tcPr>
            <w:tcW w:w="6380" w:type="dxa"/>
            <w:vAlign w:val="bottom"/>
            <w:gridSpan w:val="3"/>
            <w:vMerge w:val="restart"/>
          </w:tcPr>
          <w:p>
            <w:pPr>
              <w:ind w:left="660"/>
              <w:spacing w:after="0"/>
              <w:rPr>
                <w:sz w:val="20"/>
                <w:szCs w:val="20"/>
                <w:color w:val="auto"/>
              </w:rPr>
            </w:pPr>
            <w:r>
              <w:rPr>
                <w:rFonts w:ascii="Arial" w:cs="Arial" w:eastAsia="Arial" w:hAnsi="Arial"/>
                <w:sz w:val="22"/>
                <w:szCs w:val="22"/>
                <w:b w:val="1"/>
                <w:bCs w:val="1"/>
                <w:color w:val="auto"/>
              </w:rPr>
              <w:t>Goldman, Sachs &amp; Co.</w:t>
            </w:r>
          </w:p>
        </w:tc>
        <w:tc>
          <w:tcPr>
            <w:tcW w:w="2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060" w:type="dxa"/>
            <w:vAlign w:val="bottom"/>
          </w:tcPr>
          <w:p>
            <w:pPr>
              <w:spacing w:after="0"/>
              <w:rPr>
                <w:sz w:val="17"/>
                <w:szCs w:val="17"/>
                <w:color w:val="auto"/>
              </w:rPr>
            </w:pPr>
          </w:p>
        </w:tc>
        <w:tc>
          <w:tcPr>
            <w:tcW w:w="6380" w:type="dxa"/>
            <w:vAlign w:val="bottom"/>
            <w:gridSpan w:val="3"/>
            <w:vMerge w:val="continue"/>
          </w:tcPr>
          <w:p>
            <w:pPr>
              <w:spacing w:after="0"/>
              <w:rPr>
                <w:sz w:val="17"/>
                <w:szCs w:val="17"/>
                <w:color w:val="auto"/>
              </w:rPr>
            </w:pP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0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60" w:type="dxa"/>
            <w:vAlign w:val="bottom"/>
          </w:tcPr>
          <w:p>
            <w:pPr>
              <w:ind w:left="20"/>
              <w:spacing w:after="0"/>
              <w:rPr>
                <w:sz w:val="20"/>
                <w:szCs w:val="20"/>
                <w:color w:val="auto"/>
              </w:rPr>
            </w:pPr>
            <w:r>
              <w:rPr>
                <w:rFonts w:ascii="Arial" w:cs="Arial" w:eastAsia="Arial" w:hAnsi="Arial"/>
                <w:sz w:val="22"/>
                <w:szCs w:val="22"/>
                <w:b w:val="1"/>
                <w:bCs w:val="1"/>
                <w:color w:val="auto"/>
              </w:rPr>
              <w:t>HSBC</w:t>
            </w:r>
          </w:p>
        </w:tc>
        <w:tc>
          <w:tcPr>
            <w:tcW w:w="29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PNC Capital Markets LLC</w:t>
            </w: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6"/>
          <w:szCs w:val="16"/>
          <w:color w:val="auto"/>
        </w:rPr>
        <w:t>March 5, 2014</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320" w:lineRule="auto"/>
        <w:rPr>
          <w:sz w:val="20"/>
          <w:szCs w:val="20"/>
          <w:color w:val="auto"/>
        </w:rPr>
      </w:pPr>
      <w:r>
        <w:rPr>
          <w:rFonts w:ascii="Arial" w:cs="Arial" w:eastAsia="Arial" w:hAnsi="Arial"/>
          <w:sz w:val="15"/>
          <w:szCs w:val="15"/>
          <w:b w:val="1"/>
          <w:bCs w:val="1"/>
          <w:color w:val="auto"/>
        </w:rPr>
        <w:t>We are responsible for the information contained in or incorporated by reference in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110490</wp:posOffset>
            </wp:positionV>
            <wp:extent cx="10890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320" w:type="dxa"/>
            <w:vAlign w:val="bottom"/>
            <w:gridSpan w:val="4"/>
          </w:tcPr>
          <w:p>
            <w:pPr>
              <w:jc w:val="right"/>
              <w:ind w:right="4574"/>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232"/>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4360" w:type="dxa"/>
            <w:vAlign w:val="bottom"/>
          </w:tcPr>
          <w:p>
            <w:pPr>
              <w:spacing w:after="0"/>
              <w:rPr>
                <w:sz w:val="20"/>
                <w:szCs w:val="20"/>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940" w:type="dxa"/>
            <w:vAlign w:val="bottom"/>
            <w:gridSpan w:val="3"/>
            <w:vMerge w:val="restart"/>
          </w:tcPr>
          <w:p>
            <w:pPr>
              <w:jc w:val="right"/>
              <w:ind w:right="4700"/>
              <w:spacing w:after="0"/>
              <w:rPr>
                <w:sz w:val="20"/>
                <w:szCs w:val="20"/>
                <w:color w:val="auto"/>
              </w:rPr>
            </w:pPr>
            <w:r>
              <w:rPr>
                <w:rFonts w:ascii="Arial" w:cs="Arial" w:eastAsia="Arial" w:hAnsi="Arial"/>
                <w:sz w:val="18"/>
                <w:szCs w:val="18"/>
                <w:b w:val="1"/>
                <w:bCs w:val="1"/>
                <w:color w:val="auto"/>
              </w:rPr>
              <w:t>Prospectus Supplement</w:t>
            </w:r>
          </w:p>
        </w:tc>
        <w:tc>
          <w:tcPr>
            <w:tcW w:w="3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500" w:type="dxa"/>
            <w:vAlign w:val="bottom"/>
            <w:gridSpan w:val="19"/>
            <w:vMerge w:val="restart"/>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Cautionary Note on Forward-Looking Statements</w:t>
              </w:r>
            </w:hyperlink>
          </w:p>
        </w:tc>
        <w:tc>
          <w:tcPr>
            <w:tcW w:w="500" w:type="dxa"/>
            <w:vAlign w:val="bottom"/>
            <w:gridSpan w:val="2"/>
            <w:vMerge w:val="restart"/>
          </w:tcPr>
          <w:p>
            <w:pPr>
              <w:spacing w:after="0"/>
              <w:rPr>
                <w:sz w:val="16"/>
                <w:szCs w:val="16"/>
                <w:color w:val="auto"/>
              </w:rPr>
            </w:pPr>
          </w:p>
        </w:tc>
        <w:tc>
          <w:tcPr>
            <w:tcW w:w="6940" w:type="dxa"/>
            <w:vAlign w:val="bottom"/>
            <w:gridSpan w:val="3"/>
            <w:vMerge w:val="continue"/>
          </w:tcPr>
          <w:p>
            <w:pPr>
              <w:spacing w:after="0"/>
              <w:rPr>
                <w:sz w:val="16"/>
                <w:szCs w:val="16"/>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91"/>
        </w:trPr>
        <w:tc>
          <w:tcPr>
            <w:tcW w:w="3500" w:type="dxa"/>
            <w:vAlign w:val="bottom"/>
            <w:tcBorders>
              <w:bottom w:val="single" w:sz="8" w:color="0000EE"/>
            </w:tcBorders>
            <w:gridSpan w:val="19"/>
            <w:vMerge w:val="continue"/>
          </w:tcPr>
          <w:p>
            <w:pPr>
              <w:spacing w:after="0"/>
              <w:rPr>
                <w:sz w:val="24"/>
                <w:szCs w:val="24"/>
                <w:color w:val="auto"/>
              </w:rPr>
            </w:pPr>
          </w:p>
        </w:tc>
        <w:tc>
          <w:tcPr>
            <w:tcW w:w="50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About This Prospectus Supplement</w:t>
              </w:r>
            </w:hyperlink>
          </w:p>
        </w:tc>
        <w:tc>
          <w:tcPr>
            <w:tcW w:w="150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S-iv</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Summary</w:t>
              </w:r>
            </w:hyperlink>
          </w:p>
        </w:tc>
        <w:tc>
          <w:tcPr>
            <w:tcW w:w="3300" w:type="dxa"/>
            <w:vAlign w:val="bottom"/>
            <w:gridSpan w:val="19"/>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3100" w:type="dxa"/>
            <w:vAlign w:val="bottom"/>
            <w:gridSpan w:val="18"/>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Capitalization</w:t>
              </w:r>
            </w:hyperlink>
          </w:p>
        </w:tc>
        <w:tc>
          <w:tcPr>
            <w:tcW w:w="140" w:type="dxa"/>
            <w:vAlign w:val="bottom"/>
            <w:tcBorders>
              <w:top w:val="single" w:sz="8" w:color="0000EE"/>
            </w:tcBorders>
          </w:tcPr>
          <w:p>
            <w:pPr>
              <w:spacing w:after="0"/>
              <w:rPr>
                <w:sz w:val="17"/>
                <w:szCs w:val="17"/>
                <w:color w:val="auto"/>
              </w:rPr>
            </w:pPr>
          </w:p>
        </w:tc>
        <w:tc>
          <w:tcPr>
            <w:tcW w:w="2860" w:type="dxa"/>
            <w:vAlign w:val="bottom"/>
            <w:gridSpan w:val="15"/>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S-10</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Ratios of Earnings to Fixed Charges</w:t>
              </w:r>
            </w:hyperlink>
          </w:p>
        </w:tc>
        <w:tc>
          <w:tcPr>
            <w:tcW w:w="144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S-11</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Description of the Notes</w:t>
              </w:r>
            </w:hyperlink>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Material U.S. Federal Income Tax Consequences</w:t>
              </w:r>
            </w:hyperlink>
          </w:p>
        </w:tc>
        <w:tc>
          <w:tcPr>
            <w:tcW w:w="54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S-20</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29">
              <w:r>
                <w:rPr>
                  <w:rFonts w:ascii="Arial" w:cs="Arial" w:eastAsia="Arial" w:hAnsi="Arial"/>
                  <w:sz w:val="18"/>
                  <w:szCs w:val="18"/>
                  <w:color w:val="0000EE"/>
                  <w:w w:val="93"/>
                </w:rPr>
                <w:t>Underwriting</w:t>
              </w:r>
            </w:hyperlink>
          </w:p>
        </w:tc>
        <w:tc>
          <w:tcPr>
            <w:tcW w:w="3040" w:type="dxa"/>
            <w:vAlign w:val="bottom"/>
            <w:gridSpan w:val="17"/>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S-23</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Validity of Securities</w:t>
              </w:r>
            </w:hyperlink>
          </w:p>
        </w:tc>
        <w:tc>
          <w:tcPr>
            <w:tcW w:w="2500" w:type="dxa"/>
            <w:vAlign w:val="bottom"/>
            <w:gridSpan w:val="11"/>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S-27</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Experts</w:t>
              </w:r>
            </w:hyperlink>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Where You Can Find More Information</w:t>
              </w:r>
            </w:hyperlink>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S-27</w:t>
            </w:r>
          </w:p>
        </w:tc>
        <w:tc>
          <w:tcPr>
            <w:tcW w:w="0" w:type="dxa"/>
            <w:vAlign w:val="bottom"/>
          </w:tcPr>
          <w:p>
            <w:pPr>
              <w:spacing w:after="0"/>
              <w:rPr>
                <w:sz w:val="1"/>
                <w:szCs w:val="1"/>
                <w:color w:val="auto"/>
              </w:rPr>
            </w:pPr>
          </w:p>
        </w:tc>
      </w:tr>
      <w:tr>
        <w:trPr>
          <w:trHeight w:val="451"/>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60" w:type="dxa"/>
            <w:vAlign w:val="bottom"/>
            <w:gridSpan w:val="3"/>
          </w:tcPr>
          <w:p>
            <w:pPr>
              <w:jc w:val="right"/>
              <w:ind w:right="5454"/>
              <w:spacing w:after="0"/>
              <w:rPr>
                <w:sz w:val="20"/>
                <w:szCs w:val="20"/>
                <w:color w:val="auto"/>
              </w:rPr>
            </w:pPr>
            <w:r>
              <w:rPr>
                <w:rFonts w:ascii="Arial" w:cs="Arial" w:eastAsia="Arial" w:hAnsi="Arial"/>
                <w:sz w:val="18"/>
                <w:szCs w:val="18"/>
                <w:b w:val="1"/>
                <w:bCs w:val="1"/>
                <w:color w:val="auto"/>
                <w:w w:val="91"/>
              </w:rPr>
              <w:t>Prospectus</w:t>
            </w:r>
          </w:p>
        </w:tc>
        <w:tc>
          <w:tcPr>
            <w:tcW w:w="0" w:type="dxa"/>
            <w:vAlign w:val="bottom"/>
          </w:tcPr>
          <w:p>
            <w:pPr>
              <w:spacing w:after="0"/>
              <w:rPr>
                <w:sz w:val="1"/>
                <w:szCs w:val="1"/>
                <w:color w:val="auto"/>
              </w:rPr>
            </w:pPr>
          </w:p>
        </w:tc>
      </w:tr>
      <w:tr>
        <w:trPr>
          <w:trHeight w:val="286"/>
        </w:trPr>
        <w:tc>
          <w:tcPr>
            <w:tcW w:w="4000" w:type="dxa"/>
            <w:vAlign w:val="bottom"/>
            <w:gridSpan w:val="2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The Company</w:t>
              </w:r>
            </w:hyperlink>
          </w:p>
        </w:tc>
        <w:tc>
          <w:tcPr>
            <w:tcW w:w="732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00" w:type="dxa"/>
            <w:vAlign w:val="bottom"/>
            <w:gridSpan w:val="5"/>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About this Prospectus</w:t>
              </w:r>
            </w:hyperlink>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Where You Can Find More Information</w:t>
              </w:r>
            </w:hyperlink>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Caution Concerning Forward-Looking Statements</w:t>
              </w:r>
            </w:hyperlink>
          </w:p>
        </w:tc>
        <w:tc>
          <w:tcPr>
            <w:tcW w:w="460" w:type="dxa"/>
            <w:vAlign w:val="bottom"/>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Use of Proceeds</w:t>
              </w:r>
            </w:hyperlink>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4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Ratios of Earnings to Fixed Charges</w:t>
              </w:r>
            </w:hyperlink>
          </w:p>
        </w:tc>
        <w:tc>
          <w:tcPr>
            <w:tcW w:w="1440" w:type="dxa"/>
            <w:vAlign w:val="bottom"/>
            <w:gridSpan w:val="5"/>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Description of Capital Stock</w:t>
              </w:r>
            </w:hyperlink>
          </w:p>
        </w:tc>
        <w:tc>
          <w:tcPr>
            <w:tcW w:w="1980" w:type="dxa"/>
            <w:vAlign w:val="bottom"/>
            <w:gridSpan w:val="8"/>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Description of Debt Securities</w:t>
              </w:r>
            </w:hyperlink>
          </w:p>
        </w:tc>
        <w:tc>
          <w:tcPr>
            <w:tcW w:w="1860" w:type="dxa"/>
            <w:vAlign w:val="bottom"/>
            <w:gridSpan w:val="7"/>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Description of Warrants</w:t>
              </w:r>
            </w:hyperlink>
          </w:p>
        </w:tc>
        <w:tc>
          <w:tcPr>
            <w:tcW w:w="2280" w:type="dxa"/>
            <w:vAlign w:val="bottom"/>
            <w:gridSpan w:val="9"/>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Description of Units</w:t>
              </w:r>
            </w:hyperlink>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9"/>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Forms of Securities</w:t>
              </w:r>
            </w:hyperlink>
          </w:p>
        </w:tc>
        <w:tc>
          <w:tcPr>
            <w:tcW w:w="2560" w:type="dxa"/>
            <w:vAlign w:val="bottom"/>
            <w:gridSpan w:val="12"/>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13"/>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Plan of Distribution</w:t>
              </w:r>
            </w:hyperlink>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400" w:type="dxa"/>
            <w:vAlign w:val="bottom"/>
            <w:gridSpan w:val="8"/>
            <w:shd w:val="clear" w:color="auto" w:fill="0000EE"/>
          </w:tcPr>
          <w:p>
            <w:pPr>
              <w:spacing w:after="0" w:line="20" w:lineRule="exact"/>
              <w:rPr>
                <w:sz w:val="1"/>
                <w:szCs w:val="1"/>
                <w:color w:val="auto"/>
              </w:rPr>
            </w:pPr>
          </w:p>
        </w:tc>
        <w:tc>
          <w:tcPr>
            <w:tcW w:w="2600" w:type="dxa"/>
            <w:vAlign w:val="bottom"/>
            <w:gridSpan w:val="13"/>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Validity of Securities</w:t>
              </w:r>
            </w:hyperlink>
          </w:p>
        </w:tc>
        <w:tc>
          <w:tcPr>
            <w:tcW w:w="2500" w:type="dxa"/>
            <w:vAlign w:val="bottom"/>
            <w:gridSpan w:val="11"/>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Experts</w:t>
              </w:r>
            </w:hyperlink>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supplement, the accompanying prospectus and documents that are incorporated by reference in this prospectus supplement include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37" w:lineRule="exact"/>
        <w:rPr>
          <w:sz w:val="20"/>
          <w:szCs w:val="20"/>
          <w:color w:val="auto"/>
        </w:rPr>
      </w:pPr>
    </w:p>
    <w:p>
      <w:pPr>
        <w:ind w:left="660" w:hanging="206"/>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Market demand for semiconductors, particularly in markets such as personal electronics, especially the mobile phone sector, and industrial;</w:t>
      </w:r>
    </w:p>
    <w:p>
      <w:pPr>
        <w:spacing w:after="0" w:line="126" w:lineRule="exact"/>
        <w:rPr>
          <w:rFonts w:ascii="Arial" w:cs="Arial" w:eastAsia="Arial" w:hAnsi="Arial"/>
          <w:sz w:val="16"/>
          <w:szCs w:val="16"/>
          <w:color w:val="auto"/>
        </w:rPr>
      </w:pPr>
    </w:p>
    <w:p>
      <w:pPr>
        <w:ind w:left="660" w:right="520" w:hanging="206"/>
        <w:spacing w:after="0" w:line="26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103" w:lineRule="exact"/>
        <w:rPr>
          <w:rFonts w:ascii="Arial" w:cs="Arial" w:eastAsia="Arial" w:hAnsi="Arial"/>
          <w:sz w:val="18"/>
          <w:szCs w:val="18"/>
          <w:color w:val="auto"/>
        </w:rPr>
      </w:pPr>
    </w:p>
    <w:p>
      <w:pPr>
        <w:ind w:left="660" w:right="200" w:hanging="206"/>
        <w:spacing w:after="0" w:line="306"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Violations of or changes in the complex laws, regulations and policies to which our global operations are subject, and 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2" w:lineRule="exact"/>
        <w:rPr>
          <w:rFonts w:ascii="Arial" w:cs="Arial" w:eastAsia="Arial" w:hAnsi="Arial"/>
          <w:sz w:val="16"/>
          <w:szCs w:val="16"/>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26" w:lineRule="exact"/>
        <w:rPr>
          <w:rFonts w:ascii="Arial" w:cs="Arial" w:eastAsia="Arial" w:hAnsi="Arial"/>
          <w:sz w:val="16"/>
          <w:szCs w:val="16"/>
          <w:color w:val="auto"/>
        </w:rPr>
      </w:pPr>
    </w:p>
    <w:p>
      <w:pPr>
        <w:ind w:left="660" w:right="40" w:hanging="206"/>
        <w:spacing w:after="0" w:line="26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37" w:lineRule="exact"/>
        <w:rPr>
          <w:rFonts w:ascii="Arial" w:cs="Arial" w:eastAsia="Arial" w:hAnsi="Arial"/>
          <w:sz w:val="18"/>
          <w:szCs w:val="18"/>
          <w:color w:val="auto"/>
        </w:rPr>
      </w:pPr>
    </w:p>
    <w:p>
      <w:pPr>
        <w:ind w:left="660" w:right="80" w:hanging="206"/>
        <w:spacing w:after="0" w:line="325"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206"/>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TI’s detriment;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loss suffered by a customer or distributor of TI with respect to TI-consigned inventory;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Product liability or warranty claims, claims based on epidemic or delivery failure or recalls by TI customers for a product containing a TI part;</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103"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103"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1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undertake no obligation to publicly update or revise any forward-looking statements, whether as a result of new information, future events or risks, except to the extent required by applicable securities laws. If we do update one or more forward-looking statements, no inference should be drawn that we will make additional updates with respect to those or other forward-looking statements. New information, future events or risks could cause the forward-looking events we discuss in this prospectus supplement, the accompanying prospectus or the documents incorporated herein by reference not to occur. Additional information concerning these and other risks and uncertainties is contained in our periodic filings with the Securities and Exchange Commission.</w:t>
      </w:r>
    </w:p>
    <w:p>
      <w:pPr>
        <w:spacing w:after="0" w:line="1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60"/>
          </w:cols>
          <w:pgMar w:left="24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 SUPPLEMENT</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22, 2013. The accompanying prospectus contains a description of our debt securities and gives more general information, some of which may not apply to this offering.</w:t>
      </w:r>
    </w:p>
    <w:p>
      <w:pPr>
        <w:spacing w:after="0" w:line="13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112"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The following summary highlights information contained in or incorporated by reference in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Texas Instruments Incorporated</w:t>
      </w:r>
    </w:p>
    <w:p>
      <w:pPr>
        <w:spacing w:after="0" w:line="16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At TI, we design and make semiconductors that we sell to electronics designers and manufacturers all over the world. We began operations in 1930. We are incorporated in Delaware, headquartered in Dallas, Texas, and have design, manufacturing or sales operations in 35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102235</wp:posOffset>
            </wp:positionV>
            <wp:extent cx="10890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2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principal executive offices are located at 12500 TI Boulevard, Dallas, Texas 75266-0199, and our telephone number is (214) 479-3773. We maintain a website at www.ti.com where general information about us is available. Again, we are not incorporating the contents of the website into this prospectus supplement or the accompanying prospectus.</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incorporated by reference in this prospectus supplement. For instructions on how to find copies of these and our other filings incorporated by reference in this prospectus supplement, see “Where You Can Find More Information.”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Texas Instruments Incorporated</w:t>
      </w:r>
    </w:p>
    <w:p>
      <w:pPr>
        <w:spacing w:after="0" w:line="200" w:lineRule="exact"/>
        <w:rPr>
          <w:sz w:val="20"/>
          <w:szCs w:val="20"/>
          <w:color w:val="auto"/>
        </w:rPr>
      </w:pPr>
    </w:p>
    <w:p>
      <w:pPr>
        <w:sectPr>
          <w:pgSz w:w="11900" w:h="16838" w:orient="portrait"/>
          <w:cols w:equalWidth="0" w:num="2">
            <w:col w:w="3520" w:space="720"/>
            <w:col w:w="7180"/>
          </w:cols>
          <w:pgMar w:left="240" w:top="459"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Securities Offered</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$250,000,000 aggregate principal amount of 0.875% Notes due 2017</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$250,000,000 aggregate principal amount of 2.750% Notes due 2021</w:t>
      </w:r>
    </w:p>
    <w:p>
      <w:pPr>
        <w:spacing w:after="0" w:line="200" w:lineRule="exact"/>
        <w:rPr>
          <w:sz w:val="20"/>
          <w:szCs w:val="20"/>
          <w:color w:val="auto"/>
        </w:rPr>
      </w:pPr>
    </w:p>
    <w:p>
      <w:pPr>
        <w:sectPr>
          <w:pgSz w:w="11900" w:h="16838" w:orient="portrait"/>
          <w:cols w:equalWidth="0" w:num="2">
            <w:col w:w="3520" w:space="720"/>
            <w:col w:w="7180"/>
          </w:cols>
          <w:pgMar w:left="240" w:top="459" w:right="239" w:bottom="1440" w:gutter="0" w:footer="0" w:header="0"/>
          <w:type w:val="continuous"/>
        </w:sectPr>
      </w:pP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Maturity Dates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March 12, 2017 for the 2017 Notes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March 12, 2021 for the 2021 Notes</w:t>
      </w:r>
    </w:p>
    <w:p>
      <w:pPr>
        <w:spacing w:after="0" w:line="132" w:lineRule="exact"/>
        <w:rPr>
          <w:sz w:val="20"/>
          <w:szCs w:val="20"/>
          <w:color w:val="auto"/>
        </w:rPr>
      </w:pPr>
    </w:p>
    <w:p>
      <w:pPr>
        <w:sectPr>
          <w:pgSz w:w="11900" w:h="16838" w:orient="portrait"/>
          <w:cols w:equalWidth="0" w:num="2">
            <w:col w:w="3520" w:space="720"/>
            <w:col w:w="71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Original Issue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March 12, 2014</w:t>
      </w:r>
    </w:p>
    <w:p>
      <w:pPr>
        <w:spacing w:after="0" w:line="200" w:lineRule="exact"/>
        <w:rPr>
          <w:sz w:val="20"/>
          <w:szCs w:val="20"/>
          <w:color w:val="auto"/>
        </w:rPr>
      </w:pPr>
    </w:p>
    <w:p>
      <w:pPr>
        <w:sectPr>
          <w:pgSz w:w="11900" w:h="16838" w:orient="portrait"/>
          <w:cols w:equalWidth="0" w:num="2">
            <w:col w:w="3520" w:space="720"/>
            <w:col w:w="7180"/>
          </w:cols>
          <w:pgMar w:left="240" w:top="45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Interest Rates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Fixed rate of 0.875% for the 2017 Notes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Fixed rate of 2.750% for the 2021 Notes</w:t>
      </w:r>
    </w:p>
    <w:p>
      <w:pPr>
        <w:spacing w:after="0" w:line="200" w:lineRule="exact"/>
        <w:rPr>
          <w:sz w:val="20"/>
          <w:szCs w:val="20"/>
          <w:color w:val="auto"/>
        </w:rPr>
      </w:pPr>
    </w:p>
    <w:p>
      <w:pPr>
        <w:sectPr>
          <w:pgSz w:w="11900" w:h="16838" w:orient="portrait"/>
          <w:cols w:equalWidth="0" w:num="2">
            <w:col w:w="3520" w:space="720"/>
            <w:col w:w="7180"/>
          </w:cols>
          <w:pgMar w:left="240" w:top="459" w:right="239" w:bottom="1440" w:gutter="0" w:footer="0" w:header="0"/>
          <w:type w:val="continuous"/>
        </w:sectPr>
      </w:pP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Each March 12 and September 12 beginning on September 12, 2014, and on the maturity date for each series of Notes.</w:t>
      </w:r>
    </w:p>
    <w:p>
      <w:pPr>
        <w:spacing w:after="0" w:line="186" w:lineRule="exact"/>
        <w:rPr>
          <w:sz w:val="20"/>
          <w:szCs w:val="20"/>
          <w:color w:val="auto"/>
        </w:rPr>
      </w:pPr>
    </w:p>
    <w:p>
      <w:pPr>
        <w:sectPr>
          <w:pgSz w:w="11900" w:h="16838" w:orient="portrait"/>
          <w:cols w:equalWidth="0" w:num="2">
            <w:col w:w="3520" w:space="720"/>
            <w:col w:w="71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ind w:right="200"/>
        <w:spacing w:after="0" w:line="256" w:lineRule="auto"/>
        <w:rPr>
          <w:sz w:val="20"/>
          <w:szCs w:val="20"/>
          <w:color w:val="auto"/>
        </w:rPr>
      </w:pPr>
      <w:r>
        <w:rPr>
          <w:rFonts w:ascii="Arial" w:cs="Arial" w:eastAsia="Arial" w:hAnsi="Arial"/>
          <w:sz w:val="18"/>
          <w:szCs w:val="18"/>
          <w:color w:val="auto"/>
        </w:rPr>
        <w:t>The Notes will be the senior unsecured obligations of Texas Instruments Incorporated and will rank equally with all of its existing and future senior indebtedness from time to time outstanding. All existing and future liabilities of subsidiaries of Texas Instruments Incorporated will be effectively senior to the Notes.</w:t>
      </w:r>
    </w:p>
    <w:p>
      <w:pPr>
        <w:spacing w:after="0" w:line="49" w:lineRule="exact"/>
        <w:rPr>
          <w:sz w:val="20"/>
          <w:szCs w:val="20"/>
          <w:color w:val="auto"/>
        </w:rPr>
      </w:pPr>
    </w:p>
    <w:p>
      <w:pPr>
        <w:sectPr>
          <w:pgSz w:w="11900" w:h="16838" w:orient="portrait"/>
          <w:cols w:equalWidth="0" w:num="2">
            <w:col w:w="3520" w:space="720"/>
            <w:col w:w="7180"/>
          </w:cols>
          <w:pgMar w:left="240" w:top="459" w:right="239" w:bottom="1440" w:gutter="0" w:footer="0" w:header="0"/>
          <w:type w:val="continuous"/>
        </w:sectPr>
      </w:pPr>
    </w:p>
    <w:p>
      <w:pPr>
        <w:ind w:left="4240" w:right="60"/>
        <w:spacing w:after="0" w:line="294" w:lineRule="auto"/>
        <w:rPr>
          <w:sz w:val="20"/>
          <w:szCs w:val="20"/>
          <w:color w:val="auto"/>
        </w:rPr>
      </w:pPr>
      <w:r>
        <w:rPr>
          <w:rFonts w:ascii="Arial" w:cs="Arial" w:eastAsia="Arial" w:hAnsi="Arial"/>
          <w:sz w:val="16"/>
          <w:szCs w:val="16"/>
          <w:color w:val="auto"/>
        </w:rPr>
        <w:t>As of December 31, 2013, Texas Instruments Incorporated had approximately $5.2 billion of outstanding indebtedness. As of December 31, 2013, we had approximately $8.1 billion of total liabilities on a consolidated basis. Of this amount, subsidiaries of Texas Instruments Incorporated had approximately $1.8 billion of liabilities (including trade payables and excluding intercompany debt) to which the Notes will be effectively subordinated.</w:t>
      </w:r>
    </w:p>
    <w:p>
      <w:pPr>
        <w:sectPr>
          <w:pgSz w:w="11900" w:h="16838" w:orient="portrait"/>
          <w:cols w:equalWidth="0" w:num="1">
            <w:col w:w="11420"/>
          </w:cols>
          <w:pgMar w:left="240" w:top="459" w:right="23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Form and Denomination</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Notes will be issued in the form of one or more fully registered global securities, without coupons, in denominations of $2,000 in principal amount and integral multiples of $1,000 in excess thereof. These global notes will be deposited with the trustee as custodian for, and registered in the name of, a nominee of The Depository Trust Company, or DTC. Except in the limited circumstances described under “Description of the Notes—Book-Entry; Delivery and Form; Global Note,” Notes in certificated form will not be issued or exchanged for interests in global securities.</w:t>
      </w:r>
    </w:p>
    <w:p>
      <w:pPr>
        <w:spacing w:after="0" w:line="174" w:lineRule="exact"/>
        <w:rPr>
          <w:sz w:val="20"/>
          <w:szCs w:val="20"/>
          <w:color w:val="auto"/>
        </w:rPr>
      </w:pPr>
    </w:p>
    <w:p>
      <w:pPr>
        <w:sectPr>
          <w:pgSz w:w="11900" w:h="16838" w:orient="portrait"/>
          <w:cols w:equalWidth="0" w:num="2">
            <w:col w:w="3520" w:space="720"/>
            <w:col w:w="71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Governing Law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internal laws of the State of New York.</w:t>
      </w:r>
    </w:p>
    <w:p>
      <w:pPr>
        <w:spacing w:after="0" w:line="181" w:lineRule="exact"/>
        <w:rPr>
          <w:sz w:val="20"/>
          <w:szCs w:val="20"/>
          <w:color w:val="auto"/>
        </w:rPr>
      </w:pPr>
    </w:p>
    <w:p>
      <w:pPr>
        <w:sectPr>
          <w:pgSz w:w="11900" w:h="16838" w:orient="portrait"/>
          <w:cols w:equalWidth="0" w:num="2">
            <w:col w:w="3520" w:space="720"/>
            <w:col w:w="718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S-2</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expect to use the net proceeds of this offering for repayment of a portion of the notes due May 15, 2014 bearing interest at a fixed rate of 1.375%. See “Use of Proceeds.” In connection with the issuance of the Notes, we may enter into interest rate swap agreements with financial institutions, which may include one or more of the underwriters or their affiliates.</w:t>
      </w:r>
    </w:p>
    <w:p>
      <w:pPr>
        <w:spacing w:after="0" w:line="167" w:lineRule="exact"/>
        <w:rPr>
          <w:sz w:val="20"/>
          <w:szCs w:val="20"/>
          <w:color w:val="auto"/>
        </w:rPr>
      </w:pPr>
    </w:p>
    <w:p>
      <w:pPr>
        <w:sectPr>
          <w:pgSz w:w="11900" w:h="16838" w:orient="portrait"/>
          <w:cols w:equalWidth="0" w:num="2">
            <w:col w:w="3520" w:space="720"/>
            <w:col w:w="7140"/>
          </w:cols>
          <w:pgMar w:left="240" w:top="459" w:right="279" w:bottom="1440" w:gutter="0" w:footer="0" w:header="0"/>
          <w:type w:val="continuous"/>
        </w:sectPr>
      </w:pPr>
    </w:p>
    <w:p>
      <w:pPr>
        <w:spacing w:after="0"/>
        <w:rPr>
          <w:sz w:val="20"/>
          <w:szCs w:val="20"/>
          <w:color w:val="auto"/>
        </w:rPr>
      </w:pPr>
      <w:r>
        <w:rPr>
          <w:rFonts w:ascii="Arial" w:cs="Arial" w:eastAsia="Arial" w:hAnsi="Arial"/>
          <w:sz w:val="15"/>
          <w:szCs w:val="15"/>
          <w:color w:val="auto"/>
        </w:rPr>
        <w:t>Further Issuances</w:t>
      </w:r>
    </w:p>
    <w:p>
      <w:pPr>
        <w:spacing w:after="0" w:line="20" w:lineRule="exact"/>
        <w:rPr>
          <w:sz w:val="20"/>
          <w:szCs w:val="20"/>
          <w:color w:val="auto"/>
        </w:rPr>
      </w:pPr>
      <w:r>
        <w:rPr>
          <w:sz w:val="20"/>
          <w:szCs w:val="20"/>
          <w:color w:val="auto"/>
        </w:rPr>
        <w:br w:type="column"/>
      </w:r>
    </w:p>
    <w:p>
      <w:pPr>
        <w:ind w:right="40"/>
        <w:spacing w:after="0" w:line="298" w:lineRule="auto"/>
        <w:rPr>
          <w:sz w:val="20"/>
          <w:szCs w:val="20"/>
          <w:color w:val="auto"/>
        </w:rPr>
      </w:pPr>
      <w:r>
        <w:rPr>
          <w:rFonts w:ascii="Arial" w:cs="Arial" w:eastAsia="Arial" w:hAnsi="Arial"/>
          <w:sz w:val="16"/>
          <w:szCs w:val="16"/>
          <w:color w:val="auto"/>
        </w:rPr>
        <w:t>Texas Instruments Incorporated may create and issue further notes of a series ranking equally and ratably with the applicable series of Notes offered by this prospectus supplement in all respects, so that such further notes of each series will be consolidated and form a single series with the applicable series of Notes offered by this prospectus supplement.</w:t>
      </w:r>
    </w:p>
    <w:p>
      <w:pPr>
        <w:spacing w:after="0" w:line="167" w:lineRule="exact"/>
        <w:rPr>
          <w:sz w:val="20"/>
          <w:szCs w:val="20"/>
          <w:color w:val="auto"/>
        </w:rPr>
      </w:pPr>
    </w:p>
    <w:p>
      <w:pPr>
        <w:sectPr>
          <w:pgSz w:w="11900" w:h="16838" w:orient="portrait"/>
          <w:cols w:equalWidth="0" w:num="2">
            <w:col w:w="3520" w:space="720"/>
            <w:col w:w="7140"/>
          </w:cols>
          <w:pgMar w:left="240" w:top="459" w:right="279" w:bottom="1440" w:gutter="0" w:footer="0" w:header="0"/>
          <w:type w:val="continuous"/>
        </w:sectPr>
      </w:pPr>
    </w:p>
    <w:p>
      <w:pPr>
        <w:spacing w:after="0"/>
        <w:rPr>
          <w:sz w:val="20"/>
          <w:szCs w:val="20"/>
          <w:color w:val="auto"/>
        </w:rPr>
      </w:pPr>
      <w:r>
        <w:rPr>
          <w:rFonts w:ascii="Arial" w:cs="Arial" w:eastAsia="Arial" w:hAnsi="Arial"/>
          <w:sz w:val="16"/>
          <w:szCs w:val="16"/>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211" w:lineRule="exact"/>
        <w:rPr>
          <w:sz w:val="20"/>
          <w:szCs w:val="20"/>
          <w:color w:val="auto"/>
        </w:rPr>
      </w:pPr>
    </w:p>
    <w:p>
      <w:pPr>
        <w:sectPr>
          <w:pgSz w:w="11900" w:h="16838" w:orient="portrait"/>
          <w:cols w:equalWidth="0" w:num="2">
            <w:col w:w="3520" w:space="720"/>
            <w:col w:w="7140"/>
          </w:cols>
          <w:pgMar w:left="240" w:top="459" w:right="2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Texas Instruments Incorporated may redeem some or all of the Notes at any time at the redemption prices indicated under the heading “Description of the Notes — Optional Redemption.”</w:t>
      </w:r>
    </w:p>
    <w:p>
      <w:pPr>
        <w:spacing w:after="0" w:line="116" w:lineRule="exact"/>
        <w:rPr>
          <w:sz w:val="20"/>
          <w:szCs w:val="20"/>
          <w:color w:val="auto"/>
        </w:rPr>
      </w:pPr>
    </w:p>
    <w:p>
      <w:pPr>
        <w:sectPr>
          <w:pgSz w:w="11900" w:h="16838" w:orient="portrait"/>
          <w:cols w:equalWidth="0" w:num="2">
            <w:col w:w="3520" w:space="720"/>
            <w:col w:w="7140"/>
          </w:cols>
          <w:pgMar w:left="240" w:top="459" w:right="279" w:bottom="1440" w:gutter="0" w:footer="0" w:header="0"/>
          <w:type w:val="continuous"/>
        </w:sectPr>
      </w:pPr>
    </w:p>
    <w:p>
      <w:pPr>
        <w:spacing w:after="0"/>
        <w:rPr>
          <w:sz w:val="20"/>
          <w:szCs w:val="20"/>
          <w:color w:val="auto"/>
        </w:rPr>
      </w:pPr>
      <w:r>
        <w:rPr>
          <w:rFonts w:ascii="Arial" w:cs="Arial" w:eastAsia="Arial" w:hAnsi="Arial"/>
          <w:sz w:val="16"/>
          <w:szCs w:val="16"/>
          <w:color w:val="auto"/>
        </w:rPr>
        <w:t>Trading</w:t>
      </w:r>
    </w:p>
    <w:p>
      <w:pPr>
        <w:spacing w:after="0" w:line="20" w:lineRule="exact"/>
        <w:rPr>
          <w:sz w:val="20"/>
          <w:szCs w:val="20"/>
          <w:color w:val="auto"/>
        </w:rPr>
      </w:pPr>
      <w:r>
        <w:rPr>
          <w:sz w:val="20"/>
          <w:szCs w:val="20"/>
          <w:color w:val="auto"/>
        </w:rPr>
        <w:br w:type="column"/>
      </w:r>
    </w:p>
    <w:p>
      <w:pPr>
        <w:ind w:right="40"/>
        <w:spacing w:after="0" w:line="294" w:lineRule="auto"/>
        <w:rPr>
          <w:sz w:val="20"/>
          <w:szCs w:val="20"/>
          <w:color w:val="auto"/>
        </w:rPr>
      </w:pPr>
      <w:r>
        <w:rPr>
          <w:rFonts w:ascii="Arial" w:cs="Arial" w:eastAsia="Arial" w:hAnsi="Arial"/>
          <w:sz w:val="16"/>
          <w:szCs w:val="16"/>
          <w:color w:val="auto"/>
        </w:rPr>
        <w:t>The Notes are new issues of securities with no established trading market. We do not intend to apply for listing of the Notes on any securities exchange. The underwriters have advised us that they intend to make a market in each series of the Notes, but they are not obligated to do so and may discontinue market-making at any time without notice. See “Underwriting” in this prospectus supplement for more information about possible market-making by the underwriters.</w:t>
      </w:r>
    </w:p>
    <w:p>
      <w:pPr>
        <w:spacing w:after="0" w:line="170" w:lineRule="exact"/>
        <w:rPr>
          <w:sz w:val="20"/>
          <w:szCs w:val="20"/>
          <w:color w:val="auto"/>
        </w:rPr>
      </w:pPr>
    </w:p>
    <w:p>
      <w:pPr>
        <w:sectPr>
          <w:pgSz w:w="11900" w:h="16838" w:orient="portrait"/>
          <w:cols w:equalWidth="0" w:num="2">
            <w:col w:w="3520" w:space="720"/>
            <w:col w:w="7140"/>
          </w:cols>
          <w:pgMar w:left="240" w:top="459" w:right="279" w:bottom="1440" w:gutter="0" w:footer="0" w:header="0"/>
          <w:type w:val="continuous"/>
        </w:sectPr>
      </w:pPr>
    </w:p>
    <w:p>
      <w:pPr>
        <w:spacing w:after="0"/>
        <w:rPr>
          <w:sz w:val="20"/>
          <w:szCs w:val="20"/>
          <w:color w:val="auto"/>
        </w:rPr>
      </w:pPr>
      <w:r>
        <w:rPr>
          <w:rFonts w:ascii="Arial" w:cs="Arial" w:eastAsia="Arial" w:hAnsi="Arial"/>
          <w:sz w:val="15"/>
          <w:szCs w:val="15"/>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Bank National Association</w:t>
      </w:r>
    </w:p>
    <w:p>
      <w:pPr>
        <w:spacing w:after="0" w:line="200" w:lineRule="exact"/>
        <w:rPr>
          <w:sz w:val="20"/>
          <w:szCs w:val="20"/>
          <w:color w:val="auto"/>
        </w:rPr>
      </w:pPr>
    </w:p>
    <w:p>
      <w:pPr>
        <w:sectPr>
          <w:pgSz w:w="11900" w:h="16838" w:orient="portrait"/>
          <w:cols w:equalWidth="0" w:num="2">
            <w:col w:w="3520" w:space="720"/>
            <w:col w:w="7140"/>
          </w:cols>
          <w:pgMar w:left="240" w:top="459" w:right="2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You should carefully consider all of the information in this prospectus supplement and the accompanying prospectus and the documents incorporated herein by reference. In particular, you should evaluate the information set forth under “Cautionary Note on Forward-Looking Statements” and “Risk Factors” before deciding whether to invest in the Notes.</w:t>
      </w:r>
    </w:p>
    <w:p>
      <w:pPr>
        <w:spacing w:after="0" w:line="99" w:lineRule="exact"/>
        <w:rPr>
          <w:sz w:val="20"/>
          <w:szCs w:val="20"/>
          <w:color w:val="auto"/>
        </w:rPr>
      </w:pPr>
    </w:p>
    <w:p>
      <w:pPr>
        <w:sectPr>
          <w:pgSz w:w="11900" w:h="16838" w:orient="portrait"/>
          <w:cols w:equalWidth="0" w:num="2">
            <w:col w:w="3520" w:space="720"/>
            <w:col w:w="7140"/>
          </w:cols>
          <w:pgMar w:left="240" w:top="459" w:right="279" w:bottom="1440" w:gutter="0" w:footer="0" w:header="0"/>
          <w:type w:val="continuous"/>
        </w:sectPr>
      </w:pPr>
    </w:p>
    <w:p>
      <w:pPr>
        <w:jc w:val="center"/>
        <w:ind w:right="-59"/>
        <w:spacing w:after="0"/>
        <w:rPr>
          <w:sz w:val="20"/>
          <w:szCs w:val="20"/>
          <w:color w:val="auto"/>
        </w:rPr>
      </w:pPr>
      <w:r>
        <w:rPr>
          <w:rFonts w:ascii="Arial" w:cs="Arial" w:eastAsia="Arial" w:hAnsi="Arial"/>
          <w:sz w:val="15"/>
          <w:szCs w:val="15"/>
          <w:color w:val="auto"/>
        </w:rPr>
        <w:t>S-3</w:t>
      </w:r>
    </w:p>
    <w:p>
      <w:pPr>
        <w:sectPr>
          <w:pgSz w:w="11900" w:h="16838" w:orient="portrait"/>
          <w:cols w:equalWidth="0" w:num="1">
            <w:col w:w="11380"/>
          </w:cols>
          <w:pgMar w:left="240" w:top="459" w:right="27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Financial Information</w:t>
      </w:r>
    </w:p>
    <w:p>
      <w:pPr>
        <w:spacing w:after="0" w:line="164"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following table sets forth our summary historical financial information. The summary historical financial information for the years ended December 31, 2013, 2012 and 2011 and as of December 31, 2013 and 2012 has been derived from our audited consolidated financial statements included or incorporated by reference in this prospectus supplement and the accompanying prospectus.</w:t>
      </w:r>
    </w:p>
    <w:p>
      <w:pPr>
        <w:spacing w:after="0" w:line="12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Various factors will have an effect on our financial condition and results of operations. You should read the summary historical financial information in conjunction with the information under “Risk Factors,” “Capitalization,” “Management’s Discussion and Analysis of Financial Condition and Results of Operations,” our consolidated financial statements and the related notes, all included elsewhere or incorporated by reference in this prospectus supplement and the accompanying prospectus.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4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gridSpan w:val="2"/>
            <w:vMerge w:val="continue"/>
          </w:tcPr>
          <w:p>
            <w:pPr>
              <w:spacing w:after="0"/>
              <w:rPr>
                <w:sz w:val="12"/>
                <w:szCs w:val="12"/>
                <w:color w:val="auto"/>
              </w:rPr>
            </w:pPr>
          </w:p>
        </w:tc>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4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12,205</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12,825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13,735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of revenue</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5,841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6,457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6,364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1,522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1,877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Acquisition charges</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charges/other</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Operating profit</w:t>
            </w:r>
          </w:p>
        </w:tc>
        <w:tc>
          <w:tcPr>
            <w:tcW w:w="4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40" w:type="dxa"/>
            <w:vAlign w:val="bottom"/>
            <w:gridSpan w:val="2"/>
            <w:vMerge w:val="continue"/>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2,832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1,973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and debt expense</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2,754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592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w:t>
            </w:r>
          </w:p>
        </w:tc>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gridSpan w:val="2"/>
            <w:vMerge w:val="continue"/>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vMerge w:val="continue"/>
          </w:tcPr>
          <w:p>
            <w:pPr>
              <w:spacing w:after="0"/>
              <w:rPr>
                <w:sz w:val="18"/>
                <w:szCs w:val="18"/>
                <w:color w:val="auto"/>
              </w:rPr>
            </w:pP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1.51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Basic</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1,098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360" w:type="dxa"/>
            <w:vAlign w:val="bottom"/>
            <w:gridSpan w:val="2"/>
          </w:tcPr>
          <w:p>
            <w:pPr>
              <w:jc w:val="right"/>
              <w:ind w:right="2872"/>
              <w:spacing w:after="0"/>
              <w:rPr>
                <w:sz w:val="20"/>
                <w:szCs w:val="20"/>
                <w:color w:val="auto"/>
              </w:rPr>
            </w:pPr>
            <w:r>
              <w:rPr>
                <w:rFonts w:ascii="Arial" w:cs="Arial" w:eastAsia="Arial" w:hAnsi="Arial"/>
                <w:sz w:val="18"/>
                <w:szCs w:val="18"/>
                <w:color w:val="auto"/>
              </w:rPr>
              <w:t>S-4</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5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ind w:lef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580" w:type="dxa"/>
            <w:vAlign w:val="bottom"/>
            <w:tcBorders>
              <w:bottom w:val="single" w:sz="8" w:color="CCEEFF"/>
            </w:tcBorders>
            <w:vMerge w:val="continue"/>
          </w:tcPr>
          <w:p>
            <w:pPr>
              <w:spacing w:after="0"/>
              <w:rPr>
                <w:sz w:val="12"/>
                <w:szCs w:val="12"/>
                <w:color w:val="auto"/>
              </w:rPr>
            </w:pPr>
          </w:p>
        </w:tc>
        <w:tc>
          <w:tcPr>
            <w:tcW w:w="5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3,829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allowances</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Inventories</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1,731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5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3,399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Acquisition-related intangibles, net</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2,223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18,938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5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5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Long-term debt</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4,158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10,807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10,961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18,938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580" w:type="dxa"/>
            <w:vAlign w:val="bottom"/>
          </w:tcPr>
          <w:p>
            <w:pPr>
              <w:spacing w:after="0"/>
              <w:rPr>
                <w:sz w:val="24"/>
                <w:szCs w:val="24"/>
                <w:color w:val="auto"/>
              </w:rPr>
            </w:pPr>
          </w:p>
        </w:tc>
        <w:tc>
          <w:tcPr>
            <w:tcW w:w="5240" w:type="dxa"/>
            <w:vAlign w:val="bottom"/>
            <w:gridSpan w:val="2"/>
          </w:tcPr>
          <w:p>
            <w:pPr>
              <w:jc w:val="right"/>
              <w:ind w:right="3980"/>
              <w:spacing w:after="0"/>
              <w:rPr>
                <w:sz w:val="20"/>
                <w:szCs w:val="20"/>
                <w:color w:val="auto"/>
              </w:rPr>
            </w:pPr>
            <w:r>
              <w:rPr>
                <w:rFonts w:ascii="Arial" w:cs="Arial" w:eastAsia="Arial" w:hAnsi="Arial"/>
                <w:sz w:val="18"/>
                <w:szCs w:val="18"/>
                <w:color w:val="auto"/>
              </w:rPr>
              <w:t>S-5</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i w:val="1"/>
          <w:iCs w:val="1"/>
          <w:color w:val="auto"/>
        </w:rPr>
        <w:t>In considering whether to purchase the Notes, you should carefully consider all the information contained or incorporated by reference in this prospectus supplement and the accompanying prospectus. In addition, you should carefully consider the risk factors described below, which are not exhaustive.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hereby incorporate by reference risk factors in Item 1A of our Annual Report on Form 10-K for the year ended December 31, 2013.</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 active trading market for the Notes may not develop.</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There is currently no public market for the Notes, and we do not currently plan to list the Notes on any national securities exchange. In addition, the liquidity of any trading market in the Notes, and the market price quoted for the Notes, may be adversely affected by changes in the overall market for these Notes, prevailing interest rates, ratings assigned to the Notes, time remaining to the maturity of the Notes, outstanding amount of the Notes, the market for similar securities, prospects for other companies in our industry and changes in our consolidated financial condition, results of operations or prospects. A liquid trading market in the Notes may not develop, which could decrease the amounts you would otherwise receive upon a sale or disposition of the Notes.</w:t>
      </w:r>
    </w:p>
    <w:p>
      <w:pPr>
        <w:spacing w:after="0" w:line="102" w:lineRule="exact"/>
        <w:rPr>
          <w:sz w:val="20"/>
          <w:szCs w:val="20"/>
          <w:color w:val="auto"/>
        </w:rPr>
      </w:pPr>
    </w:p>
    <w:p>
      <w:pPr>
        <w:ind w:left="240" w:right="140"/>
        <w:spacing w:after="0" w:line="259" w:lineRule="auto"/>
        <w:rPr>
          <w:sz w:val="20"/>
          <w:szCs w:val="20"/>
          <w:color w:val="auto"/>
        </w:rPr>
      </w:pPr>
      <w:r>
        <w:rPr>
          <w:rFonts w:ascii="Arial" w:cs="Arial" w:eastAsia="Arial" w:hAnsi="Arial"/>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4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93"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December 31, 2013, we had approximately $8.1 billion of total liabilities on a consolidated basis. Of this amount, subsidiaries of Texas Instruments Incorporated had approximately $1.8 billion of liabilities (including trade payables and excluding intercompany debt) to which the Notes will be effectively subordinated.</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Notes will be subject to the prior claims of any future secured creditors.</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105" w:lineRule="exact"/>
        <w:rPr>
          <w:sz w:val="20"/>
          <w:szCs w:val="20"/>
          <w:color w:val="auto"/>
        </w:rPr>
      </w:pPr>
    </w:p>
    <w:p>
      <w:pPr>
        <w:ind w:left="240"/>
        <w:spacing w:after="0" w:line="256" w:lineRule="auto"/>
        <w:rPr>
          <w:sz w:val="20"/>
          <w:szCs w:val="20"/>
          <w:color w:val="auto"/>
        </w:rPr>
      </w:pPr>
      <w:r>
        <w:rPr>
          <w:rFonts w:ascii="Arial" w:cs="Arial" w:eastAsia="Arial" w:hAnsi="Arial"/>
          <w:sz w:val="18"/>
          <w:szCs w:val="18"/>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13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Increased leverage may harm our financial condition and results of operations.</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an as adjusted basis after giving effect to this offering and the application of the net proceeds thereof, as more fully described in “Use of Proceeds” in this prospectus supplement, as of December 31, 2013, Texas Instruments Incorporated would have had approximately $4.7 billion of total long-term indebtedness (including the Notes), all of which would have been unsecured and unsubordinated.</w:t>
      </w:r>
    </w:p>
    <w:p>
      <w:pPr>
        <w:spacing w:after="0" w:line="127"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46"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Texas Instruments Incorporated will have additional cash requirements in order to support the payment of interest on its outstanding indebtedness;</w:t>
      </w:r>
    </w:p>
    <w:p>
      <w:pPr>
        <w:spacing w:after="0" w:line="126" w:lineRule="exact"/>
        <w:rPr>
          <w:rFonts w:ascii="Arial" w:cs="Arial" w:eastAsia="Arial" w:hAnsi="Arial"/>
          <w:sz w:val="16"/>
          <w:szCs w:val="16"/>
          <w:color w:val="auto"/>
        </w:rPr>
      </w:pPr>
    </w:p>
    <w:p>
      <w:pPr>
        <w:ind w:left="660" w:right="12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its outstanding indebtedness and leverage will increase its vulnerability to adverse changes in general economic and industry conditions, as well as to competitive pressure; and</w:t>
      </w:r>
    </w:p>
    <w:p>
      <w:pPr>
        <w:spacing w:after="0" w:line="37"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depending on the levels of its outstanding debt, its ability to obtain additional financing for working capital, capital expenditures, general corporate and other purposes may be limited.</w:t>
      </w:r>
    </w:p>
    <w:p>
      <w:pPr>
        <w:spacing w:after="0" w:line="118"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 If Texas Instruments Incorporated is unable to generate sufficient cash flow from operations in the future to service its debt, it may be required, among other things:</w:t>
      </w:r>
    </w:p>
    <w:p>
      <w:pPr>
        <w:spacing w:after="0" w:line="49"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seek additional financing in the debt or equity markets;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refinance or restructure all or a portion of its indebtedness, including the Notes;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sell selected assets;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reduce or delay planned capital expenditures;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reduce or delay planned operating and investment expenditures.</w:t>
      </w:r>
    </w:p>
    <w:p>
      <w:pPr>
        <w:spacing w:after="0" w:line="1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terms of the Notes will not protect you in the event of highly leveraged transactions or a change of control.</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ratings of the Notes may change and affect the market price and marketability of the Notes.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 or marketability of the Notes. In addition, any decline in the ratings of the Notes may make it more difficult for us to raise capital on acceptable terms.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anticipate that we will receive net proceeds of approximately $495 million from this offering after underwriting discounts and other estimated expenses. We expect to use the net proceeds of this offering for repayment of a portion of the notes due May 15, 2014 bearing interest at a fixed rate of 1.375%. Initially we intend to invest the proceeds from this offering in certificates of deposit, United States government securities and certain other interest-bearing securities. Certain of the underwriters and/or their affiliates may be holders of our notes due May 15, 2014 and, accordingly, may receive a portion of the net proceeds of this offering in connection with the repayment of those notes. See “Underwriting.”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following table sets forth a summary of our consolidated cash, cash equivalents and short-term investments and our capitalization on an actual and as adjusted basis as of December 31, 2013. Our consolidated capitalization, as adjusted, gives effect to the issuance of the Notes offered by this prospectus supplement and the application of the estimated net proceeds as described in “Use of Proceeds” as if the offering had occurred on December 31, 2013. This table should be read in conjunction with our consolidated financial statements and the related notes incorporated by reference in this prospectus supplement and the accompanying prospectus.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 except share and per share amounts)</w:t>
            </w:r>
          </w:p>
        </w:tc>
        <w:tc>
          <w:tcPr>
            <w:tcW w:w="120" w:type="dxa"/>
            <w:vAlign w:val="bottom"/>
          </w:tcPr>
          <w:p>
            <w:pPr>
              <w:spacing w:after="0"/>
              <w:rPr>
                <w:sz w:val="14"/>
                <w:szCs w:val="14"/>
                <w:color w:val="auto"/>
              </w:rPr>
            </w:pPr>
          </w:p>
        </w:tc>
        <w:tc>
          <w:tcPr>
            <w:tcW w:w="30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As of December 31, 2013</w:t>
            </w:r>
          </w:p>
        </w:tc>
        <w:tc>
          <w:tcPr>
            <w:tcW w:w="0" w:type="dxa"/>
            <w:vAlign w:val="bottom"/>
          </w:tcPr>
          <w:p>
            <w:pPr>
              <w:spacing w:after="0"/>
              <w:rPr>
                <w:sz w:val="1"/>
                <w:szCs w:val="1"/>
                <w:color w:val="auto"/>
              </w:rPr>
            </w:pPr>
          </w:p>
        </w:tc>
      </w:tr>
      <w:tr>
        <w:trPr>
          <w:trHeight w:val="142"/>
        </w:trPr>
        <w:tc>
          <w:tcPr>
            <w:tcW w:w="828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0"/>
              </w:rPr>
              <w:t>Historical</w:t>
            </w: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7"/>
              </w:rPr>
              <w:t>As Adjusted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2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short-term investments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5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2017 Notes offered hereby</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8280" w:type="dxa"/>
            <w:vAlign w:val="bottom"/>
            <w:gridSpan w:val="2"/>
          </w:tcPr>
          <w:p>
            <w:pPr>
              <w:ind w:left="440"/>
              <w:spacing w:after="0"/>
              <w:rPr>
                <w:sz w:val="20"/>
                <w:szCs w:val="20"/>
                <w:color w:val="auto"/>
              </w:rPr>
            </w:pPr>
            <w:r>
              <w:rPr>
                <w:rFonts w:ascii="Arial" w:cs="Arial" w:eastAsia="Arial" w:hAnsi="Arial"/>
                <w:sz w:val="18"/>
                <w:szCs w:val="18"/>
                <w:color w:val="auto"/>
              </w:rPr>
              <w:t>2021 Notes offered hereby</w:t>
            </w:r>
          </w:p>
        </w:tc>
        <w:tc>
          <w:tcPr>
            <w:tcW w:w="12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long-term debt (1)</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80" w:type="dxa"/>
            <w:vAlign w:val="bottom"/>
            <w:gridSpan w:val="2"/>
          </w:tcPr>
          <w:p>
            <w:pPr>
              <w:ind w:left="880"/>
              <w:spacing w:after="0"/>
              <w:rPr>
                <w:sz w:val="20"/>
                <w:szCs w:val="20"/>
                <w:color w:val="auto"/>
              </w:rPr>
            </w:pPr>
            <w:r>
              <w:rPr>
                <w:rFonts w:ascii="Arial" w:cs="Arial" w:eastAsia="Arial" w:hAnsi="Arial"/>
                <w:sz w:val="18"/>
                <w:szCs w:val="18"/>
                <w:color w:val="auto"/>
              </w:rPr>
              <w:t>Total long-term debt</w:t>
            </w:r>
          </w:p>
        </w:tc>
        <w:tc>
          <w:tcPr>
            <w:tcW w:w="120" w:type="dxa"/>
            <w:vAlign w:val="bottom"/>
          </w:tcPr>
          <w:p>
            <w:pPr>
              <w:spacing w:after="0"/>
              <w:rPr>
                <w:sz w:val="19"/>
                <w:szCs w:val="19"/>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4,158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4,656</w:t>
            </w:r>
          </w:p>
        </w:tc>
        <w:tc>
          <w:tcPr>
            <w:tcW w:w="0" w:type="dxa"/>
            <w:vAlign w:val="bottom"/>
          </w:tcPr>
          <w:p>
            <w:pPr>
              <w:spacing w:after="0"/>
              <w:rPr>
                <w:sz w:val="1"/>
                <w:szCs w:val="1"/>
                <w:color w:val="auto"/>
              </w:rPr>
            </w:pPr>
          </w:p>
        </w:tc>
      </w:tr>
      <w:tr>
        <w:trPr>
          <w:trHeight w:val="218"/>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Preferred stock, $25 par value</w:t>
            </w:r>
          </w:p>
        </w:tc>
        <w:tc>
          <w:tcPr>
            <w:tcW w:w="12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Authorized – 10,000,000 shares. Participating cumulative preferred. None issued</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Common stock, $1 par value</w:t>
            </w: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1,741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Authorized – 2,400,000,000 shares. Shares issued: 1,740,815,939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Paid-in-capital</w:t>
            </w: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1,211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28,173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28,173</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Less treasury common stock at cost (658,012,970 shares)</w:t>
            </w:r>
          </w:p>
        </w:tc>
        <w:tc>
          <w:tcPr>
            <w:tcW w:w="1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(19,790)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(19,790)</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30"/>
        </w:trPr>
        <w:tc>
          <w:tcPr>
            <w:tcW w:w="8280" w:type="dxa"/>
            <w:vAlign w:val="bottom"/>
            <w:gridSpan w:val="2"/>
          </w:tcPr>
          <w:p>
            <w:pPr>
              <w:ind w:left="44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10,807</w:t>
            </w: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capitalization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14,965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5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Notes offered hereby are shown at the amount of the public offering price, with all offering expenses (including underwriting discounts) shown as paid out of cash.</w:t>
      </w:r>
    </w:p>
    <w:p>
      <w:pPr>
        <w:ind w:left="460" w:right="240" w:hanging="452"/>
        <w:spacing w:after="0" w:line="30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Consists of $5.1 billion of our existing outstanding notes plus net unamortized premium of $33 million, which was assumed with our acquisition of National Semiconductor Corporation, less $1.0 billion representing the current portion of long-term debt. The proceeds from this offering will be used to repay a portion of the notes due May 15, 2014 bearing interest at a fixed rate of 1.375%, which are recorded as a current liability.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left="460" w:right="3820"/>
        <w:spacing w:after="0" w:line="423" w:lineRule="auto"/>
        <w:rPr>
          <w:sz w:val="20"/>
          <w:szCs w:val="20"/>
          <w:color w:val="auto"/>
        </w:rPr>
      </w:pPr>
      <w:r>
        <w:rPr>
          <w:rFonts w:ascii="Arial" w:cs="Arial" w:eastAsia="Arial" w:hAnsi="Arial"/>
          <w:sz w:val="18"/>
          <w:szCs w:val="18"/>
          <w:b w:val="1"/>
          <w:bCs w:val="1"/>
          <w:color w:val="auto"/>
        </w:rPr>
        <w:t xml:space="preserve">RATIOS OF EARNINGS TO FIXED CHARGES </w:t>
      </w:r>
      <w:r>
        <w:rPr>
          <w:rFonts w:ascii="Arial" w:cs="Arial" w:eastAsia="Arial" w:hAnsi="Arial"/>
          <w:sz w:val="18"/>
          <w:szCs w:val="18"/>
          <w:color w:val="auto"/>
        </w:rPr>
        <w:t>The following table sets forth our ratios of earnings to fixed charges for each of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8"/>
              </w:rPr>
              <w:t>Year Ended 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660" w:type="dxa"/>
            <w:vAlign w:val="bottom"/>
          </w:tcPr>
          <w:p>
            <w:pPr>
              <w:spacing w:after="0"/>
              <w:rPr>
                <w:sz w:val="12"/>
                <w:szCs w:val="12"/>
                <w:color w:val="auto"/>
              </w:rPr>
            </w:pPr>
          </w:p>
        </w:tc>
        <w:tc>
          <w:tcPr>
            <w:tcW w:w="54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2013</w:t>
            </w:r>
          </w:p>
        </w:tc>
        <w:tc>
          <w:tcPr>
            <w:tcW w:w="1060" w:type="dxa"/>
            <w:vAlign w:val="bottom"/>
            <w:gridSpan w:val="2"/>
          </w:tcPr>
          <w:p>
            <w:pPr>
              <w:ind w:left="660"/>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2"/>
                <w:szCs w:val="12"/>
                <w:color w:val="auto"/>
              </w:rPr>
            </w:pPr>
          </w:p>
        </w:tc>
        <w:tc>
          <w:tcPr>
            <w:tcW w:w="54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8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5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27.3x</w:t>
            </w:r>
          </w:p>
        </w:tc>
        <w:tc>
          <w:tcPr>
            <w:tcW w:w="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20.6x</w:t>
            </w:r>
          </w:p>
        </w:tc>
        <w:tc>
          <w:tcPr>
            <w:tcW w:w="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1"/>
              </w:rPr>
              <w:t>55.9x</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8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distributions from equity investments, and other miscellaneous non-operational items such as currency exchange gains or losses). Fixed charges consist of total interest on loans, interest attributable to rental and lease expense, and capitalized interest.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NOTES</w:t>
      </w:r>
    </w:p>
    <w:p>
      <w:pPr>
        <w:spacing w:after="0" w:line="16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The summary herein of certain provisions of the indenture does not purport to be complete and is subject to, and is qualified in its entirety by reference to, all the provisions of the indenture, which has been filed as an exhibit to the current report on Form 8-K filed by TI on May 23, 2011. The following description of the particular terms of the Notes supplements the description of the general terms and provisions of the debt securities set forth under “Description of Debt Securities” beginning on page 8 of the accompanying prospectus.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2017 Notes will mature on March 12, 2017 and the 2021 Notes will mature on March 12, 2021. The Notes will be issued in book-entry form only, in denominations of $2,000 and multiples of $1,000 thereafter. Interest on the Notes will accrue from March 12, 2014 at the respective rates per annum shown on the cover of this prospectus supplement. The Notes will be payable semi-annually on March 12 and September 12, commencing on September 12, 2014 to the persons in whose names the Notes are registered at the close of business on the preceding March 1 or September 1, as the case may be. Interest on the Notes will be paid to but excluding the relevant interest payment date. Interest on the Notes will be calculated on the basis of a 360-day year comprised of twelve 30-day months.</w:t>
      </w:r>
    </w:p>
    <w:p>
      <w:pPr>
        <w:spacing w:after="0" w:line="131"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Notes will be issued under the indenture dated May 23, 2011 by and between Texas Instruments Incorporated and U.S. Bank National Association, as may be further supplemented from time to time. U.S. Bank National Association is the trustee for any and all securities issued under the indenture, as amended, including the Notes, and is referred to herein as the “trustee.” Texas Instruments Incorporated will be the sole obligor on the Notes.</w:t>
      </w:r>
    </w:p>
    <w:p>
      <w:pPr>
        <w:spacing w:after="0" w:line="9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December 31, 2013, Texas Instruments Incorporated had approximately $5.2 billion of outstanding indebtedness. As of December 31, 2013, we had approximately $8.1 billion of total liabilities on a consolidated basis. Of this amount, subsidiaries of Texas Instruments Incorporated had approximately $1.8 billion of liabilities (including trade payables and excluding intercompany debt) to which the Notes will be effectively subordinated.</w:t>
      </w:r>
    </w:p>
    <w:p>
      <w:pPr>
        <w:spacing w:after="0" w:line="10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an as adjusted basis after giving effect to this offering and the application of the net proceeds thereof, as more fully described in “Use of Proceeds” in this prospectus supplement, as of December 31, 2013:</w:t>
      </w:r>
    </w:p>
    <w:p>
      <w:pPr>
        <w:spacing w:after="0" w:line="37" w:lineRule="exact"/>
        <w:rPr>
          <w:sz w:val="20"/>
          <w:szCs w:val="20"/>
          <w:color w:val="auto"/>
        </w:rPr>
      </w:pPr>
    </w:p>
    <w:p>
      <w:pPr>
        <w:ind w:left="660" w:right="280" w:hanging="206"/>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Texas Instruments Incorporated would have had approximately $4.7 billion of total long-term indebtedness (including the Notes), all of which would constitute senior and unsubordinated indebtedness;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would have had approximately $8.1 billion of total liabilities on a consolidated basis;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Texas Instruments Incorporated would not have had any secured indebtedness to which the Notes would have been effectively subordinated; and</w:t>
      </w:r>
    </w:p>
    <w:p>
      <w:pPr>
        <w:spacing w:after="0" w:line="126" w:lineRule="exact"/>
        <w:rPr>
          <w:rFonts w:ascii="Arial" w:cs="Arial" w:eastAsia="Arial" w:hAnsi="Arial"/>
          <w:sz w:val="16"/>
          <w:szCs w:val="16"/>
          <w:color w:val="auto"/>
        </w:rPr>
      </w:pPr>
    </w:p>
    <w:p>
      <w:pPr>
        <w:ind w:left="660" w:right="760" w:hanging="206"/>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Texas Instruments Incorporated’s subsidiaries would have had approximately $1.8 billion of liabilities (including trade payables but excluding intercompany debt) to which the Notes would have been structurally subordinated.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Notes</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Texas Instruments Incorporated may, without the consent of the holders, increase the principal amount of any series of Notes by issuing additional Notes of such series in the future on the same terms and conditions,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except for any differences in the issue price and interest accrued prior to the issue date of the additional Notes. The additional Notes of a series will have the same CUSIP number as the applicable series of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additional Notes that are not fungible with the applicable series of Notes for U.S. federal income tax purposes will be issued under a separate CUSIP number.</w:t>
      </w:r>
    </w:p>
    <w:p>
      <w:pPr>
        <w:spacing w:after="0" w:line="127"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Texas Instruments Incorporated also may, without the consent of the holders, issue other series of debt securities under the indenture in the future on terms and conditions different from the series of Notes offered hereby.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Until the maturity date in the case of the 2017 Notes and prior to February 12, 2021 in the case of the 2021 Notes (the date one month prior to the maturity date of the 2021 Notes), the Notes will be redeemable, in whole or in part at any time, or from time to time, at Texas Instruments Incorporated’s option, each at a “make-whole premium” redemption price calculated by Texas Instruments Incorporated equal to the greater of:</w:t>
      </w:r>
    </w:p>
    <w:p>
      <w:pPr>
        <w:spacing w:after="0" w:line="93" w:lineRule="exact"/>
        <w:rPr>
          <w:sz w:val="20"/>
          <w:szCs w:val="20"/>
          <w:color w:val="auto"/>
        </w:rPr>
      </w:pPr>
    </w:p>
    <w:p>
      <w:pPr>
        <w:ind w:left="680" w:hanging="216"/>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57" w:lineRule="exact"/>
        <w:rPr>
          <w:rFonts w:ascii="Arial" w:cs="Arial" w:eastAsia="Arial" w:hAnsi="Arial"/>
          <w:sz w:val="18"/>
          <w:szCs w:val="18"/>
          <w:color w:val="auto"/>
        </w:rPr>
      </w:pPr>
    </w:p>
    <w:p>
      <w:pPr>
        <w:ind w:right="60" w:firstLine="464"/>
        <w:spacing w:after="0" w:line="306" w:lineRule="auto"/>
        <w:tabs>
          <w:tab w:leader="none" w:pos="71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Treasury Rate (as defined below), plus 5 basis points with respect to the 2017 Notes and 12.5 basis points with respect to the 2021 Notes;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158"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At any time on or after February 12, 2021 in the case of the 2021 Notes (the date one month prior to the maturity date of the 2021 Notes), the 2021 Notes will be redeemable, in whole or in part at any time and from time to time, at Texas Instruments Incorporated’s option at a redemption price equal to 100% of the principal amount of the 2021 Notes to be redeemed plus accrued interest thereon to the date of redemption.</w:t>
      </w:r>
    </w:p>
    <w:p>
      <w:pPr>
        <w:spacing w:after="0" w:line="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foregoing discussion of an Optional Redemption, the following definitions are applicable:</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27"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“Comparable Treasury Price”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“Quotation Agent” means the Reference Treasury Dealer appointed by Texas Instruments Incorporated.</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“Reference Treasury Dealer” means (i) Citigroup Global Markets Inc., Merrill Lynch, Pierce, Fenner &amp; Smith Incorporated and Mizuho Securities USA Inc. (or their respective affiliates that are Primary Treasury Dealers) and their respective successors; provided, however, that if any of the foregoing shall cease to be a primary U.S. Government securities dealer in New York City (a “Primary Treasury Dealer”), Texas Instruments Incorporated will substitute therefor another Primary Treasury Dealer, and (ii) any other Primary Treasury Dealer selected by Texas Instruments Incorporated.</w:t>
      </w:r>
    </w:p>
    <w:p>
      <w:pPr>
        <w:spacing w:after="0" w:line="99"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75"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Notice of any redemption will be mailed at least 30 days but not more than 60 days before the redemption date to each holder of the Notes to be redeemed. Unless Texas Instruments Incorporated defaults in payment of the redemption price, on and after the redemption date, interest will cease to accrue on the Notes or portions thereof called for redemption. If less than all of the Notes are to be redeemed, the Notes to be redeemed shall be selected by lot by The Depository Trust Company, in the case of Notes represented by a global note, or by the trustee by a method the trustee deems to be fair and appropriate, in the case of Notes that are not represented by a global note. No Notes of a principal amount of $2,000 or less will be redeemed in part. In addition, at any time we may repurchase Notes in the open market and may hold or surrender such Notes to the trustee for cancellation.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Sinking Fund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entitled to any sinking fund.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77" w:lineRule="exact"/>
        <w:rPr>
          <w:sz w:val="20"/>
          <w:szCs w:val="20"/>
          <w:color w:val="auto"/>
        </w:rPr>
      </w:pPr>
    </w:p>
    <w:p>
      <w:pPr>
        <w:ind w:left="660" w:right="240" w:hanging="206"/>
        <w:spacing w:after="0" w:line="347" w:lineRule="auto"/>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default in the payment of principal or premium on the debt securities of such series when due and payable whether at maturity, upon acceleration, redemption, or otherwise, but, in the case of technical or administrative difficulties, only if that default continues for a period of two days;</w:t>
      </w:r>
    </w:p>
    <w:p>
      <w:pPr>
        <w:ind w:left="660" w:hanging="206"/>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default in the payment of interest on any debt securities of such series when due and payable, if that default continues for a period of 30 days;</w:t>
      </w:r>
    </w:p>
    <w:p>
      <w:pPr>
        <w:spacing w:after="0" w:line="126" w:lineRule="exact"/>
        <w:rPr>
          <w:rFonts w:ascii="Arial" w:cs="Arial" w:eastAsia="Arial" w:hAnsi="Arial"/>
          <w:sz w:val="16"/>
          <w:szCs w:val="16"/>
          <w:color w:val="auto"/>
        </w:rPr>
      </w:pPr>
    </w:p>
    <w:p>
      <w:pPr>
        <w:ind w:left="660" w:hanging="206"/>
        <w:spacing w:after="0" w:line="25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consecutive days after we receive written notice from the trustee or from the holders of 25% or more in aggregate principal amount of the debt securities of such series;</w:t>
      </w:r>
    </w:p>
    <w:p>
      <w:pPr>
        <w:spacing w:after="0" w:line="48"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occurs any other event of default provided for in such series of debt securities;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03" w:lineRule="exact"/>
        <w:rPr>
          <w:rFonts w:ascii="Arial" w:cs="Arial" w:eastAsia="Arial" w:hAnsi="Arial"/>
          <w:sz w:val="18"/>
          <w:szCs w:val="18"/>
          <w:color w:val="auto"/>
        </w:rPr>
      </w:pPr>
    </w:p>
    <w:p>
      <w:pPr>
        <w:ind w:left="900" w:hanging="217"/>
        <w:spacing w:after="0"/>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relief in respect of us in an involuntary case under any applicable bankruptcy, insolvency, or other similar law now or hereafter in effect;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0" w:hanging="217"/>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and assets; or</w:t>
      </w:r>
    </w:p>
    <w:p>
      <w:pPr>
        <w:spacing w:after="0" w:line="37" w:lineRule="exact"/>
        <w:rPr>
          <w:rFonts w:ascii="Arial" w:cs="Arial" w:eastAsia="Arial" w:hAnsi="Arial"/>
          <w:sz w:val="18"/>
          <w:szCs w:val="18"/>
          <w:color w:val="auto"/>
        </w:rPr>
      </w:pPr>
    </w:p>
    <w:p>
      <w:pPr>
        <w:ind w:left="900" w:hanging="217"/>
        <w:spacing w:after="0"/>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winding up or liquidation of our affairs and such decree or order shall remain unstayed and in effect for a period of 60 consecutive days.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w:t>
      </w:r>
    </w:p>
    <w:p>
      <w:pPr>
        <w:spacing w:after="0" w:line="103" w:lineRule="exact"/>
        <w:rPr>
          <w:rFonts w:ascii="Arial" w:cs="Arial" w:eastAsia="Arial" w:hAnsi="Arial"/>
          <w:sz w:val="18"/>
          <w:szCs w:val="18"/>
          <w:color w:val="auto"/>
        </w:rPr>
      </w:pPr>
    </w:p>
    <w:p>
      <w:pPr>
        <w:ind w:left="900" w:right="40" w:hanging="217"/>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 or consent to the entry of an order for relief in an involuntary case under any such law;</w:t>
      </w:r>
    </w:p>
    <w:p>
      <w:pPr>
        <w:spacing w:after="0" w:line="37" w:lineRule="exact"/>
        <w:rPr>
          <w:rFonts w:ascii="Arial" w:cs="Arial" w:eastAsia="Arial" w:hAnsi="Arial"/>
          <w:sz w:val="18"/>
          <w:szCs w:val="18"/>
          <w:color w:val="auto"/>
        </w:rPr>
      </w:pPr>
    </w:p>
    <w:p>
      <w:pPr>
        <w:ind w:left="900" w:hanging="217"/>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ours for all or substantially all of our property and assets; or</w:t>
      </w:r>
    </w:p>
    <w:p>
      <w:pPr>
        <w:spacing w:after="0" w:line="37" w:lineRule="exact"/>
        <w:rPr>
          <w:rFonts w:ascii="Arial" w:cs="Arial" w:eastAsia="Arial" w:hAnsi="Arial"/>
          <w:sz w:val="18"/>
          <w:szCs w:val="18"/>
          <w:color w:val="auto"/>
        </w:rPr>
      </w:pPr>
    </w:p>
    <w:p>
      <w:pPr>
        <w:ind w:left="900" w:hanging="217"/>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2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outstanding debt securities, including the Notes, will automatically become due immediately and payable without any declaration or other act on the part of the trustee or any holder.</w:t>
      </w:r>
    </w:p>
    <w:p>
      <w:pPr>
        <w:spacing w:after="0" w:line="12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3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 — Modification and Waiver.”</w:t>
      </w:r>
    </w:p>
    <w:p>
      <w:pPr>
        <w:spacing w:after="0" w:line="106"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49"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03"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03"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 Global Note</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Notes of each series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0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3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Upon the issuance of a registered global note, the depositary will credit, on its book-entry registration and transfer system, the participants’ accounts with the respective principal or face amounts of the relevant series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3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So long as the depositary, or its nominee, is the registered owner of a registered global note, that depositary or its nominee, as the case may be, will be considered the sole owner or holder of the relevant series of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99"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0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3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3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0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If the depositary for any of the Notes represented by a registered global note is at any time unwilling or unable to continue as depositary or ceases to be a clearing agency registered under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 Any Notes issued in definitive form in exchange for a registered global note will be registered in the name or names that the depositary gives to the trustee or other relevant agent of or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of any series shall no longer be represented by a global note and will issue Notes in definitive form in exchange for such global note pursuant to the procedure described above.</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 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3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Notices to holders of the Notes will be made by first class mail, postage prepaid, to the addresses that appear on the security register of the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maintain ordinary banking relationships with the trustee and its affiliates and in the future may enter into additional such relationships. The trustee is a lender under our credit facility and an affiliate of the trustee is an underwriter of this offering.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64"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The following are the material U.S. federal income tax consequences of owning and disposing of Notes purchased in this offering at the “issue price,” which we assume will be the applicable public offering price indicated on the cover of this prospectus supplement, and held as capital assets for U.S. federal income tax purposes.</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This discussion does not describe all of the tax consequences that may be relevant to you in light of your particular circumstances, including alternative minimum tax consequences and differing tax consequences applicable to you if you are, for instance:</w:t>
      </w:r>
    </w:p>
    <w:p>
      <w:pPr>
        <w:spacing w:after="0" w:line="37"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dealer or trader in securities;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person holding Notes as part of a “straddle” or integrated transaction;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partnership for U.S. federal income tax purposes;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each of your partners will generally depend on the status of the partner and your activities.</w:t>
      </w:r>
    </w:p>
    <w:p>
      <w:pPr>
        <w:spacing w:after="0" w:line="118"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This summary is based on the Internal Revenue Code of 1986, as amended to the date hereof, administrative pronouncements, judicial decisions and final, temporary and proposed Treasury Regulations, changes to any of which subsequent to the date of this prospectus supplement may affect the tax consequences described herein. This summary does not discuss any aspect of state, local, or non-U.S. taxation, any federal taxes other than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foreign taxing jurisdiction.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This section applies to you if you are a U.S. Holder. You are a U.S. Holder if for U.S. federal income tax purposes you are a beneficial owner of a Note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are:</w:t>
      </w:r>
    </w:p>
    <w:p>
      <w:pPr>
        <w:spacing w:after="0" w:line="70"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03"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United States federal income taxation regardless of its source.</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Stated interest on a Note will be taxable to you as ordinary interest income at the time it accrues or is received, in accordance with your method of accounting for U.S. federal income tax purposes. It is expected, and this discussion assumes, that the Notes will be issued without original issue discount for U.S. federal income tax purposes. If, however, the Notes’ principal amount exceeds the issue price by at least a de minimis amount, as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determined under applicable Treasury Regulations, you will be required to include such excess in income as original issue discount, as it accrues, in accordance with a constant yield method based on a compounding of interest before the receipt of cash payments attributable to this income.</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the Note has been held for more than one year. Long-term capital gains recognized by non-corporate U.S. Holders are subject to reduced tax rates. The deductibility of capital losses is subject to limitations.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Information returns are required to be filed with the Internal Revenue Service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section applies to you if are a Non-U.S. Holder. You are a Non-U.S. Holder if for U.S. federal income tax purposes you are a beneficial owner of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 and are:</w:t>
      </w:r>
    </w:p>
    <w:p>
      <w:pPr>
        <w:spacing w:after="0" w:line="70"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Payments of principal and interest on the Notes to you will not be subject to U.S. federal income or withholding tax, provided that, in the case of interest,</w:t>
      </w:r>
    </w:p>
    <w:p>
      <w:pPr>
        <w:spacing w:after="0" w:line="100"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you do not own, actually or constructively, ten percent or more of the total combined voting power of all classes of our stock entitled to vote;</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are not a controlled foreign corporation related, directly or indirectly, to us through stock ownership;</w:t>
      </w:r>
    </w:p>
    <w:p>
      <w:pPr>
        <w:spacing w:after="0" w:line="103"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certify on a properly executed IRS Form W-8BEN (or other applicable form), under penalties of perjury, that you are not a United States person or you otherwise satisfy certification requirements applicable to Notes held through certain intermediaries;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it is not effectively connected with your conduct of a trade or business in the United States as described below.</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you cannot satisfy any of the first three requirements described above and interest on the Notes is not subject to net income tax as described below under</w:t>
      </w:r>
    </w:p>
    <w:p>
      <w:pPr>
        <w:spacing w:after="0" w:line="50"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 — Effectively Connected Income,” payments of interest on the Notes will generally be subject to withholding tax at a rate of 30%, subject to an applicable treaty providing otherwise.</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7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The amount of any backup withholding from a payment to you will be allowed as a credit against your U.S. federal income tax liability and may entitle you to a refund, provided that the required information is timely furnished to the IRS.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Citigroup Global Markets Inc., Merrill Lynch, Pierce, Fenner &amp; Smith Incorporated and Mizuho Securities USA Inc.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2017 Notes and 2021 Notes set forth opposite the underwriter’s name.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Principal</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Principal</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4980" w:type="dxa"/>
            <w:vAlign w:val="bottom"/>
            <w:vMerge w:val="restart"/>
          </w:tcPr>
          <w:p>
            <w:pPr>
              <w:spacing w:after="0"/>
              <w:rPr>
                <w:sz w:val="12"/>
                <w:szCs w:val="12"/>
                <w:color w:val="auto"/>
              </w:rPr>
            </w:pPr>
          </w:p>
        </w:tc>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Amount of</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4980" w:type="dxa"/>
            <w:vAlign w:val="bottom"/>
            <w:vMerge w:val="continue"/>
          </w:tcPr>
          <w:p>
            <w:pPr>
              <w:spacing w:after="0"/>
              <w:rPr>
                <w:sz w:val="14"/>
                <w:szCs w:val="14"/>
                <w:color w:val="auto"/>
              </w:rPr>
            </w:pPr>
          </w:p>
        </w:tc>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9"/>
              </w:rPr>
              <w:t>2017 Notes</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9"/>
              </w:rPr>
              <w:t>2021 Notes</w:t>
            </w: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30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53,750,000</w:t>
            </w: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53,750,000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76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80" w:type="dxa"/>
            <w:vAlign w:val="bottom"/>
          </w:tcPr>
          <w:p>
            <w:pPr>
              <w:spacing w:after="0"/>
              <w:rPr>
                <w:sz w:val="20"/>
                <w:szCs w:val="20"/>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Incorporated</w:t>
            </w:r>
          </w:p>
        </w:tc>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53,750,000</w:t>
            </w: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53,750,000</w:t>
            </w:r>
          </w:p>
        </w:tc>
        <w:tc>
          <w:tcPr>
            <w:tcW w:w="0" w:type="dxa"/>
            <w:vAlign w:val="bottom"/>
          </w:tcPr>
          <w:p>
            <w:pPr>
              <w:spacing w:after="0"/>
              <w:rPr>
                <w:sz w:val="1"/>
                <w:szCs w:val="1"/>
                <w:color w:val="auto"/>
              </w:rPr>
            </w:pPr>
          </w:p>
        </w:tc>
      </w:tr>
      <w:tr>
        <w:trPr>
          <w:trHeight w:val="218"/>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Inc.</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53,750,000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53,750,000</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18,750,000</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18,750,000</w:t>
            </w: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Mitsubishi UFJ Securities (USA), Inc.</w:t>
            </w:r>
          </w:p>
        </w:tc>
        <w:tc>
          <w:tcPr>
            <w:tcW w:w="3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18,750,000</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18,750,000</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18,750,000</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18,750,000</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5,000,000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SMBC Nikko Securities America, Inc.</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5,000,000</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Williams Capital Group, L.P.</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5,000,000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5,000,000</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3,125,000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3,125,000</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3,125,000</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3,125,000</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3,125,000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3,125,000</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3,125,000</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3,125,000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250,000,000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250,000,000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7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Notes sold by the underwriters to the public will initially be offered at the initial public offering prices set forth on the cover of this prospectus supplement. Any Notes sold by the underwriters to securities dealers may be sold at a discount from the initial public offering prices not to exceed 0.150% per 2017 Note and 0.250% per 2021 Note. Any such securities dealers may resell any Notes purchased from the underwriters to certain other brokers or dealers at a discount from the initial public offering prices not to exceed 0.100% per 2017 Note and 0.150% per 2021 Note. If all the Notes are not sold at the initial offering prices, the underwriters may change the offering price and the other selling terms.</w:t>
      </w:r>
    </w:p>
    <w:p>
      <w:pPr>
        <w:spacing w:after="0" w:line="10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Paid by Texas</w:t>
            </w:r>
          </w:p>
        </w:tc>
      </w:tr>
      <w:tr>
        <w:trPr>
          <w:trHeight w:val="149"/>
        </w:trPr>
        <w:tc>
          <w:tcPr>
            <w:tcW w:w="1042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Instruments</w:t>
            </w:r>
          </w:p>
        </w:tc>
      </w:tr>
      <w:tr>
        <w:trPr>
          <w:trHeight w:val="161"/>
        </w:trPr>
        <w:tc>
          <w:tcPr>
            <w:tcW w:w="104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Incorporated</w:t>
            </w:r>
          </w:p>
        </w:tc>
        <w:tc>
          <w:tcPr>
            <w:tcW w:w="200" w:type="dxa"/>
            <w:vAlign w:val="bottom"/>
            <w:tcBorders>
              <w:bottom w:val="single" w:sz="8" w:color="CCEEFF"/>
            </w:tcBorders>
          </w:tcPr>
          <w:p>
            <w:pPr>
              <w:spacing w:after="0"/>
              <w:rPr>
                <w:sz w:val="14"/>
                <w:szCs w:val="14"/>
                <w:color w:val="auto"/>
              </w:rPr>
            </w:pPr>
          </w:p>
        </w:tc>
      </w:tr>
      <w:tr>
        <w:trPr>
          <w:trHeight w:val="210"/>
        </w:trPr>
        <w:tc>
          <w:tcPr>
            <w:tcW w:w="10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2017 Note</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0.250%</w:t>
            </w:r>
          </w:p>
        </w:tc>
      </w:tr>
      <w:tr>
        <w:trPr>
          <w:trHeight w:val="222"/>
        </w:trPr>
        <w:tc>
          <w:tcPr>
            <w:tcW w:w="10420" w:type="dxa"/>
            <w:vAlign w:val="bottom"/>
          </w:tcPr>
          <w:p>
            <w:pPr>
              <w:spacing w:after="0"/>
              <w:rPr>
                <w:sz w:val="20"/>
                <w:szCs w:val="20"/>
                <w:color w:val="auto"/>
              </w:rPr>
            </w:pPr>
            <w:r>
              <w:rPr>
                <w:rFonts w:ascii="Arial" w:cs="Arial" w:eastAsia="Arial" w:hAnsi="Arial"/>
                <w:sz w:val="18"/>
                <w:szCs w:val="18"/>
                <w:color w:val="auto"/>
              </w:rPr>
              <w:t>Per 2021 Note</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0.400%</w:t>
            </w:r>
          </w:p>
        </w:tc>
      </w:tr>
      <w:tr>
        <w:trPr>
          <w:trHeight w:val="356"/>
        </w:trPr>
        <w:tc>
          <w:tcPr>
            <w:tcW w:w="10420" w:type="dxa"/>
            <w:vAlign w:val="bottom"/>
          </w:tcPr>
          <w:p>
            <w:pPr>
              <w:ind w:left="460"/>
              <w:spacing w:after="0"/>
              <w:rPr>
                <w:sz w:val="20"/>
                <w:szCs w:val="20"/>
                <w:color w:val="auto"/>
              </w:rPr>
            </w:pPr>
            <w:r>
              <w:rPr>
                <w:rFonts w:ascii="Arial" w:cs="Arial" w:eastAsia="Arial" w:hAnsi="Arial"/>
                <w:sz w:val="18"/>
                <w:szCs w:val="18"/>
                <w:color w:val="auto"/>
              </w:rPr>
              <w:t>We estimate that our total expenses for this offering will be approximately $3 million, including underwriting discounts.</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65"/>
        </w:trPr>
        <w:tc>
          <w:tcPr>
            <w:tcW w:w="10420" w:type="dxa"/>
            <w:vAlign w:val="bottom"/>
          </w:tcPr>
          <w:p>
            <w:pPr>
              <w:ind w:left="5540"/>
              <w:spacing w:after="0"/>
              <w:rPr>
                <w:sz w:val="20"/>
                <w:szCs w:val="20"/>
                <w:color w:val="auto"/>
              </w:rPr>
            </w:pPr>
            <w:r>
              <w:rPr>
                <w:rFonts w:ascii="Arial" w:cs="Arial" w:eastAsia="Arial" w:hAnsi="Arial"/>
                <w:sz w:val="18"/>
                <w:szCs w:val="18"/>
                <w:color w:val="auto"/>
              </w:rPr>
              <w:t>S-23</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37"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Short sales involve secondary market sales by the underwriters of a greater number of the Notes than they are required to purchase in this offering.</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Covering transactions involve purchases of the Notes in the open market after the distribution has been completed in order to cover short positions.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the Notes so long as the stabilizing bids do not exceed a specified maximum.</w:t>
      </w:r>
    </w:p>
    <w:p>
      <w:pPr>
        <w:spacing w:after="0" w:line="1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99"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expect to deliver the Notes against payment for the Notes on or about the date specified in the last paragraph of the cover page of this prospectus supplement, which will be the fifth business day following the date of the pricing of the Notes. Under Rule 15c6-1 of the Exchange Act, trades in the secondary market generally are required to settle in three business days, unless the parties to a trade expressly agree otherwise. Accordingly, purchasers who wish to trade Notes on the date of pricing or the next succeeding business day will be required, by virtue of the fact that the Notes initially will settle in T+5, to specify alternative settlement arrangements to prevent a failed settlement.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 and securities activities may involve our securities and instruments. In addition, affiliates of some of the underwriters are lenders, and in some cases agents or managers for the lenders, under TI’s credit facility. In addition, an affiliate of one of the underwriters is the trustee for the Notes.</w:t>
      </w:r>
    </w:p>
    <w:p>
      <w:pPr>
        <w:spacing w:after="0" w:line="109"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the Notes described in this prospectus supplement may not be made to the public in that relevant member state other than:</w:t>
      </w:r>
    </w:p>
    <w:p>
      <w:pPr>
        <w:spacing w:after="0" w:line="12"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03"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securities shall require us or any underwriter to publish a prospectus pursuant to Article 3 of the Prospectus Directive.</w:t>
      </w:r>
    </w:p>
    <w:p>
      <w:pPr>
        <w:spacing w:after="0" w:line="18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The expression 2010 PD Amending Directive means Directive 2010/73/EU.</w:t>
      </w:r>
    </w:p>
    <w:p>
      <w:pPr>
        <w:spacing w:after="0" w:line="131"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sellers of the Notes have not authorized and do not authorize the making of any offer of Notes through any financial intermediary on their behalf, other than offers made by the underwriters with a view to the final placement of the Notes as contemplated in this prospectus supplement. Accordingly, no purchaser of the Notes, other than the underwriters, is authorized to make any further offer of the Notes on behalf of the sellers or the underwriters.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This prospectus supplement and the accompanying prospectus are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83"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 xml:space="preserve">Neither this prospectus supplement nor any other offering material relating to the Notes described in this prospectus supplement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The Notes have not been offered or sold and will not be offered or sold, directly or indirectly, to the public in France. Neither this prospectus supplement nor any other offering material relating to the Notes has been or will be: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77" w:lineRule="exact"/>
        <w:rPr>
          <w:sz w:val="20"/>
          <w:szCs w:val="20"/>
          <w:color w:val="auto"/>
        </w:rPr>
      </w:pPr>
    </w:p>
    <w:p>
      <w:pPr>
        <w:ind w:left="660" w:right="100" w:hanging="206"/>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03" w:lineRule="exact"/>
        <w:rPr>
          <w:rFonts w:ascii="Arial" w:cs="Arial" w:eastAsia="Arial" w:hAnsi="Arial"/>
          <w:sz w:val="18"/>
          <w:szCs w:val="18"/>
          <w:color w:val="auto"/>
        </w:rPr>
      </w:pPr>
    </w:p>
    <w:p>
      <w:pPr>
        <w:ind w:left="660" w:right="400" w:hanging="206"/>
        <w:spacing w:after="0" w:line="33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L.411-2-II-1°-or-2°-or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7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The Notes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83"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2" w:lineRule="exact"/>
        <w:rPr>
          <w:sz w:val="20"/>
          <w:szCs w:val="20"/>
          <w:color w:val="auto"/>
        </w:rPr>
      </w:pPr>
    </w:p>
    <w:p>
      <w:pPr>
        <w:ind w:right="780" w:firstLine="8"/>
        <w:spacing w:after="0" w:line="261" w:lineRule="auto"/>
        <w:tabs>
          <w:tab w:leader="none" w:pos="3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in each case subject to compliance with conditions set forth in the SFA.</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77" w:lineRule="exact"/>
        <w:rPr>
          <w:sz w:val="20"/>
          <w:szCs w:val="20"/>
          <w:color w:val="auto"/>
        </w:rPr>
      </w:pPr>
    </w:p>
    <w:p>
      <w:pPr>
        <w:ind w:left="660" w:right="6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37"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18" w:lineRule="exact"/>
        <w:rPr>
          <w:sz w:val="20"/>
          <w:szCs w:val="20"/>
          <w:color w:val="auto"/>
        </w:rPr>
      </w:pPr>
    </w:p>
    <w:p>
      <w:pPr>
        <w:ind w:right="240"/>
        <w:spacing w:after="0" w:line="325"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1" w:lineRule="exact"/>
        <w:rPr>
          <w:sz w:val="20"/>
          <w:szCs w:val="20"/>
          <w:color w:val="auto"/>
        </w:rPr>
      </w:pPr>
    </w:p>
    <w:p>
      <w:pPr>
        <w:ind w:left="660" w:right="40" w:hanging="206"/>
        <w:spacing w:after="0" w:line="25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48"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VALIDITY OF SECURITIES</w:t>
      </w:r>
    </w:p>
    <w:p>
      <w:pPr>
        <w:spacing w:after="0" w:line="16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consolidated financial statements, incorporated by reference in our Annual Report (Form 10-K) for the year ended December 31, 2013,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9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documents listed below, and all documents subsequently filed with the SEC pursuant to Section 13(a), 13(c), 14, or 15(d) of the Securities Exchange Act of 1934, as amended (the “Exchange Act”) prior to the termination of the offering under this prospectus supplement: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hanging="23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Current Report on Form 8-K filed on January 21, 2014, excepting any portions of such report which were furnished but not filed, and</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2013, filed on February 24, 2014.</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request a copy of these filings at no cost, by writing or telephoning us at: 12500 TI Boulevard, P.O. Box 660199, Dallas, Texas 75266-0199,</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Attention: Manager of Investor Relations, (214) 479-3773. Information about us, including our SEC filings, is also available at our website at www.ti.com.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However, the information on our website is not a part of this prospectus supplement or the accompanying prospectus.</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139700</wp:posOffset>
            </wp:positionV>
            <wp:extent cx="2864485" cy="660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212725</wp:posOffset>
            </wp:positionV>
            <wp:extent cx="1517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pacing w:after="0" w:line="51"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540" w:type="dxa"/>
            <w:vAlign w:val="bottom"/>
          </w:tcPr>
          <w:p>
            <w:pPr>
              <w:ind w:left="60"/>
              <w:spacing w:after="0"/>
              <w:rPr>
                <w:sz w:val="20"/>
                <w:szCs w:val="20"/>
                <w:color w:val="auto"/>
              </w:rPr>
            </w:pPr>
            <w:r>
              <w:rPr>
                <w:rFonts w:ascii="Arial" w:cs="Arial" w:eastAsia="Arial" w:hAnsi="Arial"/>
                <w:sz w:val="18"/>
                <w:szCs w:val="18"/>
                <w:color w:val="auto"/>
              </w:rPr>
              <w:t>Common stock</w:t>
            </w:r>
          </w:p>
        </w:tc>
        <w:tc>
          <w:tcPr>
            <w:tcW w:w="2520" w:type="dxa"/>
            <w:vAlign w:val="bottom"/>
          </w:tcPr>
          <w:p>
            <w:pPr>
              <w:ind w:left="2380"/>
              <w:spacing w:after="0"/>
              <w:rPr>
                <w:sz w:val="20"/>
                <w:szCs w:val="20"/>
                <w:color w:val="auto"/>
              </w:rPr>
            </w:pPr>
            <w:r>
              <w:rPr>
                <w:rFonts w:ascii="Arial" w:cs="Arial" w:eastAsia="Arial" w:hAnsi="Arial"/>
                <w:sz w:val="18"/>
                <w:szCs w:val="18"/>
                <w:color w:val="auto"/>
              </w:rPr>
              <w:t>•</w:t>
            </w:r>
          </w:p>
        </w:tc>
        <w:tc>
          <w:tcPr>
            <w:tcW w:w="680" w:type="dxa"/>
            <w:vAlign w:val="bottom"/>
          </w:tcPr>
          <w:p>
            <w:pPr>
              <w:ind w:left="60"/>
              <w:spacing w:after="0"/>
              <w:rPr>
                <w:sz w:val="20"/>
                <w:szCs w:val="20"/>
                <w:color w:val="auto"/>
              </w:rPr>
            </w:pPr>
            <w:r>
              <w:rPr>
                <w:rFonts w:ascii="Arial" w:cs="Arial" w:eastAsia="Arial" w:hAnsi="Arial"/>
                <w:sz w:val="18"/>
                <w:szCs w:val="18"/>
                <w:color w:val="auto"/>
                <w:w w:val="82"/>
              </w:rPr>
              <w:t>Warrants</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540" w:type="dxa"/>
            <w:vAlign w:val="bottom"/>
          </w:tcPr>
          <w:p>
            <w:pPr>
              <w:ind w:left="60"/>
              <w:spacing w:after="0"/>
              <w:rPr>
                <w:sz w:val="20"/>
                <w:szCs w:val="20"/>
                <w:color w:val="auto"/>
              </w:rPr>
            </w:pPr>
            <w:r>
              <w:rPr>
                <w:rFonts w:ascii="Arial" w:cs="Arial" w:eastAsia="Arial" w:hAnsi="Arial"/>
                <w:sz w:val="18"/>
                <w:szCs w:val="18"/>
                <w:color w:val="auto"/>
              </w:rPr>
              <w:t>Preferred stock</w:t>
            </w:r>
          </w:p>
        </w:tc>
        <w:tc>
          <w:tcPr>
            <w:tcW w:w="2520" w:type="dxa"/>
            <w:vAlign w:val="bottom"/>
          </w:tcPr>
          <w:p>
            <w:pPr>
              <w:ind w:left="2380"/>
              <w:spacing w:after="0"/>
              <w:rPr>
                <w:sz w:val="20"/>
                <w:szCs w:val="20"/>
                <w:color w:val="auto"/>
              </w:rPr>
            </w:pPr>
            <w:r>
              <w:rPr>
                <w:rFonts w:ascii="Arial" w:cs="Arial" w:eastAsia="Arial" w:hAnsi="Arial"/>
                <w:sz w:val="18"/>
                <w:szCs w:val="18"/>
                <w:color w:val="auto"/>
              </w:rPr>
              <w:t>•</w:t>
            </w:r>
          </w:p>
        </w:tc>
        <w:tc>
          <w:tcPr>
            <w:tcW w:w="680" w:type="dxa"/>
            <w:vAlign w:val="bottom"/>
          </w:tcPr>
          <w:p>
            <w:pPr>
              <w:ind w:left="60"/>
              <w:spacing w:after="0"/>
              <w:rPr>
                <w:sz w:val="20"/>
                <w:szCs w:val="20"/>
                <w:color w:val="auto"/>
              </w:rPr>
            </w:pPr>
            <w:r>
              <w:rPr>
                <w:rFonts w:ascii="Arial" w:cs="Arial" w:eastAsia="Arial" w:hAnsi="Arial"/>
                <w:sz w:val="18"/>
                <w:szCs w:val="18"/>
                <w:color w:val="auto"/>
              </w:rPr>
              <w:t>Units</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540" w:type="dxa"/>
            <w:vAlign w:val="bottom"/>
          </w:tcPr>
          <w:p>
            <w:pPr>
              <w:ind w:left="60"/>
              <w:spacing w:after="0"/>
              <w:rPr>
                <w:sz w:val="20"/>
                <w:szCs w:val="20"/>
                <w:color w:val="auto"/>
              </w:rPr>
            </w:pPr>
            <w:r>
              <w:rPr>
                <w:rFonts w:ascii="Arial" w:cs="Arial" w:eastAsia="Arial" w:hAnsi="Arial"/>
                <w:sz w:val="18"/>
                <w:szCs w:val="18"/>
                <w:color w:val="auto"/>
              </w:rPr>
              <w:t>Debt securities</w:t>
            </w:r>
          </w:p>
        </w:tc>
        <w:tc>
          <w:tcPr>
            <w:tcW w:w="25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156"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8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51"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Maturity</w:t>
            </w:r>
          </w:p>
        </w:tc>
        <w:tc>
          <w:tcPr>
            <w:tcW w:w="1460" w:type="dxa"/>
            <w:vAlign w:val="bottom"/>
          </w:tcPr>
          <w:p>
            <w:pPr>
              <w:ind w:left="1340"/>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Redemption terms</w:t>
            </w:r>
          </w:p>
        </w:tc>
        <w:tc>
          <w:tcPr>
            <w:tcW w:w="820" w:type="dxa"/>
            <w:vAlign w:val="bottom"/>
          </w:tcPr>
          <w:p>
            <w:pPr>
              <w:ind w:left="680"/>
              <w:spacing w:after="0"/>
              <w:rPr>
                <w:sz w:val="20"/>
                <w:szCs w:val="20"/>
                <w:color w:val="auto"/>
              </w:rPr>
            </w:pPr>
            <w:r>
              <w:rPr>
                <w:rFonts w:ascii="Arial" w:cs="Arial" w:eastAsia="Arial" w:hAnsi="Arial"/>
                <w:sz w:val="18"/>
                <w:szCs w:val="18"/>
                <w:color w:val="auto"/>
              </w:rPr>
              <w:t>•</w:t>
            </w:r>
          </w:p>
        </w:tc>
        <w:tc>
          <w:tcPr>
            <w:tcW w:w="1600" w:type="dxa"/>
            <w:vAlign w:val="bottom"/>
          </w:tcPr>
          <w:p>
            <w:pPr>
              <w:ind w:left="60"/>
              <w:spacing w:after="0"/>
              <w:rPr>
                <w:sz w:val="20"/>
                <w:szCs w:val="20"/>
                <w:color w:val="auto"/>
              </w:rPr>
            </w:pPr>
            <w:r>
              <w:rPr>
                <w:rFonts w:ascii="Arial" w:cs="Arial" w:eastAsia="Arial" w:hAnsi="Arial"/>
                <w:sz w:val="18"/>
                <w:szCs w:val="18"/>
                <w:color w:val="auto"/>
                <w:w w:val="99"/>
              </w:rPr>
              <w:t>Liquidation amount</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Interest rate</w:t>
            </w:r>
          </w:p>
        </w:tc>
        <w:tc>
          <w:tcPr>
            <w:tcW w:w="4360" w:type="dxa"/>
            <w:vAlign w:val="bottom"/>
            <w:gridSpan w:val="2"/>
          </w:tcPr>
          <w:p>
            <w:pPr>
              <w:ind w:left="1340"/>
              <w:spacing w:after="0"/>
              <w:rPr>
                <w:sz w:val="20"/>
                <w:szCs w:val="20"/>
                <w:color w:val="auto"/>
              </w:rPr>
            </w:pPr>
            <w:r>
              <w:rPr>
                <w:rFonts w:ascii="Arial" w:cs="Arial" w:eastAsia="Arial" w:hAnsi="Arial"/>
                <w:sz w:val="18"/>
                <w:szCs w:val="18"/>
                <w:color w:val="auto"/>
              </w:rPr>
              <w:t>•  Listing on a security exchange</w:t>
            </w:r>
          </w:p>
        </w:tc>
        <w:tc>
          <w:tcPr>
            <w:tcW w:w="820" w:type="dxa"/>
            <w:vAlign w:val="bottom"/>
          </w:tcPr>
          <w:p>
            <w:pPr>
              <w:ind w:left="680"/>
              <w:spacing w:after="0"/>
              <w:rPr>
                <w:sz w:val="20"/>
                <w:szCs w:val="20"/>
                <w:color w:val="auto"/>
              </w:rPr>
            </w:pPr>
            <w:r>
              <w:rPr>
                <w:rFonts w:ascii="Arial" w:cs="Arial" w:eastAsia="Arial" w:hAnsi="Arial"/>
                <w:sz w:val="18"/>
                <w:szCs w:val="18"/>
                <w:color w:val="auto"/>
              </w:rPr>
              <w:t>•</w:t>
            </w:r>
          </w:p>
        </w:tc>
        <w:tc>
          <w:tcPr>
            <w:tcW w:w="1600" w:type="dxa"/>
            <w:vAlign w:val="bottom"/>
          </w:tcPr>
          <w:p>
            <w:pPr>
              <w:ind w:left="60"/>
              <w:spacing w:after="0"/>
              <w:rPr>
                <w:sz w:val="20"/>
                <w:szCs w:val="20"/>
                <w:color w:val="auto"/>
              </w:rPr>
            </w:pPr>
            <w:r>
              <w:rPr>
                <w:rFonts w:ascii="Arial" w:cs="Arial" w:eastAsia="Arial" w:hAnsi="Arial"/>
                <w:sz w:val="18"/>
                <w:szCs w:val="18"/>
                <w:color w:val="auto"/>
                <w:w w:val="84"/>
              </w:rPr>
              <w:t>Subsidiary guarantees</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Currency of payments</w:t>
            </w:r>
          </w:p>
        </w:tc>
        <w:tc>
          <w:tcPr>
            <w:tcW w:w="4360" w:type="dxa"/>
            <w:vAlign w:val="bottom"/>
            <w:gridSpan w:val="2"/>
          </w:tcPr>
          <w:p>
            <w:pPr>
              <w:ind w:left="1340"/>
              <w:spacing w:after="0"/>
              <w:rPr>
                <w:sz w:val="20"/>
                <w:szCs w:val="20"/>
                <w:color w:val="auto"/>
              </w:rPr>
            </w:pPr>
            <w:r>
              <w:rPr>
                <w:rFonts w:ascii="Arial" w:cs="Arial" w:eastAsia="Arial" w:hAnsi="Arial"/>
                <w:sz w:val="18"/>
                <w:szCs w:val="18"/>
                <w:color w:val="auto"/>
              </w:rPr>
              <w:t>•  Amount payable at maturity</w:t>
            </w:r>
          </w:p>
        </w:tc>
        <w:tc>
          <w:tcPr>
            <w:tcW w:w="820" w:type="dxa"/>
            <w:vAlign w:val="bottom"/>
          </w:tcPr>
          <w:p>
            <w:pPr>
              <w:ind w:left="680"/>
              <w:spacing w:after="0"/>
              <w:rPr>
                <w:sz w:val="20"/>
                <w:szCs w:val="20"/>
                <w:color w:val="auto"/>
              </w:rPr>
            </w:pPr>
            <w:r>
              <w:rPr>
                <w:rFonts w:ascii="Arial" w:cs="Arial" w:eastAsia="Arial" w:hAnsi="Arial"/>
                <w:sz w:val="18"/>
                <w:szCs w:val="18"/>
                <w:color w:val="auto"/>
              </w:rPr>
              <w:t>•</w:t>
            </w:r>
          </w:p>
        </w:tc>
        <w:tc>
          <w:tcPr>
            <w:tcW w:w="1600" w:type="dxa"/>
            <w:vAlign w:val="bottom"/>
          </w:tcPr>
          <w:p>
            <w:pPr>
              <w:ind w:left="60"/>
              <w:spacing w:after="0"/>
              <w:rPr>
                <w:sz w:val="20"/>
                <w:szCs w:val="20"/>
                <w:color w:val="auto"/>
              </w:rPr>
            </w:pPr>
            <w:r>
              <w:rPr>
                <w:rFonts w:ascii="Arial" w:cs="Arial" w:eastAsia="Arial" w:hAnsi="Arial"/>
                <w:sz w:val="18"/>
                <w:szCs w:val="18"/>
                <w:color w:val="auto"/>
              </w:rPr>
              <w:t>Sinking fund terms</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Dividends</w:t>
            </w:r>
          </w:p>
        </w:tc>
        <w:tc>
          <w:tcPr>
            <w:tcW w:w="1460" w:type="dxa"/>
            <w:vAlign w:val="bottom"/>
          </w:tcPr>
          <w:p>
            <w:pPr>
              <w:ind w:left="1340"/>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Conversion or exchange rights</w:t>
            </w:r>
          </w:p>
        </w:tc>
        <w:tc>
          <w:tcPr>
            <w:tcW w:w="8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15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Common Stock is quoted on The NASDAQ Stock Market under the ticker symbol TXN. On February 21, 2013, the reported last sale price on The NASDAQ Stock Market for our Common Stock was $32.48.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166370</wp:posOffset>
            </wp:positionV>
            <wp:extent cx="15176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0" w:lineRule="exact"/>
        <w:rPr>
          <w:sz w:val="20"/>
          <w:szCs w:val="20"/>
          <w:color w:val="auto"/>
        </w:rPr>
      </w:pPr>
    </w:p>
    <w:p>
      <w:pPr>
        <w:ind w:right="400" w:firstLine="456"/>
        <w:spacing w:after="0" w:line="335"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10 of our annual report on Form 10-K for the year ended December 31, 2012,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9"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February 22, 2013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responsible for the information contained in or incorporated by reference in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167005</wp:posOffset>
            </wp:positionV>
            <wp:extent cx="15176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60" w:type="dxa"/>
            <w:vAlign w:val="bottom"/>
            <w:gridSpan w:val="2"/>
          </w:tcPr>
          <w:p>
            <w:pPr>
              <w:jc w:val="right"/>
              <w:ind w:right="458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4160" w:type="dxa"/>
            <w:vAlign w:val="bottom"/>
            <w:gridSpan w:val="14"/>
            <w:vMerge w:val="restart"/>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The Company</w:t>
              </w:r>
            </w:hyperlink>
          </w:p>
        </w:tc>
        <w:tc>
          <w:tcPr>
            <w:tcW w:w="690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169"/>
        </w:trPr>
        <w:tc>
          <w:tcPr>
            <w:tcW w:w="4160" w:type="dxa"/>
            <w:vAlign w:val="bottom"/>
            <w:gridSpan w:val="14"/>
            <w:vMerge w:val="continue"/>
          </w:tcPr>
          <w:p>
            <w:pPr>
              <w:spacing w:after="0"/>
              <w:rPr>
                <w:sz w:val="14"/>
                <w:szCs w:val="14"/>
                <w:color w:val="auto"/>
              </w:rPr>
            </w:pPr>
          </w:p>
        </w:tc>
        <w:tc>
          <w:tcPr>
            <w:tcW w:w="6900" w:type="dxa"/>
            <w:vAlign w:val="bottom"/>
          </w:tcPr>
          <w:p>
            <w:pPr>
              <w:spacing w:after="0"/>
              <w:rPr>
                <w:sz w:val="14"/>
                <w:szCs w:val="14"/>
                <w:color w:val="auto"/>
              </w:rPr>
            </w:pPr>
          </w:p>
        </w:tc>
        <w:tc>
          <w:tcPr>
            <w:tcW w:w="26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About this Prospectus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Where You Can Find More Information</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Caution Concerning Forward-Looking Statements</w:t>
              </w:r>
            </w:hyperlink>
          </w:p>
        </w:tc>
        <w:tc>
          <w:tcPr>
            <w:tcW w:w="620" w:type="dxa"/>
            <w:vAlign w:val="bottom"/>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Use of Proceeds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Ratios of Earnings to Fixed Charges</w:t>
              </w:r>
            </w:hyperlink>
          </w:p>
        </w:tc>
        <w:tc>
          <w:tcPr>
            <w:tcW w:w="1600" w:type="dxa"/>
            <w:vAlign w:val="bottom"/>
            <w:gridSpan w:val="3"/>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Description of Capital Stock</w:t>
              </w:r>
            </w:hyperlink>
          </w:p>
        </w:tc>
        <w:tc>
          <w:tcPr>
            <w:tcW w:w="2140" w:type="dxa"/>
            <w:vAlign w:val="bottom"/>
            <w:gridSpan w:val="5"/>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Description of Debt Securities</w:t>
              </w:r>
            </w:hyperlink>
          </w:p>
        </w:tc>
        <w:tc>
          <w:tcPr>
            <w:tcW w:w="2020" w:type="dxa"/>
            <w:vAlign w:val="bottom"/>
            <w:gridSpan w:val="4"/>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Description of Warrants</w:t>
              </w:r>
            </w:hyperlink>
          </w:p>
        </w:tc>
        <w:tc>
          <w:tcPr>
            <w:tcW w:w="2460" w:type="dxa"/>
            <w:vAlign w:val="bottom"/>
            <w:gridSpan w:val="6"/>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Description of Units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6"/>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Forms of Securities</w:t>
              </w:r>
            </w:hyperlink>
          </w:p>
        </w:tc>
        <w:tc>
          <w:tcPr>
            <w:tcW w:w="2720" w:type="dxa"/>
            <w:vAlign w:val="bottom"/>
            <w:gridSpan w:val="8"/>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Plan of Distribution</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57">
              <w:r>
                <w:rPr>
                  <w:rFonts w:ascii="Arial" w:cs="Arial" w:eastAsia="Arial" w:hAnsi="Arial"/>
                  <w:sz w:val="18"/>
                  <w:szCs w:val="18"/>
                  <w:color w:val="0000EE"/>
                  <w:w w:val="92"/>
                </w:rPr>
                <w:t>Validity of Securities</w:t>
              </w:r>
            </w:hyperlink>
          </w:p>
        </w:tc>
        <w:tc>
          <w:tcPr>
            <w:tcW w:w="2620" w:type="dxa"/>
            <w:vAlign w:val="bottom"/>
            <w:gridSpan w:val="7"/>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Experts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4258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3425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At Texas Instruments Incorporated (TI), we design and make semiconductors that we sell to electronics designers and manufacturers all over the world. We began operations in 1930. We are incorporated in Delaware, headquartered in Dallas, Texas, and have design, manufacturing or sales operations in more than 35 countries.</w:t>
      </w:r>
    </w:p>
    <w:p>
      <w:pPr>
        <w:spacing w:after="0" w:line="140" w:lineRule="exact"/>
        <w:rPr>
          <w:sz w:val="20"/>
          <w:szCs w:val="20"/>
          <w:color w:val="auto"/>
        </w:rPr>
      </w:pPr>
    </w:p>
    <w:p>
      <w:pPr>
        <w:ind w:left="200" w:right="400" w:firstLine="443"/>
        <w:spacing w:after="0" w:line="268" w:lineRule="auto"/>
        <w:rPr>
          <w:sz w:val="20"/>
          <w:szCs w:val="20"/>
          <w:color w:val="auto"/>
        </w:rPr>
      </w:pPr>
      <w:r>
        <w:rPr>
          <w:rFonts w:ascii="Arial" w:cs="Arial" w:eastAsia="Arial" w:hAnsi="Arial"/>
          <w:sz w:val="18"/>
          <w:szCs w:val="18"/>
          <w:color w:val="auto"/>
        </w:rPr>
        <w:t>We were the world’s fourth largest semiconductor company in 2012 as measured by revenue, according to preliminary estimates from an external source.</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Our principal executive offices are located at 12500 TI Boulevard, Dallas, Texas 75266-0199, and our telephone number is (214) 479-3773. We</w:t>
      </w:r>
    </w:p>
    <w:p>
      <w:pPr>
        <w:spacing w:after="0" w:line="3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maintain a website at www.ti.com where general information about us is available. We are not incorporating the contents of the website into this prospectus.</w:t>
      </w:r>
    </w:p>
    <w:p>
      <w:pPr>
        <w:spacing w:after="0" w:line="188"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“Where You Can Find More Information.”</w:t>
      </w:r>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200" w:right="60" w:firstLine="443"/>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1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all documents subsequently filed with the SEC pursuant to Section 13(a), 13(c), 14, or 15(d) of the Securities Exchange Act of 1934, as amended (the “Exchange Act”) prior to the termination of the offering under this prospectus:</w:t>
      </w:r>
    </w:p>
    <w:p>
      <w:pPr>
        <w:spacing w:after="0" w:line="62"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Current Report on Form 8-K filed on January 18, 2013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2012, filed on February 22, 2013.</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request a copy of these filings at no cost, by writing or telephoning us at: 12500 TI Boulevard, P.O. Box 660199, Dallas, Texas 75266-0199,</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Attention: Manager of Investor Relations, (214) 479-3773. Information about us, including our SEC filings, is also available at our website at www.ti.com.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However, the information on our website is not a part of this prospectus or any prospectus supplement that we file.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Certain matters discussed in this prospectus or incorporated by reference into this prospectus are “forward-looking statements.” The Private Securities Litigation Reform Act of 1995 has established that these statements qualify for safe harbors from liability. Forward-looking statements may include words like we “believe,” “expect,” “anticipate,” “foresee,” “forecast,”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51" w:lineRule="exact"/>
        <w:rPr>
          <w:sz w:val="20"/>
          <w:szCs w:val="20"/>
          <w:color w:val="auto"/>
        </w:rPr>
      </w:pPr>
    </w:p>
    <w:p>
      <w:pPr>
        <w:ind w:left="900" w:right="82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computing, industrial, consumer electronics and automotive;</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0" w:lineRule="exact"/>
        <w:rPr>
          <w:rFonts w:ascii="Arial" w:cs="Arial" w:eastAsia="Arial" w:hAnsi="Arial"/>
          <w:sz w:val="18"/>
          <w:szCs w:val="18"/>
          <w:color w:val="auto"/>
        </w:rPr>
      </w:pPr>
    </w:p>
    <w:p>
      <w:pPr>
        <w:ind w:left="900" w:right="60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13"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5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Product liability or warranty claims, claims based on epidemic or delivery failure or recalls by TI customers for a product containing a TI part;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This list is not all-inclusive because it is not possible to predict all factors. All forward-looking statements are qualified by the risks described in the documents incorporated by reference into this prospectus and any supplement to this prospectus. We have no obligation to publicly update or revise any forward-looking statements, whether as a result of new information, future events or risks. New information, future events or risks may cause the forward-looking events we discuss in this prospectus not to occur.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269" w:lineRule="exact"/>
        <w:rPr>
          <w:sz w:val="20"/>
          <w:szCs w:val="20"/>
          <w:color w:val="auto"/>
        </w:rPr>
      </w:pPr>
    </w:p>
    <w:p>
      <w:pPr>
        <w:ind w:left="460" w:right="3840" w:firstLine="3392"/>
        <w:spacing w:after="0" w:line="520" w:lineRule="auto"/>
        <w:rPr>
          <w:sz w:val="20"/>
          <w:szCs w:val="20"/>
          <w:color w:val="auto"/>
        </w:rPr>
      </w:pPr>
      <w:r>
        <w:rPr>
          <w:rFonts w:ascii="Arial" w:cs="Arial" w:eastAsia="Arial" w:hAnsi="Arial"/>
          <w:sz w:val="16"/>
          <w:szCs w:val="16"/>
          <w:b w:val="1"/>
          <w:bCs w:val="1"/>
          <w:color w:val="auto"/>
        </w:rPr>
        <w:t xml:space="preserve">RATIOS OF EARNINGS TO FIXED CHARGES </w:t>
      </w:r>
      <w:r>
        <w:rPr>
          <w:rFonts w:ascii="Arial" w:cs="Arial" w:eastAsia="Arial" w:hAnsi="Arial"/>
          <w:sz w:val="16"/>
          <w:szCs w:val="16"/>
          <w:color w:val="auto"/>
        </w:rPr>
        <w:t>Our ratio of earnings to fixed charges was as follows for the respective periods indicated: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Fiscal Years Ended December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500" w:type="dxa"/>
            <w:vAlign w:val="bottom"/>
            <w:tcBorders>
              <w:top w:val="single" w:sz="8" w:color="auto"/>
              <w:bottom w:val="single" w:sz="8" w:color="auto"/>
            </w:tcBorders>
          </w:tcPr>
          <w:p>
            <w:pPr>
              <w:jc w:val="right"/>
              <w:ind w:right="1022"/>
              <w:spacing w:after="0" w:line="156"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3"/>
                <w:szCs w:val="13"/>
                <w:color w:val="auto"/>
              </w:rPr>
            </w:pPr>
          </w:p>
        </w:tc>
        <w:tc>
          <w:tcPr>
            <w:tcW w:w="2060" w:type="dxa"/>
            <w:vAlign w:val="bottom"/>
            <w:tcBorders>
              <w:top w:val="single" w:sz="8" w:color="auto"/>
              <w:bottom w:val="single" w:sz="8" w:color="auto"/>
            </w:tcBorders>
          </w:tcPr>
          <w:p>
            <w:pPr>
              <w:jc w:val="right"/>
              <w:ind w:right="822"/>
              <w:spacing w:after="0" w:line="156"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tcBorders>
          </w:tcPr>
          <w:p>
            <w:pPr>
              <w:spacing w:after="0"/>
              <w:rPr>
                <w:sz w:val="13"/>
                <w:szCs w:val="13"/>
                <w:color w:val="auto"/>
              </w:rPr>
            </w:pPr>
          </w:p>
        </w:tc>
        <w:tc>
          <w:tcPr>
            <w:tcW w:w="2180" w:type="dxa"/>
            <w:vAlign w:val="bottom"/>
            <w:tcBorders>
              <w:top w:val="single" w:sz="8" w:color="auto"/>
              <w:bottom w:val="single" w:sz="8" w:color="auto"/>
            </w:tcBorders>
          </w:tcPr>
          <w:p>
            <w:pPr>
              <w:jc w:val="right"/>
              <w:ind w:right="882"/>
              <w:spacing w:after="0" w:line="156"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3"/>
                <w:szCs w:val="13"/>
                <w:color w:val="auto"/>
              </w:rPr>
            </w:pPr>
          </w:p>
        </w:tc>
        <w:tc>
          <w:tcPr>
            <w:tcW w:w="2160" w:type="dxa"/>
            <w:vAlign w:val="bottom"/>
            <w:tcBorders>
              <w:top w:val="single" w:sz="8" w:color="auto"/>
              <w:bottom w:val="single" w:sz="8" w:color="auto"/>
            </w:tcBorders>
          </w:tcPr>
          <w:p>
            <w:pPr>
              <w:jc w:val="right"/>
              <w:ind w:right="862"/>
              <w:spacing w:after="0" w:line="156"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3"/>
                <w:szCs w:val="13"/>
                <w:color w:val="auto"/>
              </w:rPr>
            </w:pPr>
          </w:p>
        </w:tc>
        <w:tc>
          <w:tcPr>
            <w:tcW w:w="2060" w:type="dxa"/>
            <w:vAlign w:val="bottom"/>
            <w:tcBorders>
              <w:top w:val="single" w:sz="8" w:color="auto"/>
              <w:bottom w:val="single" w:sz="8" w:color="auto"/>
            </w:tcBorders>
          </w:tcPr>
          <w:p>
            <w:pPr>
              <w:jc w:val="right"/>
              <w:ind w:right="822"/>
              <w:spacing w:after="0" w:line="156" w:lineRule="exact"/>
              <w:rPr>
                <w:sz w:val="20"/>
                <w:szCs w:val="20"/>
                <w:color w:val="auto"/>
              </w:rPr>
            </w:pPr>
            <w:r>
              <w:rPr>
                <w:rFonts w:ascii="Arial" w:cs="Arial" w:eastAsia="Arial" w:hAnsi="Arial"/>
                <w:sz w:val="14"/>
                <w:szCs w:val="14"/>
                <w:b w:val="1"/>
                <w:bCs w:val="1"/>
                <w:color w:val="auto"/>
              </w:rPr>
              <w:t>2008</w:t>
            </w:r>
          </w:p>
        </w:tc>
      </w:tr>
      <w:tr>
        <w:trPr>
          <w:trHeight w:val="216"/>
        </w:trPr>
        <w:tc>
          <w:tcPr>
            <w:tcW w:w="2500" w:type="dxa"/>
            <w:vAlign w:val="bottom"/>
          </w:tcPr>
          <w:p>
            <w:pPr>
              <w:jc w:val="center"/>
              <w:spacing w:after="0"/>
              <w:rPr>
                <w:sz w:val="20"/>
                <w:szCs w:val="20"/>
                <w:color w:val="auto"/>
              </w:rPr>
            </w:pPr>
            <w:r>
              <w:rPr>
                <w:rFonts w:ascii="Arial" w:cs="Arial" w:eastAsia="Arial" w:hAnsi="Arial"/>
                <w:sz w:val="18"/>
                <w:szCs w:val="18"/>
                <w:color w:val="auto"/>
                <w:w w:val="90"/>
              </w:rPr>
              <w:t>20.6x</w:t>
            </w:r>
          </w:p>
        </w:tc>
        <w:tc>
          <w:tcPr>
            <w:tcW w:w="16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55.9x</w:t>
            </w:r>
          </w:p>
        </w:tc>
        <w:tc>
          <w:tcPr>
            <w:tcW w:w="1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304.8x</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127.9x</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109.5x</w:t>
            </w:r>
          </w:p>
        </w:tc>
      </w:tr>
    </w:tbl>
    <w:p>
      <w:pPr>
        <w:spacing w:after="0" w:line="14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equity investment gains or losses, and other miscellaneous non-operational items such as currency exchange gains or losses). Fixed charges consist of total interest on loans, interest attributable to rental and lease expense, and capitalized interest.</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have no preferred shares outstanding and have paid no preferred dividends to date; therefore, our ratios of earnings to combined fixed charges and preferred dividends are the same as our ratios of earnings to fixed charges.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80" w:firstLine="456"/>
        <w:spacing w:after="0" w:line="309" w:lineRule="auto"/>
        <w:rPr>
          <w:sz w:val="20"/>
          <w:szCs w:val="20"/>
          <w:color w:val="auto"/>
        </w:rPr>
      </w:pPr>
      <w:r>
        <w:rPr>
          <w:rFonts w:ascii="Arial" w:cs="Arial" w:eastAsia="Arial" w:hAnsi="Arial"/>
          <w:sz w:val="15"/>
          <w:szCs w:val="15"/>
          <w:color w:val="auto"/>
        </w:rPr>
        <w:t>As of January 31, 2013, there were 1,104,787,389 shares of common stock outstanding which were held of record by 18,036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Stock Market. The transfer agent and registrar for our common stock is Computershare Trust Company, N.A., 2 North LaSalle Street, 3</w:t>
      </w:r>
      <w:r>
        <w:rPr>
          <w:rFonts w:ascii="Arial" w:cs="Arial" w:eastAsia="Arial" w:hAnsi="Arial"/>
          <w:sz w:val="10"/>
          <w:szCs w:val="10"/>
          <w:color w:val="auto"/>
        </w:rPr>
        <w:t>rd</w:t>
      </w:r>
      <w:r>
        <w:rPr>
          <w:rFonts w:ascii="Arial" w:cs="Arial" w:eastAsia="Arial" w:hAnsi="Arial"/>
          <w:sz w:val="15"/>
          <w:szCs w:val="15"/>
          <w:color w:val="auto"/>
        </w:rPr>
        <w:t xml:space="preserve"> Floor, Chicago, Illinois 60602.</w:t>
      </w:r>
    </w:p>
    <w:p>
      <w:pPr>
        <w:spacing w:after="0" w:line="10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of January 31, 2013,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day on which public announcement of the date of the meeting is first made.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59"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0" w:lineRule="exact"/>
        <w:rPr>
          <w:rFonts w:ascii="Arial" w:cs="Arial" w:eastAsia="Arial" w:hAnsi="Arial"/>
          <w:sz w:val="18"/>
          <w:szCs w:val="18"/>
          <w:color w:val="auto"/>
        </w:rPr>
      </w:pPr>
    </w:p>
    <w:p>
      <w:pPr>
        <w:ind w:left="900" w:right="160" w:hanging="325"/>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Texas Instruments and, accordingly, may discourage attempts to acquire Texas Instruments even though such a transaction may offer Texas Instruments stockholders the opportunity to sell their stock at a price above the prevailing market price.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You should look in the prospectus supplement for any additional or different terms of the debt securities being offered, including the following terms:</w:t>
      </w:r>
    </w:p>
    <w:p>
      <w:pPr>
        <w:spacing w:after="0" w:line="113"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74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0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having been issued at a discount for U.S. federal income tax purposes will be described in the applicable prospectus supplement.</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84" w:lineRule="exact"/>
        <w:rPr>
          <w:sz w:val="20"/>
          <w:szCs w:val="20"/>
          <w:color w:val="auto"/>
        </w:rPr>
      </w:pPr>
    </w:p>
    <w:p>
      <w:pPr>
        <w:ind w:right="200" w:firstLine="456"/>
        <w:spacing w:after="0" w:line="301" w:lineRule="auto"/>
        <w:rPr>
          <w:sz w:val="20"/>
          <w:szCs w:val="20"/>
          <w:color w:val="auto"/>
        </w:rPr>
      </w:pPr>
      <w:r>
        <w:rPr>
          <w:rFonts w:ascii="Arial" w:cs="Arial" w:eastAsia="Arial" w:hAnsi="Arial"/>
          <w:sz w:val="16"/>
          <w:szCs w:val="16"/>
          <w:i w:val="1"/>
          <w:iCs w:val="1"/>
          <w:color w:val="auto"/>
        </w:rPr>
        <w:t>Certain Definitions</w:t>
      </w:r>
      <w:r>
        <w:rPr>
          <w:rFonts w:ascii="Arial" w:cs="Arial" w:eastAsia="Arial" w:hAnsi="Arial"/>
          <w:sz w:val="16"/>
          <w:szCs w:val="16"/>
          <w:color w:val="auto"/>
        </w:rPr>
        <w:t>. The term “</w:t>
      </w:r>
      <w:r>
        <w:rPr>
          <w:rFonts w:ascii="Arial" w:cs="Arial" w:eastAsia="Arial" w:hAnsi="Arial"/>
          <w:sz w:val="16"/>
          <w:szCs w:val="16"/>
          <w:b w:val="1"/>
          <w:bCs w:val="1"/>
          <w:color w:val="auto"/>
        </w:rPr>
        <w:t>attributable debt</w:t>
      </w:r>
      <w:r>
        <w:rPr>
          <w:rFonts w:ascii="Arial" w:cs="Arial" w:eastAsia="Arial" w:hAnsi="Arial"/>
          <w:sz w:val="16"/>
          <w:szCs w:val="16"/>
          <w:color w:val="auto"/>
        </w:rPr>
        <w:t>” in respect of a sale and leaseback transaction means, at the time of determination, the lesser of (1)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03" w:lineRule="exact"/>
        <w:rPr>
          <w:sz w:val="20"/>
          <w:szCs w:val="20"/>
          <w:color w:val="auto"/>
        </w:rPr>
      </w:pPr>
    </w:p>
    <w:p>
      <w:pPr>
        <w:ind w:right="400" w:firstLine="456"/>
        <w:spacing w:after="0" w:line="339"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consolidated net tangible assets</w:t>
      </w:r>
      <w:r>
        <w:rPr>
          <w:rFonts w:ascii="Arial" w:cs="Arial" w:eastAsia="Arial" w:hAnsi="Arial"/>
          <w:sz w:val="16"/>
          <w:szCs w:val="16"/>
          <w:color w:val="auto"/>
        </w:rPr>
        <w:t>”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74"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funded debt</w:t>
      </w:r>
      <w:r>
        <w:rPr>
          <w:rFonts w:ascii="Arial" w:cs="Arial" w:eastAsia="Arial" w:hAnsi="Arial"/>
          <w:sz w:val="18"/>
          <w:szCs w:val="18"/>
          <w:color w:val="auto"/>
        </w:rPr>
        <w: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32"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intangible assets</w:t>
      </w:r>
      <w:r>
        <w:rPr>
          <w:rFonts w:ascii="Arial" w:cs="Arial" w:eastAsia="Arial" w:hAnsi="Arial"/>
          <w:sz w:val="16"/>
          <w:szCs w:val="16"/>
          <w:color w:val="auto"/>
        </w:rPr>
        <w:t>”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03" w:lineRule="exact"/>
        <w:rPr>
          <w:sz w:val="20"/>
          <w:szCs w:val="20"/>
          <w:color w:val="auto"/>
        </w:rPr>
      </w:pPr>
    </w:p>
    <w:p>
      <w:pPr>
        <w:jc w:val="both"/>
        <w:ind w:right="560" w:firstLine="456"/>
        <w:spacing w:after="0" w:line="262"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net rental payments</w:t>
      </w:r>
      <w:r>
        <w:rPr>
          <w:rFonts w:ascii="Arial" w:cs="Arial" w:eastAsia="Arial" w:hAnsi="Arial"/>
          <w:sz w:val="18"/>
          <w:szCs w:val="18"/>
          <w:color w:val="auto"/>
        </w:rPr>
        <w:t>”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32"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principal manufacturing property</w:t>
      </w:r>
      <w:r>
        <w:rPr>
          <w:rFonts w:ascii="Arial" w:cs="Arial" w:eastAsia="Arial" w:hAnsi="Arial"/>
          <w:sz w:val="16"/>
          <w:szCs w:val="16"/>
          <w:color w:val="auto"/>
        </w:rPr>
        <w:t>”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0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Restrictions on Liens</w:t>
      </w:r>
      <w:r>
        <w:rPr>
          <w:rFonts w:ascii="Arial" w:cs="Arial" w:eastAsia="Arial" w:hAnsi="Arial"/>
          <w:sz w:val="18"/>
          <w:szCs w:val="18"/>
          <w:color w:val="auto"/>
        </w:rPr>
        <w:t>. The indenture provides that, unless as may otherwise be indicated by resolution of our board of directors, officer’s certificate, or</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indenture, we will not issue or assume any debt for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money borrowed (which, including guarantees of debt for borrowed money, we refer to as “</w:t>
      </w:r>
      <w:r>
        <w:rPr>
          <w:rFonts w:ascii="Arial" w:cs="Arial" w:eastAsia="Arial" w:hAnsi="Arial"/>
          <w:sz w:val="18"/>
          <w:szCs w:val="18"/>
          <w:b w:val="1"/>
          <w:bCs w:val="1"/>
          <w:color w:val="auto"/>
        </w:rPr>
        <w:t>debt</w:t>
      </w:r>
      <w:r>
        <w:rPr>
          <w:rFonts w:ascii="Arial" w:cs="Arial" w:eastAsia="Arial" w:hAnsi="Arial"/>
          <w:sz w:val="18"/>
          <w:szCs w:val="18"/>
          <w:color w:val="auto"/>
        </w:rPr>
        <w:t>”), if the debt is secured by a mortgage, pledge, lien or other encumbrance (which we refer to as a “</w:t>
      </w:r>
      <w:r>
        <w:rPr>
          <w:rFonts w:ascii="Arial" w:cs="Arial" w:eastAsia="Arial" w:hAnsi="Arial"/>
          <w:sz w:val="18"/>
          <w:szCs w:val="18"/>
          <w:b w:val="1"/>
          <w:bCs w:val="1"/>
          <w:color w:val="auto"/>
        </w:rPr>
        <w:t>mortgage</w:t>
      </w:r>
      <w:r>
        <w:rPr>
          <w:rFonts w:ascii="Arial" w:cs="Arial" w:eastAsia="Arial" w:hAnsi="Arial"/>
          <w:sz w:val="18"/>
          <w:szCs w:val="18"/>
          <w:color w:val="auto"/>
        </w:rPr>
        <w:t>”) upon any 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64"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mortgages on property existing at the time of or within 120 days after acquisition of the property and certain purchase money mortgages;</w:t>
      </w:r>
    </w:p>
    <w:p>
      <w:pPr>
        <w:spacing w:after="0" w:line="113"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50" w:lineRule="exact"/>
        <w:rPr>
          <w:rFonts w:ascii="Arial" w:cs="Arial" w:eastAsia="Arial" w:hAnsi="Arial"/>
          <w:sz w:val="18"/>
          <w:szCs w:val="18"/>
          <w:color w:val="auto"/>
        </w:rPr>
      </w:pPr>
    </w:p>
    <w:p>
      <w:pPr>
        <w:jc w:val="both"/>
        <w:ind w:left="900" w:right="220" w:hanging="325"/>
        <w:spacing w:after="0" w:line="306"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for the purpose of financing all or any part of the purchase price or the cost of construction of the property subject to the mortgages;</w:t>
      </w:r>
    </w:p>
    <w:p>
      <w:pPr>
        <w:spacing w:after="0" w:line="25"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are being contested in good faith by appropriate proceedings;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50"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61"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Restrictions on Sale and Leaseback Transactions</w:t>
      </w:r>
      <w:r>
        <w:rPr>
          <w:rFonts w:ascii="Arial" w:cs="Arial" w:eastAsia="Arial" w:hAnsi="Arial"/>
          <w:sz w:val="16"/>
          <w:szCs w:val="16"/>
          <w:color w:val="auto"/>
        </w:rPr>
        <w:t>. The indenture provides that, unless as may otherwise be indicated by resolution of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certificate, or supplemental indenture, we will not enter into any lease longer than three years covering any principal manufacturing property that is sold to any other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32" w:lineRule="exact"/>
        <w:rPr>
          <w:sz w:val="20"/>
          <w:szCs w:val="20"/>
          <w:color w:val="auto"/>
        </w:rPr>
      </w:pPr>
    </w:p>
    <w:p>
      <w:pPr>
        <w:ind w:left="900" w:right="80" w:hanging="325"/>
        <w:spacing w:after="0" w:line="256"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62" w:lineRule="exact"/>
        <w:rPr>
          <w:rFonts w:ascii="Arial" w:cs="Arial" w:eastAsia="Arial" w:hAnsi="Arial"/>
          <w:sz w:val="18"/>
          <w:szCs w:val="18"/>
          <w:color w:val="auto"/>
        </w:rPr>
      </w:pPr>
    </w:p>
    <w:p>
      <w:pPr>
        <w:ind w:left="900" w:right="660" w:hanging="325"/>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proceeds of such sale and leaseback transaction and we elect to designate such amount as a credit against such transaction,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200" w:hanging="446"/>
        <w:spacing w:after="0" w:line="268" w:lineRule="auto"/>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5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Exempted Debt</w:t>
      </w:r>
      <w:r>
        <w:rPr>
          <w:rFonts w:ascii="Arial" w:cs="Arial" w:eastAsia="Arial" w:hAnsi="Arial"/>
          <w:sz w:val="18"/>
          <w:szCs w:val="18"/>
          <w:color w:val="auto"/>
        </w:rPr>
        <w:t>. The indenture provides that, notwithstanding the restrictions on mortgages and sale and leaseback transactions described above, we may,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w:t>
      </w:r>
      <w:r>
        <w:rPr>
          <w:rFonts w:ascii="Arial" w:cs="Arial" w:eastAsia="Arial" w:hAnsi="Arial"/>
          <w:sz w:val="18"/>
          <w:szCs w:val="18"/>
          <w:b w:val="1"/>
          <w:bCs w:val="1"/>
          <w:color w:val="auto"/>
        </w:rPr>
        <w:t>exempted debt</w:t>
      </w:r>
      <w:r>
        <w:rPr>
          <w:rFonts w:ascii="Arial" w:cs="Arial" w:eastAsia="Arial" w:hAnsi="Arial"/>
          <w:sz w:val="18"/>
          <w:szCs w:val="18"/>
          <w:color w:val="auto"/>
        </w:rPr>
        <w:t>”) does not exceed 15% of consolidated net tangible assets.</w:t>
      </w:r>
    </w:p>
    <w:p>
      <w:pPr>
        <w:spacing w:after="0" w:line="14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Consolidation, Merger and Sale or Conveyance</w:t>
      </w:r>
      <w:r>
        <w:rPr>
          <w:rFonts w:ascii="Arial" w:cs="Arial" w:eastAsia="Arial" w:hAnsi="Arial"/>
          <w:sz w:val="18"/>
          <w:szCs w:val="18"/>
          <w:color w:val="auto"/>
        </w:rPr>
        <w:t>. We may not consolidate with, merge with or into, or sell, or convey (including by way of lease) all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our assets to any person or permit any person to merge with or into us unless:</w:t>
      </w:r>
    </w:p>
    <w:p>
      <w:pPr>
        <w:spacing w:after="0" w:line="51" w:lineRule="exact"/>
        <w:rPr>
          <w:sz w:val="20"/>
          <w:szCs w:val="20"/>
          <w:color w:val="auto"/>
        </w:rPr>
      </w:pPr>
    </w:p>
    <w:p>
      <w:pPr>
        <w:ind w:left="900" w:right="20" w:hanging="325"/>
        <w:spacing w:after="0" w:line="25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or leased our property and assets shall be a corporation or entity organized and validly existing under the laws of the United States of America or any jurisdiction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90" w:lineRule="exact"/>
        <w:rPr>
          <w:rFonts w:ascii="Arial" w:cs="Arial" w:eastAsia="Arial" w:hAnsi="Arial"/>
          <w:sz w:val="18"/>
          <w:szCs w:val="18"/>
          <w:color w:val="auto"/>
        </w:rPr>
      </w:pPr>
    </w:p>
    <w:p>
      <w:pPr>
        <w:jc w:val="both"/>
        <w:ind w:left="900" w:right="8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restrictions in the bullets above shall not be applicable to:</w:t>
      </w:r>
    </w:p>
    <w:p>
      <w:pPr>
        <w:spacing w:after="0" w:line="90" w:lineRule="exact"/>
        <w:rPr>
          <w:sz w:val="20"/>
          <w:szCs w:val="20"/>
          <w:color w:val="auto"/>
        </w:rPr>
      </w:pPr>
    </w:p>
    <w:p>
      <w:pPr>
        <w:ind w:left="900" w:right="34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90" w:lineRule="exact"/>
        <w:rPr>
          <w:sz w:val="20"/>
          <w:szCs w:val="20"/>
          <w:color w:val="auto"/>
        </w:rPr>
      </w:pPr>
    </w:p>
    <w:p>
      <w:pPr>
        <w:ind w:left="900" w:hanging="325"/>
        <w:spacing w:after="0" w:line="357" w:lineRule="auto"/>
        <w:tabs>
          <w:tab w:leader="none" w:pos="9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our default in the payment of principal or premium on the debt securities of such series when due and payable whether at maturity, upon acceleration, redemption, or otherwise, but, in the case of technical or administrative difficulties, only if that default continues for a period of two days;</w:t>
      </w: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default in the payment of interest on any debt securities of such series when due and payable, if that default continues for a period of 30 days;</w:t>
      </w:r>
    </w:p>
    <w:p>
      <w:pPr>
        <w:spacing w:after="0" w:line="113" w:lineRule="exact"/>
        <w:rPr>
          <w:rFonts w:ascii="Arial" w:cs="Arial" w:eastAsia="Arial" w:hAnsi="Arial"/>
          <w:sz w:val="16"/>
          <w:szCs w:val="16"/>
          <w:color w:val="auto"/>
        </w:rPr>
      </w:pPr>
    </w:p>
    <w:p>
      <w:pPr>
        <w:ind w:left="900" w:right="140" w:hanging="325"/>
        <w:spacing w:after="0" w:line="256"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consecutive days after we receive written notice from the trustee or from the holders of 25% or more in aggregate principal amount of the debt securities of such series;</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occurs any other event of default provided for in such series of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relief in respect of us in an involuntary case under any applicable bankruptcy, insolvency, or other similar law now or hereafter in effect;</w:t>
      </w:r>
    </w:p>
    <w:p>
      <w:pPr>
        <w:spacing w:after="0" w:line="113" w:lineRule="exact"/>
        <w:rPr>
          <w:rFonts w:ascii="Arial" w:cs="Arial" w:eastAsia="Arial" w:hAnsi="Arial"/>
          <w:sz w:val="16"/>
          <w:szCs w:val="16"/>
          <w:color w:val="auto"/>
        </w:rPr>
      </w:pPr>
    </w:p>
    <w:p>
      <w:pPr>
        <w:ind w:left="1480" w:right="260" w:hanging="446"/>
        <w:spacing w:after="0" w:line="268" w:lineRule="auto"/>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and assets; or</w:t>
      </w:r>
    </w:p>
    <w:p>
      <w:pPr>
        <w:spacing w:after="0" w:line="50" w:lineRule="exact"/>
        <w:rPr>
          <w:rFonts w:ascii="Arial" w:cs="Arial" w:eastAsia="Arial" w:hAnsi="Arial"/>
          <w:sz w:val="18"/>
          <w:szCs w:val="18"/>
          <w:color w:val="auto"/>
        </w:rPr>
      </w:pPr>
    </w:p>
    <w:p>
      <w:pPr>
        <w:ind w:left="1480" w:right="100" w:hanging="446"/>
        <w:spacing w:after="0" w:line="268" w:lineRule="auto"/>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winding up or liquidation of our affairs and such decree or order shall remain unstayed and in effect for a period of 60 consecutive days;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w:t>
      </w:r>
    </w:p>
    <w:p>
      <w:pPr>
        <w:spacing w:after="0" w:line="90" w:lineRule="exact"/>
        <w:rPr>
          <w:rFonts w:ascii="Arial" w:cs="Arial" w:eastAsia="Arial" w:hAnsi="Arial"/>
          <w:sz w:val="18"/>
          <w:szCs w:val="18"/>
          <w:color w:val="auto"/>
        </w:rPr>
      </w:pPr>
    </w:p>
    <w:p>
      <w:pPr>
        <w:ind w:left="1480" w:right="260" w:hanging="446"/>
        <w:spacing w:after="0" w:line="268" w:lineRule="auto"/>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 or consent to the entry of an order for relief in an involuntary case under any such law;</w:t>
      </w:r>
    </w:p>
    <w:p>
      <w:pPr>
        <w:spacing w:after="0" w:line="50" w:lineRule="exact"/>
        <w:rPr>
          <w:rFonts w:ascii="Arial" w:cs="Arial" w:eastAsia="Arial" w:hAnsi="Arial"/>
          <w:sz w:val="18"/>
          <w:szCs w:val="18"/>
          <w:color w:val="auto"/>
        </w:rPr>
      </w:pPr>
    </w:p>
    <w:p>
      <w:pPr>
        <w:ind w:left="1480" w:right="220" w:hanging="446"/>
        <w:spacing w:after="0" w:line="268" w:lineRule="auto"/>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ours for all or substantially all of our property and assets; or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32"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39"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indenture provides that, unless the terms of any series of debt securities provides otherwise, we may discharge our obligations with respect to an issue of debt securities and the indenture with respect to such series of debt securities if:</w:t>
      </w:r>
    </w:p>
    <w:p>
      <w:pPr>
        <w:spacing w:after="0" w:line="51" w:lineRule="exact"/>
        <w:rPr>
          <w:sz w:val="20"/>
          <w:szCs w:val="20"/>
          <w:color w:val="auto"/>
        </w:rPr>
      </w:pPr>
    </w:p>
    <w:p>
      <w:pPr>
        <w:ind w:left="900" w:right="48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or</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with certain exceptions, have been delivered to the trustee for cancellation and we have paid all sums payable by us under the indenture; or</w:t>
      </w:r>
    </w:p>
    <w:p>
      <w:pPr>
        <w:spacing w:after="0" w:line="50" w:lineRule="exact"/>
        <w:rPr>
          <w:rFonts w:ascii="Arial" w:cs="Arial" w:eastAsia="Arial" w:hAnsi="Arial"/>
          <w:sz w:val="18"/>
          <w:szCs w:val="18"/>
          <w:color w:val="auto"/>
        </w:rPr>
      </w:pPr>
    </w:p>
    <w:p>
      <w:pPr>
        <w:ind w:left="900" w:right="60" w:hanging="325"/>
        <w:spacing w:after="0" w:line="290"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after payment of all federal, state and local taxes or other charges and assessments in respect thereof payable by the trustee, to pay principal of and interest on the debt securities of such series to maturity or redemption, as the case may be, and to pay all other sums payable by us under the indenture.</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With respect to the first and second bullet points, only our obligations to compensate and indemnify the trustee and our right to recover unclaimed money held by the trustee under the indenture shall survive. With respect to the third bullet point, certain rights and obligations under the indenture (such as our obligation to maintain an office or agency in respect of such debt securities, to have moneys held for payment in trust, to register the transfer or exchange of such debt securities, to deliver such debt securities for replacement or to be canceled, to compensate and indemnify the trustee and to appoint a successor trustee, and our right to recover unclaimed money held by the trustee) shall survive until such debt securities are no longer outstanding. Thereafter, only our obligations to compensate and indemnify the trustee, and our right to recover unclaimed money held by the trustee shall survive.</w:t>
      </w:r>
    </w:p>
    <w:p>
      <w:pPr>
        <w:spacing w:after="0" w:line="12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Unless the terms of any series of debt securities provide otherwise, on the 121st day after the date of deposit of the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w:t>
      </w:r>
      <w:r>
        <w:rPr>
          <w:rFonts w:ascii="Arial" w:cs="Arial" w:eastAsia="Arial" w:hAnsi="Arial"/>
          <w:sz w:val="16"/>
          <w:szCs w:val="16"/>
          <w:b w:val="1"/>
          <w:bCs w:val="1"/>
          <w:color w:val="auto"/>
        </w:rPr>
        <w:t>legal defeasance</w:t>
      </w:r>
      <w:r>
        <w:rPr>
          <w:rFonts w:ascii="Arial" w:cs="Arial" w:eastAsia="Arial" w:hAnsi="Arial"/>
          <w:sz w:val="16"/>
          <w:szCs w:val="16"/>
          <w:color w:val="auto"/>
        </w:rPr>
        <w:t>”); provided that the following conditions shall have been satisfied:</w:t>
      </w:r>
    </w:p>
    <w:p>
      <w:pPr>
        <w:spacing w:after="0" w:line="26" w:lineRule="exact"/>
        <w:rPr>
          <w:sz w:val="20"/>
          <w:szCs w:val="20"/>
          <w:color w:val="auto"/>
        </w:rPr>
      </w:pPr>
    </w:p>
    <w:p>
      <w:pPr>
        <w:ind w:left="900" w:right="100" w:hanging="325"/>
        <w:spacing w:after="0" w:line="289"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37"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material agreement or instrument to which we are a party or by which we are bound;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debt securities of such series shall have occurred and be continuing on the date of such deposit;</w:t>
      </w:r>
    </w:p>
    <w:p>
      <w:pPr>
        <w:spacing w:after="0" w:line="113"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shall have delivered to the trustee an officers’ certificate and an opinion of counsel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or a ruling by the Internal Revenue Service to the same effect; and</w:t>
      </w:r>
    </w:p>
    <w:p>
      <w:pPr>
        <w:spacing w:after="0" w:line="31"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Subsequent to the legal defeasance above, certain rights and obligations under the indenture (such as our obligation to maintain an office or agency in respect of such debt securities, to have moneys held for payment in trust, to register the exchange of such debt securities, to deliver such debt securities for replacement or to be canceled, to compensate and indemnify the trustee and to appoint a successor trustee, and our right to recover unclaimed money held by the trustee) shall survive until such debt securities are no longer outstanding. After such debt securities are no longer outstanding, only our obligations to compensate and indemnify the trustee and our right to recover unclaimed money held by the trustee shall survive.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90"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50" w:lineRule="exact"/>
        <w:rPr>
          <w:rFonts w:ascii="Arial" w:cs="Arial" w:eastAsia="Arial" w:hAnsi="Arial"/>
          <w:sz w:val="18"/>
          <w:szCs w:val="18"/>
          <w:color w:val="auto"/>
        </w:rPr>
      </w:pPr>
    </w:p>
    <w:p>
      <w:pPr>
        <w:jc w:val="both"/>
        <w:ind w:left="900" w:right="300" w:hanging="325"/>
        <w:spacing w:after="0" w:line="306"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cure any ambiguity, defect, or inconsistency in the indenture or in any supplemental indenture; provided that such amendments or supplements shall not adversely affect the interests of the holders of the debt securities of any series in any material respect, or to conform the indenture or the debt securities to the description of debt securities of such series set forth in this prospectus or a prospectus supplement;</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 —Consolidation, Merger and Sale or Conveyance”;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50"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62"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installment of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premium, if any, or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the provisions relating to the waiver of past defaults or changes or impairs the right of holders to receive payment or to institute suit for the enforcement of any payment of any debt securities of such series on or after the due date therefor;</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waives a default in the payment of principal of or interest on the debt securities;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adversely affects the rights of such holder under any mandatory redemption or repurchase provision or any right of redemption or repurchase at the option of such holder; or</w:t>
      </w:r>
    </w:p>
    <w:p>
      <w:pPr>
        <w:spacing w:after="0" w:line="50" w:lineRule="exact"/>
        <w:rPr>
          <w:rFonts w:ascii="Arial" w:cs="Arial" w:eastAsia="Arial" w:hAnsi="Arial"/>
          <w:sz w:val="18"/>
          <w:szCs w:val="18"/>
          <w:color w:val="auto"/>
        </w:rPr>
      </w:pPr>
    </w:p>
    <w:p>
      <w:pPr>
        <w:ind w:left="900" w:right="300" w:hanging="325"/>
        <w:spacing w:after="0" w:line="33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modifies any of the provisions of this paragraph, except to increase any required percentage or to provide that certain other provisions cannot be modified or waived without the consent of the holder of each debt security of such series affected by the modification.</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It shall not be necessary for the consent of the holders under this section of the indenture to approve the particular form of any proposed amendment, supplement, or waiver, but it shall be sufficient if such consent approves the substance thereof. After an amendment, supplement, or waiver under this section of the indenture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indenture provides that no recourse shall be had under or upon any obligation, covenant, or agreement of ours in the indenture or any supplemental indenture, or in any of the debt securities or because of the creation of any indebtedness represented thereby, against any incorporator, stockholder, officer,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same degree of care and skill in its exercise as a prudent person would exercise under the circumstances in the conduct of such person’s own affairs.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UNITS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FORMS OF SECURITIES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Registered Global Securities</w:t>
      </w:r>
      <w:r>
        <w:rPr>
          <w:rFonts w:ascii="Arial" w:cs="Arial" w:eastAsia="Arial" w:hAnsi="Arial"/>
          <w:sz w:val="16"/>
          <w:szCs w:val="16"/>
          <w:color w:val="auto"/>
        </w:rPr>
        <w:t>. We may issue the registered debt securities, warrants and units in the form of one or more fully registered global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2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20"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4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We or selling security holders may sell the securities being offered hereby in the following manner or any manner specified in a prospectus supplement:</w:t>
      </w:r>
    </w:p>
    <w:p>
      <w:pPr>
        <w:spacing w:after="0" w:line="113"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43"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07"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28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VALIDITY OF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validity of the securities in respect of which this prospectus is being delivered will be passed on for us by Davis Polk &amp; Wardwell LLP.</w:t>
      </w: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incorporated by reference in our Annual Report on Form 10-K for the year ended December 31, 2012, and the effectiveness of our internal control over financial reporting as of December 31, 2012, as set forth in their reports, which are incorporated by reference in this prospectus and elsewhere in the registration statement. Our financial statements and our management’s assessment of the effectiveness of internal control over financial reporting as of December 31, 2012, are incorporated by reference in reliance on Ernst &amp; Young LLP’s reports, given on their authority as experts in accounting and auditing.</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178435</wp:posOffset>
            </wp:positionV>
            <wp:extent cx="2864485" cy="660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80"/>
        <w:spacing w:after="0"/>
        <w:rPr>
          <w:sz w:val="20"/>
          <w:szCs w:val="20"/>
          <w:color w:val="auto"/>
        </w:rPr>
      </w:pPr>
      <w:r>
        <w:rPr>
          <w:rFonts w:ascii="Arial" w:cs="Arial" w:eastAsia="Arial" w:hAnsi="Arial"/>
          <w:sz w:val="32"/>
          <w:szCs w:val="32"/>
          <w:b w:val="1"/>
          <w:bCs w:val="1"/>
          <w:color w:val="auto"/>
        </w:rPr>
        <w:t>$250,000,000 0.875% Notes due 2017</w:t>
      </w:r>
    </w:p>
    <w:p>
      <w:pPr>
        <w:spacing w:after="0" w:line="33" w:lineRule="exact"/>
        <w:rPr>
          <w:sz w:val="20"/>
          <w:szCs w:val="20"/>
          <w:color w:val="auto"/>
        </w:rPr>
      </w:pPr>
    </w:p>
    <w:p>
      <w:pPr>
        <w:ind w:left="3180"/>
        <w:spacing w:after="0"/>
        <w:rPr>
          <w:sz w:val="20"/>
          <w:szCs w:val="20"/>
          <w:color w:val="auto"/>
        </w:rPr>
      </w:pPr>
      <w:r>
        <w:rPr>
          <w:rFonts w:ascii="Arial" w:cs="Arial" w:eastAsia="Arial" w:hAnsi="Arial"/>
          <w:sz w:val="32"/>
          <w:szCs w:val="32"/>
          <w:b w:val="1"/>
          <w:bCs w:val="1"/>
          <w:color w:val="auto"/>
        </w:rPr>
        <w:t>$250,000,000 2.750% Notes due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138430</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160655</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6380" w:type="dxa"/>
            <w:vAlign w:val="bottom"/>
          </w:tcPr>
          <w:p>
            <w:pPr>
              <w:jc w:val="center"/>
              <w:ind w:left="824"/>
              <w:spacing w:after="0"/>
              <w:rPr>
                <w:sz w:val="20"/>
                <w:szCs w:val="20"/>
                <w:color w:val="auto"/>
              </w:rPr>
            </w:pPr>
            <w:r>
              <w:rPr>
                <w:rFonts w:ascii="Arial" w:cs="Arial" w:eastAsia="Arial" w:hAnsi="Arial"/>
                <w:sz w:val="18"/>
                <w:szCs w:val="18"/>
                <w:i w:val="1"/>
                <w:iCs w:val="1"/>
                <w:color w:val="auto"/>
                <w:w w:val="89"/>
              </w:rPr>
              <w:t>Joint Book-Running Managers</w:t>
            </w: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1"/>
        </w:trPr>
        <w:tc>
          <w:tcPr>
            <w:tcW w:w="2060" w:type="dxa"/>
            <w:vAlign w:val="bottom"/>
          </w:tcPr>
          <w:p>
            <w:pPr>
              <w:spacing w:after="0"/>
              <w:rPr>
                <w:sz w:val="20"/>
                <w:szCs w:val="20"/>
                <w:color w:val="auto"/>
              </w:rPr>
            </w:pPr>
            <w:r>
              <w:rPr>
                <w:rFonts w:ascii="Arial" w:cs="Arial" w:eastAsia="Arial" w:hAnsi="Arial"/>
                <w:sz w:val="32"/>
                <w:szCs w:val="32"/>
                <w:b w:val="1"/>
                <w:bCs w:val="1"/>
                <w:color w:val="auto"/>
              </w:rPr>
              <w:t>Citigroup</w:t>
            </w:r>
          </w:p>
        </w:tc>
        <w:tc>
          <w:tcPr>
            <w:tcW w:w="6380" w:type="dxa"/>
            <w:vAlign w:val="bottom"/>
          </w:tcPr>
          <w:p>
            <w:pPr>
              <w:jc w:val="center"/>
              <w:spacing w:after="0"/>
              <w:rPr>
                <w:sz w:val="20"/>
                <w:szCs w:val="20"/>
                <w:color w:val="auto"/>
              </w:rPr>
            </w:pPr>
            <w:r>
              <w:rPr>
                <w:rFonts w:ascii="Arial" w:cs="Arial" w:eastAsia="Arial" w:hAnsi="Arial"/>
                <w:sz w:val="32"/>
                <w:szCs w:val="32"/>
                <w:b w:val="1"/>
                <w:bCs w:val="1"/>
                <w:color w:val="auto"/>
                <w:w w:val="96"/>
              </w:rPr>
              <w:t>BofA Merrill Lynch</w:t>
            </w:r>
          </w:p>
        </w:tc>
        <w:tc>
          <w:tcPr>
            <w:tcW w:w="2980" w:type="dxa"/>
            <w:vAlign w:val="bottom"/>
          </w:tcPr>
          <w:p>
            <w:pPr>
              <w:jc w:val="right"/>
              <w:spacing w:after="0"/>
              <w:rPr>
                <w:sz w:val="20"/>
                <w:szCs w:val="20"/>
                <w:color w:val="auto"/>
              </w:rPr>
            </w:pPr>
            <w:r>
              <w:rPr>
                <w:rFonts w:ascii="Arial" w:cs="Arial" w:eastAsia="Arial" w:hAnsi="Arial"/>
                <w:sz w:val="32"/>
                <w:szCs w:val="32"/>
                <w:b w:val="1"/>
                <w:bCs w:val="1"/>
                <w:color w:val="auto"/>
              </w:rPr>
              <w:t>Mizuho Securities</w:t>
            </w:r>
          </w:p>
        </w:tc>
        <w:tc>
          <w:tcPr>
            <w:tcW w:w="0" w:type="dxa"/>
            <w:vAlign w:val="bottom"/>
          </w:tcPr>
          <w:p>
            <w:pPr>
              <w:spacing w:after="0"/>
              <w:rPr>
                <w:sz w:val="1"/>
                <w:szCs w:val="1"/>
                <w:color w:val="auto"/>
              </w:rPr>
            </w:pPr>
          </w:p>
        </w:tc>
      </w:tr>
      <w:tr>
        <w:trPr>
          <w:trHeight w:val="594"/>
        </w:trPr>
        <w:tc>
          <w:tcPr>
            <w:tcW w:w="2060" w:type="dxa"/>
            <w:vAlign w:val="bottom"/>
          </w:tcPr>
          <w:p>
            <w:pPr>
              <w:spacing w:after="0"/>
              <w:rPr>
                <w:sz w:val="20"/>
                <w:szCs w:val="20"/>
                <w:color w:val="auto"/>
              </w:rPr>
            </w:pPr>
            <w:r>
              <w:rPr>
                <w:rFonts w:ascii="Arial" w:cs="Arial" w:eastAsia="Arial" w:hAnsi="Arial"/>
                <w:sz w:val="32"/>
                <w:szCs w:val="32"/>
                <w:b w:val="1"/>
                <w:bCs w:val="1"/>
                <w:color w:val="auto"/>
              </w:rPr>
              <w:t>J.P. Morgan</w:t>
            </w:r>
          </w:p>
        </w:tc>
        <w:tc>
          <w:tcPr>
            <w:tcW w:w="6380" w:type="dxa"/>
            <w:vAlign w:val="bottom"/>
          </w:tcPr>
          <w:p>
            <w:pPr>
              <w:jc w:val="center"/>
              <w:spacing w:after="0"/>
              <w:rPr>
                <w:sz w:val="20"/>
                <w:szCs w:val="20"/>
                <w:color w:val="auto"/>
              </w:rPr>
            </w:pPr>
            <w:r>
              <w:rPr>
                <w:rFonts w:ascii="Arial" w:cs="Arial" w:eastAsia="Arial" w:hAnsi="Arial"/>
                <w:sz w:val="32"/>
                <w:szCs w:val="32"/>
                <w:b w:val="1"/>
                <w:bCs w:val="1"/>
                <w:color w:val="auto"/>
                <w:w w:val="91"/>
              </w:rPr>
              <w:t>Mitsubishi UFJ Securities</w:t>
            </w:r>
          </w:p>
        </w:tc>
        <w:tc>
          <w:tcPr>
            <w:tcW w:w="2980" w:type="dxa"/>
            <w:vAlign w:val="bottom"/>
          </w:tcPr>
          <w:p>
            <w:pPr>
              <w:jc w:val="right"/>
              <w:spacing w:after="0"/>
              <w:rPr>
                <w:sz w:val="20"/>
                <w:szCs w:val="20"/>
                <w:color w:val="auto"/>
              </w:rPr>
            </w:pPr>
            <w:r>
              <w:rPr>
                <w:rFonts w:ascii="Arial" w:cs="Arial" w:eastAsia="Arial" w:hAnsi="Arial"/>
                <w:sz w:val="32"/>
                <w:szCs w:val="32"/>
                <w:b w:val="1"/>
                <w:bCs w:val="1"/>
                <w:color w:val="auto"/>
              </w:rPr>
              <w:t>Morgan Stanley</w:t>
            </w:r>
          </w:p>
        </w:tc>
        <w:tc>
          <w:tcPr>
            <w:tcW w:w="0" w:type="dxa"/>
            <w:vAlign w:val="bottom"/>
          </w:tcPr>
          <w:p>
            <w:pPr>
              <w:spacing w:after="0"/>
              <w:rPr>
                <w:sz w:val="1"/>
                <w:szCs w:val="1"/>
                <w:color w:val="auto"/>
              </w:rPr>
            </w:pPr>
          </w:p>
        </w:tc>
      </w:tr>
      <w:tr>
        <w:trPr>
          <w:trHeight w:val="280"/>
        </w:trPr>
        <w:tc>
          <w:tcPr>
            <w:tcW w:w="2060" w:type="dxa"/>
            <w:vAlign w:val="bottom"/>
            <w:vMerge w:val="restart"/>
          </w:tcPr>
          <w:p>
            <w:pPr>
              <w:spacing w:after="0"/>
              <w:rPr>
                <w:sz w:val="20"/>
                <w:szCs w:val="20"/>
                <w:color w:val="auto"/>
              </w:rPr>
            </w:pPr>
            <w:r>
              <w:rPr>
                <w:rFonts w:ascii="Arial" w:cs="Arial" w:eastAsia="Arial" w:hAnsi="Arial"/>
                <w:sz w:val="24"/>
                <w:szCs w:val="24"/>
                <w:b w:val="1"/>
                <w:bCs w:val="1"/>
                <w:color w:val="auto"/>
              </w:rPr>
              <w:t>BNP PARIBAS</w:t>
            </w:r>
          </w:p>
        </w:tc>
        <w:tc>
          <w:tcPr>
            <w:tcW w:w="6380" w:type="dxa"/>
            <w:vAlign w:val="bottom"/>
          </w:tcPr>
          <w:p>
            <w:pPr>
              <w:jc w:val="center"/>
              <w:ind w:left="824"/>
              <w:spacing w:after="0"/>
              <w:rPr>
                <w:sz w:val="20"/>
                <w:szCs w:val="20"/>
                <w:color w:val="auto"/>
              </w:rPr>
            </w:pPr>
            <w:r>
              <w:rPr>
                <w:rFonts w:ascii="Arial" w:cs="Arial" w:eastAsia="Arial" w:hAnsi="Arial"/>
                <w:sz w:val="18"/>
                <w:szCs w:val="18"/>
                <w:i w:val="1"/>
                <w:iCs w:val="1"/>
                <w:color w:val="auto"/>
                <w:w w:val="89"/>
              </w:rPr>
              <w:t>Senior Co-Managers</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60" w:type="dxa"/>
            <w:vAlign w:val="bottom"/>
            <w:vMerge w:val="continue"/>
          </w:tcPr>
          <w:p>
            <w:pPr>
              <w:spacing w:after="0"/>
              <w:rPr>
                <w:sz w:val="24"/>
                <w:szCs w:val="24"/>
                <w:color w:val="auto"/>
              </w:rPr>
            </w:pPr>
          </w:p>
        </w:tc>
        <w:tc>
          <w:tcPr>
            <w:tcW w:w="6380" w:type="dxa"/>
            <w:vAlign w:val="bottom"/>
            <w:vMerge w:val="restart"/>
          </w:tcPr>
          <w:p>
            <w:pPr>
              <w:ind w:left="360"/>
              <w:spacing w:after="0"/>
              <w:rPr>
                <w:sz w:val="20"/>
                <w:szCs w:val="20"/>
                <w:color w:val="auto"/>
              </w:rPr>
            </w:pPr>
            <w:r>
              <w:rPr>
                <w:rFonts w:ascii="Arial" w:cs="Arial" w:eastAsia="Arial" w:hAnsi="Arial"/>
                <w:sz w:val="24"/>
                <w:szCs w:val="24"/>
                <w:b w:val="1"/>
                <w:bCs w:val="1"/>
                <w:color w:val="auto"/>
              </w:rPr>
              <w:t>SMBC Nikko</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60" w:type="dxa"/>
            <w:vAlign w:val="bottom"/>
          </w:tcPr>
          <w:p>
            <w:pPr>
              <w:spacing w:after="0"/>
              <w:rPr>
                <w:sz w:val="21"/>
                <w:szCs w:val="21"/>
                <w:color w:val="auto"/>
              </w:rPr>
            </w:pPr>
          </w:p>
        </w:tc>
        <w:tc>
          <w:tcPr>
            <w:tcW w:w="6380" w:type="dxa"/>
            <w:vAlign w:val="bottom"/>
            <w:vMerge w:val="continue"/>
          </w:tcPr>
          <w:p>
            <w:pPr>
              <w:spacing w:after="0"/>
              <w:rPr>
                <w:sz w:val="21"/>
                <w:szCs w:val="21"/>
                <w:color w:val="auto"/>
              </w:rPr>
            </w:pPr>
          </w:p>
        </w:tc>
        <w:tc>
          <w:tcPr>
            <w:tcW w:w="2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7"/>
        </w:trPr>
        <w:tc>
          <w:tcPr>
            <w:tcW w:w="2060" w:type="dxa"/>
            <w:vAlign w:val="bottom"/>
          </w:tcPr>
          <w:p>
            <w:pPr>
              <w:spacing w:after="0"/>
              <w:rPr>
                <w:sz w:val="24"/>
                <w:szCs w:val="24"/>
                <w:color w:val="auto"/>
              </w:rPr>
            </w:pPr>
          </w:p>
        </w:tc>
        <w:tc>
          <w:tcPr>
            <w:tcW w:w="6380" w:type="dxa"/>
            <w:vAlign w:val="bottom"/>
          </w:tcPr>
          <w:p>
            <w:pPr>
              <w:ind w:left="2420"/>
              <w:spacing w:after="0"/>
              <w:rPr>
                <w:sz w:val="20"/>
                <w:szCs w:val="20"/>
                <w:color w:val="auto"/>
              </w:rPr>
            </w:pPr>
            <w:r>
              <w:rPr>
                <w:rFonts w:ascii="Arial" w:cs="Arial" w:eastAsia="Arial" w:hAnsi="Arial"/>
                <w:sz w:val="24"/>
                <w:szCs w:val="24"/>
                <w:b w:val="1"/>
                <w:bCs w:val="1"/>
                <w:color w:val="auto"/>
              </w:rPr>
              <w:t>The Williams Capital Group, L.P.</w:t>
            </w:r>
          </w:p>
        </w:tc>
        <w:tc>
          <w:tcPr>
            <w:tcW w:w="2980" w:type="dxa"/>
            <w:vAlign w:val="bottom"/>
            <w:vMerge w:val="restart"/>
          </w:tcPr>
          <w:p>
            <w:pPr>
              <w:jc w:val="right"/>
              <w:spacing w:after="0"/>
              <w:rPr>
                <w:sz w:val="20"/>
                <w:szCs w:val="20"/>
                <w:color w:val="auto"/>
              </w:rPr>
            </w:pPr>
            <w:r>
              <w:rPr>
                <w:rFonts w:ascii="Arial" w:cs="Arial" w:eastAsia="Arial" w:hAnsi="Arial"/>
                <w:sz w:val="24"/>
                <w:szCs w:val="24"/>
                <w:b w:val="1"/>
                <w:bCs w:val="1"/>
                <w:color w:val="auto"/>
              </w:rPr>
              <w:t>US Bancorp</w:t>
            </w:r>
          </w:p>
        </w:tc>
        <w:tc>
          <w:tcPr>
            <w:tcW w:w="0" w:type="dxa"/>
            <w:vAlign w:val="bottom"/>
          </w:tcPr>
          <w:p>
            <w:pPr>
              <w:spacing w:after="0"/>
              <w:rPr>
                <w:sz w:val="1"/>
                <w:szCs w:val="1"/>
                <w:color w:val="auto"/>
              </w:rPr>
            </w:pPr>
          </w:p>
        </w:tc>
      </w:tr>
      <w:tr>
        <w:trPr>
          <w:trHeight w:val="284"/>
        </w:trPr>
        <w:tc>
          <w:tcPr>
            <w:tcW w:w="20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60" w:type="dxa"/>
            <w:vAlign w:val="bottom"/>
            <w:vMerge w:val="restart"/>
          </w:tcPr>
          <w:p>
            <w:pPr>
              <w:spacing w:after="0"/>
              <w:rPr>
                <w:sz w:val="20"/>
                <w:szCs w:val="20"/>
                <w:color w:val="auto"/>
              </w:rPr>
            </w:pPr>
            <w:r>
              <w:rPr>
                <w:rFonts w:ascii="Arial" w:cs="Arial" w:eastAsia="Arial" w:hAnsi="Arial"/>
                <w:sz w:val="22"/>
                <w:szCs w:val="22"/>
                <w:b w:val="1"/>
                <w:bCs w:val="1"/>
                <w:color w:val="auto"/>
              </w:rPr>
              <w:t>Barclays</w:t>
            </w:r>
          </w:p>
        </w:tc>
        <w:tc>
          <w:tcPr>
            <w:tcW w:w="6380" w:type="dxa"/>
            <w:vAlign w:val="bottom"/>
          </w:tcPr>
          <w:p>
            <w:pPr>
              <w:jc w:val="center"/>
              <w:ind w:left="804"/>
              <w:spacing w:after="0"/>
              <w:rPr>
                <w:sz w:val="20"/>
                <w:szCs w:val="20"/>
                <w:color w:val="auto"/>
              </w:rPr>
            </w:pPr>
            <w:r>
              <w:rPr>
                <w:rFonts w:ascii="Arial" w:cs="Arial" w:eastAsia="Arial" w:hAnsi="Arial"/>
                <w:sz w:val="18"/>
                <w:szCs w:val="18"/>
                <w:i w:val="1"/>
                <w:iCs w:val="1"/>
                <w:color w:val="auto"/>
                <w:w w:val="89"/>
              </w:rPr>
              <w:t>Co-Managers</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60" w:type="dxa"/>
            <w:vAlign w:val="bottom"/>
            <w:vMerge w:val="continue"/>
          </w:tcPr>
          <w:p>
            <w:pPr>
              <w:spacing w:after="0"/>
              <w:rPr>
                <w:sz w:val="22"/>
                <w:szCs w:val="22"/>
                <w:color w:val="auto"/>
              </w:rPr>
            </w:pPr>
          </w:p>
        </w:tc>
        <w:tc>
          <w:tcPr>
            <w:tcW w:w="6380" w:type="dxa"/>
            <w:vAlign w:val="bottom"/>
            <w:vMerge w:val="restart"/>
          </w:tcPr>
          <w:p>
            <w:pPr>
              <w:ind w:left="660"/>
              <w:spacing w:after="0"/>
              <w:rPr>
                <w:sz w:val="20"/>
                <w:szCs w:val="20"/>
                <w:color w:val="auto"/>
              </w:rPr>
            </w:pPr>
            <w:r>
              <w:rPr>
                <w:rFonts w:ascii="Arial" w:cs="Arial" w:eastAsia="Arial" w:hAnsi="Arial"/>
                <w:sz w:val="22"/>
                <w:szCs w:val="22"/>
                <w:b w:val="1"/>
                <w:bCs w:val="1"/>
                <w:color w:val="auto"/>
              </w:rPr>
              <w:t>Goldman, Sachs &amp; Co.</w:t>
            </w:r>
          </w:p>
        </w:tc>
        <w:tc>
          <w:tcPr>
            <w:tcW w:w="2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060" w:type="dxa"/>
            <w:vAlign w:val="bottom"/>
          </w:tcPr>
          <w:p>
            <w:pPr>
              <w:spacing w:after="0"/>
              <w:rPr>
                <w:sz w:val="17"/>
                <w:szCs w:val="17"/>
                <w:color w:val="auto"/>
              </w:rPr>
            </w:pPr>
          </w:p>
        </w:tc>
        <w:tc>
          <w:tcPr>
            <w:tcW w:w="6380" w:type="dxa"/>
            <w:vAlign w:val="bottom"/>
            <w:vMerge w:val="continue"/>
          </w:tcPr>
          <w:p>
            <w:pPr>
              <w:spacing w:after="0"/>
              <w:rPr>
                <w:sz w:val="17"/>
                <w:szCs w:val="17"/>
                <w:color w:val="auto"/>
              </w:rPr>
            </w:pP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060" w:type="dxa"/>
            <w:vAlign w:val="bottom"/>
          </w:tcPr>
          <w:p>
            <w:pPr>
              <w:spacing w:after="0"/>
              <w:rPr>
                <w:sz w:val="24"/>
                <w:szCs w:val="24"/>
                <w:color w:val="auto"/>
              </w:rPr>
            </w:pPr>
          </w:p>
        </w:tc>
        <w:tc>
          <w:tcPr>
            <w:tcW w:w="6380" w:type="dxa"/>
            <w:vAlign w:val="bottom"/>
          </w:tcPr>
          <w:p>
            <w:pPr>
              <w:ind w:left="4540"/>
              <w:spacing w:after="0"/>
              <w:rPr>
                <w:sz w:val="20"/>
                <w:szCs w:val="20"/>
                <w:color w:val="auto"/>
              </w:rPr>
            </w:pPr>
            <w:r>
              <w:rPr>
                <w:rFonts w:ascii="Arial" w:cs="Arial" w:eastAsia="Arial" w:hAnsi="Arial"/>
                <w:sz w:val="22"/>
                <w:szCs w:val="22"/>
                <w:b w:val="1"/>
                <w:bCs w:val="1"/>
                <w:color w:val="auto"/>
              </w:rPr>
              <w:t>HSBC</w:t>
            </w:r>
          </w:p>
        </w:tc>
        <w:tc>
          <w:tcPr>
            <w:tcW w:w="29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PNC Capital Markets LLC</w:t>
            </w: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2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206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2060" w:type="dxa"/>
            <w:vAlign w:val="bottom"/>
            <w:tcBorders>
              <w:bottom w:val="single" w:sz="8" w:color="auto"/>
            </w:tcBorders>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2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1)"/>
      <w:numFmt w:val="lowerRoman"/>
      <w:start w:val="1"/>
    </w:lvl>
  </w:abstractNum>
  <w:abstractNum w:abstractNumId="8">
    <w:nsid w:val="B03E0C6"/>
    <w:multiLevelType w:val="hybridMultilevel"/>
    <w:lvl w:ilvl="0">
      <w:lvlJc w:val="left"/>
      <w:lvlText w:val="•"/>
      <w:numFmt w:val="bullet"/>
      <w:start w:val="1"/>
    </w:lvl>
    <w:lvl w:ilvl="1">
      <w:lvlJc w:val="left"/>
      <w:lvlText w:val="•"/>
      <w:numFmt w:val="bullet"/>
      <w:start w:val="1"/>
    </w:lvl>
  </w:abstractNum>
  <w:abstractNum w:abstractNumId="9">
    <w:nsid w:val="189A769B"/>
    <w:multiLevelType w:val="hybridMultilevel"/>
    <w:lvl w:ilvl="0">
      <w:lvlJc w:val="left"/>
      <w:lvlText w:val="•"/>
      <w:numFmt w:val="bullet"/>
      <w:start w:val="1"/>
    </w:lvl>
    <w:lvl w:ilvl="1">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ldblquote"/>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1)"/>
      <w:numFmt w:val="lowerRoman"/>
      <w:start w:val="3"/>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lowerLetter"/>
      <w:start w:val="1"/>
    </w:lvl>
  </w:abstractNum>
  <w:abstractNum w:abstractNumId="24">
    <w:nsid w:val="614FD4A1"/>
    <w:multiLevelType w:val="hybridMultilevel"/>
    <w:lvl w:ilvl="0">
      <w:lvlJc w:val="left"/>
      <w:lvlText w:val="(%1)"/>
      <w:numFmt w:val="lowerLetter"/>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lvl w:ilvl="1">
      <w:lvlJc w:val="left"/>
      <w:lvlText w:val="•"/>
      <w:numFmt w:val="bullet"/>
      <w:start w:val="1"/>
    </w:lvl>
  </w:abstractNum>
  <w:abstractNum w:abstractNumId="32">
    <w:nsid w:val="5C482A97"/>
    <w:multiLevelType w:val="hybridMultilevel"/>
    <w:lvl w:ilvl="0">
      <w:lvlJc w:val="left"/>
      <w:lvlText w:val="•"/>
      <w:numFmt w:val="bullet"/>
      <w:start w:val="1"/>
    </w:lvl>
    <w:lvl w:ilvl="1">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lvl w:ilvl="1">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2019-12-05T15:21:06Z</dcterms:created>
  <dcterms:modified xsi:type="dcterms:W3CDTF">2019-12-05T15:21:06Z</dcterms:modified>
</cp:coreProperties>
</file>