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760" w:type="dxa"/>
            <w:vAlign w:val="bottom"/>
          </w:tcPr>
          <w:p>
            <w:pPr>
              <w:jc w:val="center"/>
              <w:ind w:right="22"/>
              <w:spacing w:after="0"/>
              <w:rPr>
                <w:sz w:val="20"/>
                <w:szCs w:val="20"/>
                <w:color w:val="auto"/>
              </w:rPr>
            </w:pPr>
            <w:r>
              <w:rPr>
                <w:rFonts w:ascii="Arial" w:cs="Arial" w:eastAsia="Arial" w:hAnsi="Arial"/>
                <w:sz w:val="18"/>
                <w:szCs w:val="18"/>
                <w:b w:val="1"/>
                <w:bCs w:val="1"/>
                <w:color w:val="auto"/>
                <w:w w:val="98"/>
              </w:rPr>
              <w:t>DELAWARE</w:t>
            </w:r>
          </w:p>
        </w:tc>
        <w:tc>
          <w:tcPr>
            <w:tcW w:w="5600" w:type="dxa"/>
            <w:vAlign w:val="bottom"/>
          </w:tcPr>
          <w:p>
            <w:pPr>
              <w:ind w:left="2400"/>
              <w:spacing w:after="0"/>
              <w:rPr>
                <w:sz w:val="20"/>
                <w:szCs w:val="20"/>
                <w:color w:val="auto"/>
              </w:rPr>
            </w:pPr>
            <w:r>
              <w:rPr>
                <w:rFonts w:ascii="Arial" w:cs="Arial" w:eastAsia="Arial" w:hAnsi="Arial"/>
                <w:sz w:val="18"/>
                <w:szCs w:val="18"/>
                <w:b w:val="1"/>
                <w:bCs w:val="1"/>
                <w:color w:val="auto"/>
              </w:rPr>
              <w:t>001-03761</w:t>
            </w:r>
          </w:p>
        </w:tc>
        <w:tc>
          <w:tcPr>
            <w:tcW w:w="140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17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600" w:type="dxa"/>
            <w:vAlign w:val="bottom"/>
          </w:tcPr>
          <w:p>
            <w:pPr>
              <w:ind w:left="2380"/>
              <w:spacing w:after="0" w:line="149" w:lineRule="exact"/>
              <w:rPr>
                <w:sz w:val="20"/>
                <w:szCs w:val="20"/>
                <w:color w:val="auto"/>
              </w:rPr>
            </w:pPr>
            <w:r>
              <w:rPr>
                <w:rFonts w:ascii="Arial" w:cs="Arial" w:eastAsia="Arial" w:hAnsi="Arial"/>
                <w:sz w:val="14"/>
                <w:szCs w:val="14"/>
                <w:b w:val="1"/>
                <w:bCs w:val="1"/>
                <w:color w:val="auto"/>
              </w:rPr>
              <w:t>(Commission</w:t>
            </w:r>
          </w:p>
        </w:tc>
        <w:tc>
          <w:tcPr>
            <w:tcW w:w="1400" w:type="dxa"/>
            <w:vAlign w:val="bottom"/>
          </w:tcPr>
          <w:p>
            <w:pPr>
              <w:jc w:val="center"/>
              <w:ind w:left="24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7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of incorporation)</w:t>
            </w:r>
          </w:p>
        </w:tc>
        <w:tc>
          <w:tcPr>
            <w:tcW w:w="5600" w:type="dxa"/>
            <w:vAlign w:val="bottom"/>
          </w:tcPr>
          <w:p>
            <w:pPr>
              <w:ind w:left="2400"/>
              <w:spacing w:after="0"/>
              <w:rPr>
                <w:sz w:val="20"/>
                <w:szCs w:val="20"/>
                <w:color w:val="auto"/>
              </w:rPr>
            </w:pPr>
            <w:r>
              <w:rPr>
                <w:rFonts w:ascii="Arial" w:cs="Arial" w:eastAsia="Arial" w:hAnsi="Arial"/>
                <w:sz w:val="14"/>
                <w:szCs w:val="14"/>
                <w:b w:val="1"/>
                <w:bCs w:val="1"/>
                <w:color w:val="auto"/>
              </w:rPr>
              <w:t>file number)</w:t>
            </w:r>
          </w:p>
        </w:tc>
        <w:tc>
          <w:tcPr>
            <w:tcW w:w="1400" w:type="dxa"/>
            <w:vAlign w:val="bottom"/>
          </w:tcPr>
          <w:p>
            <w:pPr>
              <w:jc w:val="center"/>
              <w:ind w:left="24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97"/>
              </w:rPr>
              <w:t>12500 TI BOULEVARD</w:t>
            </w:r>
          </w:p>
        </w:tc>
        <w:tc>
          <w:tcPr>
            <w:tcW w:w="1400" w:type="dxa"/>
            <w:vAlign w:val="bottom"/>
          </w:tcPr>
          <w:p>
            <w:pPr>
              <w:spacing w:after="0"/>
              <w:rPr>
                <w:sz w:val="24"/>
                <w:szCs w:val="24"/>
                <w:color w:val="auto"/>
              </w:rPr>
            </w:pPr>
          </w:p>
        </w:tc>
      </w:tr>
      <w:tr>
        <w:trPr>
          <w:trHeight w:val="212"/>
        </w:trPr>
        <w:tc>
          <w:tcPr>
            <w:tcW w:w="1760" w:type="dxa"/>
            <w:vAlign w:val="bottom"/>
          </w:tcPr>
          <w:p>
            <w:pPr>
              <w:spacing w:after="0"/>
              <w:rPr>
                <w:sz w:val="18"/>
                <w:szCs w:val="18"/>
                <w:color w:val="auto"/>
              </w:rPr>
            </w:pPr>
          </w:p>
        </w:tc>
        <w:tc>
          <w:tcPr>
            <w:tcW w:w="5600" w:type="dxa"/>
            <w:vAlign w:val="bottom"/>
          </w:tcPr>
          <w:p>
            <w:pPr>
              <w:jc w:val="center"/>
              <w:ind w:right="78"/>
              <w:spacing w:after="0"/>
              <w:rPr>
                <w:sz w:val="20"/>
                <w:szCs w:val="20"/>
                <w:color w:val="auto"/>
              </w:rPr>
            </w:pPr>
            <w:r>
              <w:rPr>
                <w:rFonts w:ascii="Arial" w:cs="Arial" w:eastAsia="Arial" w:hAnsi="Arial"/>
                <w:sz w:val="18"/>
                <w:szCs w:val="18"/>
                <w:b w:val="1"/>
                <w:bCs w:val="1"/>
                <w:color w:val="auto"/>
                <w:w w:val="96"/>
              </w:rPr>
              <w:t>DALLAS, TEXAS 75243</w:t>
            </w:r>
          </w:p>
        </w:tc>
        <w:tc>
          <w:tcPr>
            <w:tcW w:w="1400" w:type="dxa"/>
            <w:vAlign w:val="bottom"/>
          </w:tcPr>
          <w:p>
            <w:pPr>
              <w:spacing w:after="0"/>
              <w:rPr>
                <w:sz w:val="18"/>
                <w:szCs w:val="18"/>
                <w:color w:val="auto"/>
              </w:rPr>
            </w:pPr>
          </w:p>
        </w:tc>
      </w:tr>
      <w:tr>
        <w:trPr>
          <w:trHeight w:val="186"/>
        </w:trPr>
        <w:tc>
          <w:tcPr>
            <w:tcW w:w="1760" w:type="dxa"/>
            <w:vAlign w:val="bottom"/>
          </w:tcPr>
          <w:p>
            <w:pPr>
              <w:spacing w:after="0"/>
              <w:rPr>
                <w:sz w:val="16"/>
                <w:szCs w:val="16"/>
                <w:color w:val="auto"/>
              </w:rPr>
            </w:pPr>
          </w:p>
        </w:tc>
        <w:tc>
          <w:tcPr>
            <w:tcW w:w="5600" w:type="dxa"/>
            <w:vAlign w:val="bottom"/>
          </w:tcPr>
          <w:p>
            <w:pPr>
              <w:jc w:val="center"/>
              <w:ind w:right="9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00" w:type="dxa"/>
            <w:vAlign w:val="bottom"/>
          </w:tcPr>
          <w:p>
            <w:pPr>
              <w:spacing w:after="0"/>
              <w:rPr>
                <w:sz w:val="16"/>
                <w:szCs w:val="16"/>
                <w:color w:val="auto"/>
              </w:rPr>
            </w:pPr>
          </w:p>
        </w:tc>
      </w:tr>
      <w:tr>
        <w:trPr>
          <w:trHeight w:val="417"/>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Arial" w:cs="Arial" w:eastAsia="Arial" w:hAnsi="Arial"/>
                <w:sz w:val="18"/>
                <w:szCs w:val="18"/>
                <w:b w:val="1"/>
                <w:bCs w:val="1"/>
                <w:color w:val="auto"/>
                <w:w w:val="89"/>
              </w:rPr>
              <w:t>Registrant’s telephone number, including area code: (214) 479-3773</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2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$750,000,000 of Notes</w:t>
      </w:r>
    </w:p>
    <w:p>
      <w:pPr>
        <w:spacing w:after="0" w:line="11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On September 4, 2019, Texas Instruments Incorporated (“Texas Instruments”) consummated the issuance and sale of $750,000,000 aggregate principal amount of its 2.250% Notes due 2029 (the “Notes”), pursuant to an underwriting agreement filed herewith as Exhibit 1.1 dated August 26, 2019 among Texas Instruments and Barclays Capital Inc., BofA Securities, Inc. and J.P. Morgan Securities LLC,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Notes were offered pursuant to Texas Instruments’ Registration Statement on Form S-3 filed on February 22, 2019 (Reg. No. 333-229797), including the prospectus contained therein (the “Registration Statement”), and a related preliminary prospectus supplement dated August 26, 2019 and a prospectus supplement dated August 26, 2019.</w:t>
      </w:r>
    </w:p>
    <w:p>
      <w:pPr>
        <w:spacing w:after="0" w:line="181" w:lineRule="exact"/>
        <w:rPr>
          <w:sz w:val="20"/>
          <w:szCs w:val="20"/>
          <w:color w:val="auto"/>
        </w:rPr>
      </w:pPr>
    </w:p>
    <w:p>
      <w:pPr>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The material terms and conditions of the Notes are set forth in the Indenture filed as </w:t>
      </w:r>
      <w:hyperlink r:id="rId17">
        <w:r>
          <w:rPr>
            <w:rFonts w:ascii="Arial" w:cs="Arial" w:eastAsia="Arial" w:hAnsi="Arial"/>
            <w:sz w:val="17"/>
            <w:szCs w:val="17"/>
            <w:u w:val="single" w:color="auto"/>
            <w:color w:val="0000EE"/>
          </w:rPr>
          <w:t>Exhibit 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Current Report of Texas Instruments on Form 8-K dated May 23, 2011 and the Officers’ Certificate filed herewith as Exhibit 4.1 and incorporated by reference 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160" w:type="dxa"/>
            <w:vAlign w:val="bottom"/>
            <w:gridSpan w:val="7"/>
          </w:tcPr>
          <w:p>
            <w:pPr>
              <w:ind w:left="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46"/>
        </w:trPr>
        <w:tc>
          <w:tcPr>
            <w:tcW w:w="1040" w:type="dxa"/>
            <w:vAlign w:val="bottom"/>
            <w:gridSpan w:val="3"/>
          </w:tcPr>
          <w:p>
            <w:pPr>
              <w:spacing w:after="0"/>
              <w:rPr>
                <w:sz w:val="20"/>
                <w:szCs w:val="20"/>
                <w:color w:val="auto"/>
              </w:rPr>
            </w:pPr>
            <w:r>
              <w:rPr>
                <w:rFonts w:ascii="Arial" w:cs="Arial" w:eastAsia="Arial" w:hAnsi="Arial"/>
                <w:sz w:val="14"/>
                <w:szCs w:val="14"/>
                <w:color w:val="auto"/>
              </w:rPr>
              <w:t>Exhibit</w:t>
            </w:r>
          </w:p>
        </w:tc>
        <w:tc>
          <w:tcPr>
            <w:tcW w:w="2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7"/>
        </w:trPr>
        <w:tc>
          <w:tcPr>
            <w:tcW w:w="20" w:type="dxa"/>
            <w:vAlign w:val="bottom"/>
          </w:tcPr>
          <w:p>
            <w:pPr>
              <w:spacing w:after="0"/>
              <w:rPr>
                <w:sz w:val="14"/>
                <w:szCs w:val="14"/>
                <w:color w:val="auto"/>
              </w:rPr>
            </w:pP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No.</w:t>
            </w:r>
          </w:p>
        </w:tc>
        <w:tc>
          <w:tcPr>
            <w:tcW w:w="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4"/>
              </w:rPr>
              <w:t>Description</w:t>
            </w:r>
          </w:p>
        </w:tc>
        <w:tc>
          <w:tcPr>
            <w:tcW w:w="3820" w:type="dxa"/>
            <w:vAlign w:val="bottom"/>
            <w:gridSpan w:val="2"/>
          </w:tcPr>
          <w:p>
            <w:pPr>
              <w:spacing w:after="0"/>
              <w:rPr>
                <w:sz w:val="14"/>
                <w:szCs w:val="14"/>
                <w:color w:val="auto"/>
              </w:rPr>
            </w:pPr>
          </w:p>
        </w:tc>
      </w:tr>
      <w:tr>
        <w:trPr>
          <w:trHeight w:val="277"/>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4"/>
                <w:szCs w:val="24"/>
                <w:color w:val="auto"/>
              </w:rPr>
            </w:pPr>
          </w:p>
        </w:tc>
        <w:tc>
          <w:tcPr>
            <w:tcW w:w="91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Underwriting Agreement dated August 26, 2019 among Texas Instruments and Barclays Capital Inc., BofA Securities, Inc. and</w:t>
              </w:r>
            </w:hyperlink>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J.P. Morgan Securities LLC, as representatives of the several underwriters named in Schedule II therein</w:t>
              </w:r>
            </w:hyperlink>
          </w:p>
        </w:tc>
        <w:tc>
          <w:tcPr>
            <w:tcW w:w="1700" w:type="dxa"/>
            <w:vAlign w:val="bottom"/>
          </w:tcPr>
          <w:p>
            <w:pPr>
              <w:spacing w:after="0"/>
              <w:rPr>
                <w:sz w:val="17"/>
                <w:szCs w:val="17"/>
                <w:color w:val="auto"/>
              </w:rPr>
            </w:pPr>
          </w:p>
        </w:tc>
      </w:tr>
      <w:tr>
        <w:trPr>
          <w:trHeight w:val="304"/>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4"/>
                <w:szCs w:val="24"/>
                <w:color w:val="auto"/>
              </w:rPr>
            </w:pPr>
          </w:p>
        </w:tc>
        <w:tc>
          <w:tcPr>
            <w:tcW w:w="916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Officers’ Certificate setting forth the terms of the Notes</w:t>
              </w:r>
            </w:hyperlink>
          </w:p>
        </w:tc>
      </w:tr>
      <w:tr>
        <w:trPr>
          <w:trHeight w:val="304"/>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4"/>
                <w:szCs w:val="24"/>
                <w:color w:val="auto"/>
              </w:rPr>
            </w:pPr>
          </w:p>
        </w:tc>
        <w:tc>
          <w:tcPr>
            <w:tcW w:w="2920" w:type="dxa"/>
            <w:vAlign w:val="bottom"/>
            <w:tcBorders>
              <w:top w:val="single" w:sz="8" w:color="0000EE"/>
              <w:bottom w:val="single" w:sz="8" w:color="0000EE"/>
            </w:tcBorders>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Opinion of Davis Polk &amp; Wardwell LLP</w:t>
              </w:r>
            </w:hyperlink>
          </w:p>
        </w:tc>
        <w:tc>
          <w:tcPr>
            <w:tcW w:w="1080" w:type="dxa"/>
            <w:vAlign w:val="bottom"/>
            <w:tcBorders>
              <w:top w:val="single" w:sz="8" w:color="0000EE"/>
            </w:tcBorders>
          </w:tcPr>
          <w:p>
            <w:pPr>
              <w:spacing w:after="0"/>
              <w:rPr>
                <w:sz w:val="24"/>
                <w:szCs w:val="24"/>
                <w:color w:val="auto"/>
              </w:rPr>
            </w:pPr>
          </w:p>
        </w:tc>
        <w:tc>
          <w:tcPr>
            <w:tcW w:w="5160" w:type="dxa"/>
            <w:vAlign w:val="bottom"/>
            <w:gridSpan w:val="5"/>
          </w:tcPr>
          <w:p>
            <w:pPr>
              <w:spacing w:after="0"/>
              <w:rPr>
                <w:sz w:val="24"/>
                <w:szCs w:val="24"/>
                <w:color w:val="auto"/>
              </w:rPr>
            </w:pPr>
          </w:p>
        </w:tc>
      </w:tr>
      <w:tr>
        <w:trPr>
          <w:trHeight w:val="304"/>
        </w:trPr>
        <w:tc>
          <w:tcPr>
            <w:tcW w:w="42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620" w:type="dxa"/>
            <w:vAlign w:val="bottom"/>
          </w:tcPr>
          <w:p>
            <w:pPr>
              <w:spacing w:after="0"/>
              <w:rPr>
                <w:sz w:val="24"/>
                <w:szCs w:val="24"/>
                <w:color w:val="auto"/>
              </w:rPr>
            </w:pPr>
          </w:p>
        </w:tc>
        <w:tc>
          <w:tcPr>
            <w:tcW w:w="48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Consent of Davis Polk &amp; Wardwell LLP (contained in Exhibit 5.1)</w:t>
              </w:r>
            </w:hyperlink>
          </w:p>
        </w:tc>
        <w:tc>
          <w:tcPr>
            <w:tcW w:w="4340" w:type="dxa"/>
            <w:vAlign w:val="bottom"/>
            <w:gridSpan w:val="3"/>
          </w:tcPr>
          <w:p>
            <w:pPr>
              <w:spacing w:after="0"/>
              <w:rPr>
                <w:sz w:val="24"/>
                <w:szCs w:val="24"/>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r>
    </w:p>
    <w:p>
      <w:pPr>
        <w:ind w:left="5460" w:right="3380" w:hanging="5402"/>
        <w:spacing w:after="0" w:line="481" w:lineRule="auto"/>
        <w:tabs>
          <w:tab w:leader="none" w:pos="103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ectPr>
          <w:pgSz w:w="11900" w:h="16838" w:orient="portrait"/>
          <w:cols w:equalWidth="0" w:num="1">
            <w:col w:w="10200"/>
          </w:cols>
          <w:pgMar w:left="440" w:top="297" w:right="125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September 4, 2019</w:t>
      </w:r>
      <w:r>
        <w:rPr>
          <w:sz w:val="20"/>
          <w:szCs w:val="20"/>
          <w:color w:val="auto"/>
        </w:rPr>
        <w:tab/>
      </w:r>
      <w:r>
        <w:rPr>
          <w:rFonts w:ascii="Arial" w:cs="Arial" w:eastAsia="Arial" w:hAnsi="Arial"/>
          <w:sz w:val="17"/>
          <w:szCs w:val="17"/>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340"/>
          </w:cols>
          <w:pgMar w:left="440" w:top="301" w:right="11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August 26,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$750,000,000 principal amount of the 2.250% Notes due 2029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an Indenture dated as of May 23, 2011, between the Company and U.S. Bank National Association, as trustee.</w:t>
      </w:r>
    </w:p>
    <w:p>
      <w:pPr>
        <w:spacing w:after="0" w:line="184" w:lineRule="exact"/>
        <w:rPr>
          <w:sz w:val="20"/>
          <w:szCs w:val="20"/>
          <w:color w:val="auto"/>
        </w:rPr>
      </w:pPr>
    </w:p>
    <w:p>
      <w:pPr>
        <w:jc w:val="both"/>
        <w:ind w:right="80" w:firstLine="441"/>
        <w:spacing w:after="0" w:line="312"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1:55 P.M. (New York time) on the date hereof.</w:t>
      </w:r>
    </w:p>
    <w:p>
      <w:pPr>
        <w:spacing w:after="0" w:line="147"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September 4, 2019, or at such other time, not later than September 10, 2019, as shall be designated by the Manager.</w:t>
      </w:r>
    </w:p>
    <w:p>
      <w:pPr>
        <w:spacing w:after="0" w:line="188"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All the provisions contained in the document entitled Texas Instruments Incorporated Underwriting Agreement Standard Provisions dated February 22, 2019 (the “</w:t>
      </w:r>
      <w:r>
        <w:rPr>
          <w:rFonts w:ascii="Arial" w:cs="Arial" w:eastAsia="Arial" w:hAnsi="Arial"/>
          <w:sz w:val="17"/>
          <w:szCs w:val="17"/>
          <w:b w:val="1"/>
          <w:bCs w:val="1"/>
          <w:color w:val="auto"/>
        </w:rPr>
        <w:t>Standard Provisions</w:t>
      </w:r>
      <w:r>
        <w:rPr>
          <w:rFonts w:ascii="Arial" w:cs="Arial" w:eastAsia="Arial" w:hAnsi="Arial"/>
          <w:sz w:val="17"/>
          <w:szCs w:val="17"/>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w:t>
      </w:r>
    </w:p>
    <w:p>
      <w:pPr>
        <w:sectPr>
          <w:pgSz w:w="11900" w:h="16838" w:orient="portrait"/>
          <w:cols w:equalWidth="0" w:num="1">
            <w:col w:w="11020"/>
          </w:cols>
          <w:pgMar w:left="440" w:top="121" w:right="43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Barclays Capital Inc., BofA Securities, Inc. and J.P. Morgan Securities LLC,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6" w:name="page7"/>
    <w:bookmarkEnd w:id="6"/>
    <w:p>
      <w:pPr>
        <w:ind w:right="22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On behalf of themselves and the several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Underwriters listed in Schedule II hereto</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Barclays Capital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Pete Contrucci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E. Pete Contrucci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BofA Securities,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Sandeep Chawla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Sandeep Chawla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Sheiner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Stephen L. Sheiner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Executive Director</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1040"/>
          </w:cols>
          <w:pgMar w:left="440" w:top="27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Alan C. Boyd</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jc w:val="center"/>
              <w:ind w:right="4640"/>
              <w:spacing w:after="0"/>
              <w:rPr>
                <w:sz w:val="20"/>
                <w:szCs w:val="20"/>
                <w:color w:val="auto"/>
              </w:rPr>
            </w:pPr>
            <w:r>
              <w:rPr>
                <w:rFonts w:ascii="Arial" w:cs="Arial" w:eastAsia="Arial" w:hAnsi="Arial"/>
                <w:sz w:val="18"/>
                <w:szCs w:val="18"/>
                <w:b w:val="1"/>
                <w:bCs w:val="1"/>
                <w:color w:val="auto"/>
              </w:rPr>
              <w:t>SCHEDULE I</w:t>
            </w:r>
          </w:p>
        </w:tc>
      </w:tr>
      <w:tr>
        <w:trPr>
          <w:trHeight w:val="234"/>
        </w:trPr>
        <w:tc>
          <w:tcPr>
            <w:tcW w:w="3240" w:type="dxa"/>
            <w:vAlign w:val="bottom"/>
          </w:tcPr>
          <w:p>
            <w:pPr>
              <w:spacing w:after="0"/>
              <w:rPr>
                <w:sz w:val="20"/>
                <w:szCs w:val="20"/>
                <w:color w:val="auto"/>
              </w:rPr>
            </w:pPr>
          </w:p>
        </w:tc>
        <w:tc>
          <w:tcPr>
            <w:tcW w:w="778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TO UNDERWRITING AGREEMENT</w:t>
            </w:r>
          </w:p>
        </w:tc>
      </w:tr>
      <w:tr>
        <w:trPr>
          <w:trHeight w:val="432"/>
        </w:trPr>
        <w:tc>
          <w:tcPr>
            <w:tcW w:w="3240" w:type="dxa"/>
            <w:vAlign w:val="bottom"/>
          </w:tcPr>
          <w:p>
            <w:pPr>
              <w:spacing w:after="0"/>
              <w:rPr>
                <w:sz w:val="24"/>
                <w:szCs w:val="24"/>
                <w:color w:val="auto"/>
              </w:rPr>
            </w:pPr>
          </w:p>
        </w:tc>
        <w:tc>
          <w:tcPr>
            <w:tcW w:w="778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TEXAS INSTRUMENTS INCORPORATED</w:t>
            </w:r>
          </w:p>
        </w:tc>
      </w:tr>
      <w:tr>
        <w:trPr>
          <w:trHeight w:val="43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620"/>
              <w:spacing w:after="0"/>
              <w:rPr>
                <w:sz w:val="20"/>
                <w:szCs w:val="20"/>
                <w:color w:val="auto"/>
              </w:rPr>
            </w:pPr>
            <w:r>
              <w:rPr>
                <w:rFonts w:ascii="Arial" w:cs="Arial" w:eastAsia="Arial" w:hAnsi="Arial"/>
                <w:sz w:val="18"/>
                <w:szCs w:val="18"/>
                <w:b w:val="1"/>
                <w:bCs w:val="1"/>
                <w:color w:val="auto"/>
                <w:w w:val="90"/>
              </w:rPr>
              <w:t>Pricing Term Sheet</w:t>
            </w:r>
          </w:p>
        </w:tc>
      </w:tr>
      <w:tr>
        <w:trPr>
          <w:trHeight w:val="392"/>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w:t>
            </w:r>
            <w:r>
              <w:rPr>
                <w:rFonts w:ascii="Arial" w:cs="Arial" w:eastAsia="Arial" w:hAnsi="Arial"/>
                <w:sz w:val="18"/>
                <w:szCs w:val="18"/>
                <w:u w:val="single" w:color="auto"/>
                <w:color w:val="auto"/>
                <w:w w:val="90"/>
              </w:rPr>
              <w:t>250%</w:t>
            </w:r>
            <w:r>
              <w:rPr>
                <w:rFonts w:ascii="Arial" w:cs="Arial" w:eastAsia="Arial" w:hAnsi="Arial"/>
                <w:sz w:val="18"/>
                <w:szCs w:val="18"/>
                <w:color w:val="auto"/>
                <w:w w:val="90"/>
              </w:rPr>
              <w:t xml:space="preserve"> Notes due 2029</w:t>
            </w:r>
          </w:p>
        </w:tc>
        <w:tc>
          <w:tcPr>
            <w:tcW w:w="4640" w:type="dxa"/>
            <w:vAlign w:val="bottom"/>
          </w:tcPr>
          <w:p>
            <w:pPr>
              <w:spacing w:after="0"/>
              <w:rPr>
                <w:sz w:val="24"/>
                <w:szCs w:val="24"/>
                <w:color w:val="auto"/>
              </w:rPr>
            </w:pPr>
          </w:p>
        </w:tc>
      </w:tr>
      <w:tr>
        <w:trPr>
          <w:trHeight w:val="480"/>
        </w:trPr>
        <w:tc>
          <w:tcPr>
            <w:tcW w:w="3240" w:type="dxa"/>
            <w:vAlign w:val="bottom"/>
          </w:tcPr>
          <w:p>
            <w:pPr>
              <w:spacing w:after="0"/>
              <w:rPr>
                <w:sz w:val="20"/>
                <w:szCs w:val="20"/>
                <w:color w:val="auto"/>
              </w:rPr>
            </w:pPr>
            <w:r>
              <w:rPr>
                <w:rFonts w:ascii="Arial" w:cs="Arial" w:eastAsia="Arial" w:hAnsi="Arial"/>
                <w:sz w:val="18"/>
                <w:szCs w:val="18"/>
                <w:color w:val="auto"/>
              </w:rPr>
              <w:t>Issuer:</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Principal Amount:</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$750,000,000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Maturity: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September 4, 2029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Coupon:</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2.250%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Price to Public:</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99.689% of principal amount</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0"/>
              </w:rPr>
              <w:t>March 4 and September 4, beginning on March 4, 2020, and on the maturity date</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Day Count Convention:</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30/360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$744,292,500</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1.625% due August 15, 2029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75 basis points</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Yield to Maturity:</w:t>
            </w:r>
          </w:p>
        </w:tc>
        <w:tc>
          <w:tcPr>
            <w:tcW w:w="3140" w:type="dxa"/>
            <w:vAlign w:val="bottom"/>
            <w:gridSpan w:val="2"/>
          </w:tcPr>
          <w:p>
            <w:pPr>
              <w:ind w:left="1940"/>
              <w:spacing w:after="0"/>
              <w:rPr>
                <w:sz w:val="20"/>
                <w:szCs w:val="20"/>
                <w:color w:val="auto"/>
              </w:rPr>
            </w:pPr>
            <w:r>
              <w:rPr>
                <w:rFonts w:ascii="Arial" w:cs="Arial" w:eastAsia="Arial" w:hAnsi="Arial"/>
                <w:sz w:val="18"/>
                <w:szCs w:val="18"/>
                <w:color w:val="auto"/>
              </w:rPr>
              <w:t>2.285%</w:t>
            </w:r>
          </w:p>
        </w:tc>
        <w:tc>
          <w:tcPr>
            <w:tcW w:w="4640" w:type="dxa"/>
            <w:vAlign w:val="bottom"/>
          </w:tcPr>
          <w:p>
            <w:pPr>
              <w:spacing w:after="0"/>
              <w:rPr>
                <w:sz w:val="24"/>
                <w:szCs w:val="24"/>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gridSpan w:val="3"/>
          </w:tcPr>
          <w:p>
            <w:pPr>
              <w:ind w:left="1940"/>
              <w:spacing w:after="0"/>
              <w:rPr>
                <w:sz w:val="20"/>
                <w:szCs w:val="20"/>
                <w:color w:val="auto"/>
              </w:rPr>
            </w:pPr>
            <w:r>
              <w:rPr>
                <w:rFonts w:ascii="Arial" w:cs="Arial" w:eastAsia="Arial" w:hAnsi="Arial"/>
                <w:sz w:val="18"/>
                <w:szCs w:val="18"/>
                <w:color w:val="auto"/>
              </w:rPr>
              <w:t>100-26+;1.535%</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Make-Whole Call:</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At any time before June 4, 2029 (three months before the maturity date) at the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4"/>
              </w:rPr>
              <w:t>greater of: (i) 100% of the principal amount of the notes being redeemed; and</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(ii) the sum of the present values of the principal amount of such notes and the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9"/>
              </w:rPr>
              <w:t>scheduled payments of interest thereon (not including any portion of such</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7"/>
              </w:rPr>
              <w:t>payments of interest accrued as of the date of redemption) from the date of</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89"/>
              </w:rPr>
              <w:t>redemption to June 4, 2029 (three months before the maturity date), in each case</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8"/>
              </w:rPr>
              <w:t>discounted to the date of redemption on a semi-annual basis at the rate of</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Treasury plus 12.5 basis points</w:t>
            </w:r>
          </w:p>
        </w:tc>
      </w:tr>
      <w:tr>
        <w:trPr>
          <w:trHeight w:val="310"/>
        </w:trPr>
        <w:tc>
          <w:tcPr>
            <w:tcW w:w="3240" w:type="dxa"/>
            <w:vAlign w:val="bottom"/>
          </w:tcPr>
          <w:p>
            <w:pPr>
              <w:spacing w:after="0"/>
              <w:rPr>
                <w:sz w:val="20"/>
                <w:szCs w:val="20"/>
                <w:color w:val="auto"/>
              </w:rPr>
            </w:pPr>
            <w:r>
              <w:rPr>
                <w:rFonts w:ascii="Arial" w:cs="Arial" w:eastAsia="Arial" w:hAnsi="Arial"/>
                <w:sz w:val="18"/>
                <w:szCs w:val="18"/>
                <w:color w:val="auto"/>
              </w:rPr>
              <w:t>Par Call:</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w w:val="93"/>
              </w:rPr>
              <w:t>At any time on or after June 4, 2029 (three months before the maturity date) at</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100% of the principal amount of notes being redeemed</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Trade Date:</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August 26, 2019</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Settlement Date:</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September 4, 2019 (T+6)</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Denominations: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CUSIP/ISIN:</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882508 BG8 / US882508BG82</w:t>
            </w:r>
          </w:p>
        </w:tc>
      </w:tr>
      <w:tr>
        <w:trPr>
          <w:trHeight w:val="324"/>
        </w:trPr>
        <w:tc>
          <w:tcPr>
            <w:tcW w:w="3240" w:type="dxa"/>
            <w:vAlign w:val="bottom"/>
          </w:tcPr>
          <w:p>
            <w:pPr>
              <w:spacing w:after="0"/>
              <w:rPr>
                <w:sz w:val="20"/>
                <w:szCs w:val="20"/>
                <w:color w:val="auto"/>
              </w:rPr>
            </w:pPr>
            <w:r>
              <w:rPr>
                <w:rFonts w:ascii="Arial" w:cs="Arial" w:eastAsia="Arial" w:hAnsi="Arial"/>
                <w:sz w:val="18"/>
                <w:szCs w:val="18"/>
                <w:color w:val="auto"/>
              </w:rPr>
              <w:t>Ratings:*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[Intentionally omitted]</w:t>
            </w:r>
          </w:p>
        </w:tc>
      </w:tr>
      <w:tr>
        <w:trPr>
          <w:trHeight w:val="323"/>
        </w:trPr>
        <w:tc>
          <w:tcPr>
            <w:tcW w:w="32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Barclays Capital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BofA Securities,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J.P. Morgan Securities LLC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Mizuho Securities USA LLC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Morgan Stanley &amp; Co. LLC</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MUFG Securities Americas Inc.</w:t>
            </w:r>
          </w:p>
        </w:tc>
      </w:tr>
      <w:tr>
        <w:trPr>
          <w:trHeight w:val="323"/>
        </w:trPr>
        <w:tc>
          <w:tcPr>
            <w:tcW w:w="3240" w:type="dxa"/>
            <w:vAlign w:val="bottom"/>
          </w:tcPr>
          <w:p>
            <w:pPr>
              <w:spacing w:after="0"/>
              <w:rPr>
                <w:sz w:val="20"/>
                <w:szCs w:val="20"/>
                <w:color w:val="auto"/>
              </w:rPr>
            </w:pPr>
            <w:r>
              <w:rPr>
                <w:rFonts w:ascii="Arial" w:cs="Arial" w:eastAsia="Arial" w:hAnsi="Arial"/>
                <w:sz w:val="18"/>
                <w:szCs w:val="18"/>
                <w:color w:val="auto"/>
              </w:rPr>
              <w:t>Co-Managers:</w:t>
            </w:r>
          </w:p>
        </w:tc>
        <w:tc>
          <w:tcPr>
            <w:tcW w:w="1400" w:type="dxa"/>
            <w:vAlign w:val="bottom"/>
          </w:tcPr>
          <w:p>
            <w:pPr>
              <w:spacing w:after="0"/>
              <w:rPr>
                <w:sz w:val="24"/>
                <w:szCs w:val="24"/>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3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BNP Paribas Securities Corp.</w:t>
            </w:r>
          </w:p>
        </w:tc>
      </w:tr>
      <w:tr>
        <w:trPr>
          <w:trHeight w:val="230"/>
        </w:trPr>
        <w:tc>
          <w:tcPr>
            <w:tcW w:w="3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380" w:type="dxa"/>
            <w:vAlign w:val="bottom"/>
            <w:gridSpan w:val="2"/>
          </w:tcPr>
          <w:p>
            <w:pPr>
              <w:ind w:left="540"/>
              <w:spacing w:after="0"/>
              <w:rPr>
                <w:sz w:val="20"/>
                <w:szCs w:val="20"/>
                <w:color w:val="auto"/>
              </w:rPr>
            </w:pPr>
            <w:r>
              <w:rPr>
                <w:rFonts w:ascii="Arial" w:cs="Arial" w:eastAsia="Arial" w:hAnsi="Arial"/>
                <w:sz w:val="18"/>
                <w:szCs w:val="18"/>
                <w:color w:val="auto"/>
              </w:rPr>
              <w:t>HSBC Securities (USA) Inc.</w:t>
            </w:r>
          </w:p>
        </w:tc>
      </w:tr>
      <w:tr>
        <w:trPr>
          <w:trHeight w:val="378"/>
        </w:trPr>
        <w:tc>
          <w:tcPr>
            <w:tcW w:w="3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380" w:type="dxa"/>
            <w:vAlign w:val="bottom"/>
            <w:gridSpan w:val="2"/>
          </w:tcPr>
          <w:p>
            <w:pPr>
              <w:jc w:val="center"/>
              <w:ind w:right="4640"/>
              <w:spacing w:after="0"/>
              <w:rPr>
                <w:sz w:val="20"/>
                <w:szCs w:val="20"/>
                <w:color w:val="auto"/>
              </w:rPr>
            </w:pPr>
            <w:r>
              <w:rPr>
                <w:rFonts w:ascii="Arial" w:cs="Arial" w:eastAsia="Arial" w:hAnsi="Arial"/>
                <w:sz w:val="18"/>
                <w:szCs w:val="18"/>
                <w:color w:val="auto"/>
              </w:rPr>
              <w:t>I-1</w:t>
            </w:r>
          </w:p>
        </w:tc>
      </w:tr>
    </w:tbl>
    <w:p>
      <w:pPr>
        <w:jc w:val="center"/>
        <w:ind w:right="464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A securities rating is not a recommendation to buy, sell or hold securities and may be subject to revision or withdrawal at any time.</w:t>
      </w:r>
    </w:p>
    <w:p>
      <w:pPr>
        <w:spacing w:after="0" w:line="23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It is expected that delivery of the notes will be made against payment therefore on or about September 4, 2019,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7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Barclays Capital Inc. at (888) 603-5847, BofA Securities, Inc. at (800) 294-1322 and J.P. Morgan Securities LLC at (212) 834-4533.</w:t>
      </w:r>
    </w:p>
    <w:p>
      <w:pPr>
        <w:spacing w:after="0" w:line="189"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0920"/>
          </w:cols>
          <w:pgMar w:left="440" w:top="270" w:right="539" w:bottom="1440" w:gutter="0" w:footer="0" w:header="0"/>
        </w:sectPr>
      </w:pPr>
    </w:p>
    <w:bookmarkStart w:id="10" w:name="page11"/>
    <w:bookmarkEnd w:id="10"/>
    <w:tbl>
      <w:tblPr>
        <w:tblLayout w:type="fixed"/>
        <w:tblInd w:w="7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640" w:type="dxa"/>
            <w:vAlign w:val="bottom"/>
          </w:tcPr>
          <w:p>
            <w:pPr>
              <w:jc w:val="center"/>
              <w:ind w:left="170"/>
              <w:spacing w:after="0"/>
              <w:rPr>
                <w:sz w:val="20"/>
                <w:szCs w:val="20"/>
                <w:color w:val="auto"/>
              </w:rPr>
            </w:pPr>
            <w:r>
              <w:rPr>
                <w:rFonts w:ascii="Arial" w:cs="Arial" w:eastAsia="Arial" w:hAnsi="Arial"/>
                <w:sz w:val="18"/>
                <w:szCs w:val="18"/>
                <w:b w:val="1"/>
                <w:bCs w:val="1"/>
                <w:color w:val="auto"/>
              </w:rPr>
              <w:t>SCHEDULE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640" w:type="dxa"/>
            <w:vAlign w:val="bottom"/>
          </w:tcPr>
          <w:p>
            <w:pPr>
              <w:jc w:val="center"/>
              <w:ind w:left="190"/>
              <w:spacing w:after="0"/>
              <w:rPr>
                <w:sz w:val="20"/>
                <w:szCs w:val="20"/>
                <w:color w:val="auto"/>
              </w:rPr>
            </w:pPr>
            <w:r>
              <w:rPr>
                <w:rFonts w:ascii="Arial" w:cs="Arial" w:eastAsia="Arial" w:hAnsi="Arial"/>
                <w:sz w:val="18"/>
                <w:szCs w:val="18"/>
                <w:b w:val="1"/>
                <w:bCs w:val="1"/>
                <w:color w:val="auto"/>
              </w:rPr>
              <w:t>TO UNDERWRITING AGREEMENT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64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2.250% Notes</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due 2029</w:t>
            </w:r>
          </w:p>
        </w:tc>
        <w:tc>
          <w:tcPr>
            <w:tcW w:w="0" w:type="dxa"/>
            <w:vAlign w:val="bottom"/>
          </w:tcPr>
          <w:p>
            <w:pPr>
              <w:spacing w:after="0"/>
              <w:rPr>
                <w:sz w:val="1"/>
                <w:szCs w:val="1"/>
                <w:color w:val="auto"/>
              </w:rPr>
            </w:pPr>
          </w:p>
        </w:tc>
      </w:tr>
      <w:tr>
        <w:trPr>
          <w:trHeight w:val="203"/>
        </w:trPr>
        <w:tc>
          <w:tcPr>
            <w:tcW w:w="6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Barclays Capital Inc.</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142,500,000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37,500,000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18,750,000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9019"/>
          </w:cols>
          <w:pgMar w:left="1440" w:top="270" w:right="1440" w:bottom="1440" w:gutter="0" w:footer="0" w:header="0"/>
        </w:sectPr>
      </w:pPr>
    </w:p>
    <w:bookmarkStart w:id="11" w:name="page12"/>
    <w:bookmarkEnd w:id="11"/>
    <w:p>
      <w:pPr>
        <w:jc w:val="center"/>
        <w:ind w:right="-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579"/>
          </w:cols>
          <w:pgMar w:left="880" w:top="270" w:right="1440"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40" w:lineRule="exact"/>
        <w:rPr>
          <w:sz w:val="20"/>
          <w:szCs w:val="20"/>
          <w:color w:val="auto"/>
        </w:rPr>
      </w:pPr>
    </w:p>
    <w:p>
      <w:pPr>
        <w:ind w:right="60" w:firstLine="428"/>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third paragraph of text under the caption “Underwriting” in the Prospectus Supplement, concerning the terms offered by the Underwriters;</w:t>
      </w:r>
    </w:p>
    <w:p>
      <w:pPr>
        <w:spacing w:after="0" w:line="62" w:lineRule="exact"/>
        <w:rPr>
          <w:rFonts w:ascii="Arial" w:cs="Arial" w:eastAsia="Arial" w:hAnsi="Arial"/>
          <w:sz w:val="18"/>
          <w:szCs w:val="18"/>
          <w:color w:val="auto"/>
        </w:rPr>
      </w:pPr>
    </w:p>
    <w:p>
      <w:pPr>
        <w:ind w:firstLine="428"/>
        <w:spacing w:after="0" w:line="277"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0040"/>
          </w:cols>
          <w:pgMar w:left="880" w:top="270" w:right="9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11" w:lineRule="exact"/>
        <w:rPr>
          <w:sz w:val="20"/>
          <w:szCs w:val="20"/>
          <w:color w:val="auto"/>
        </w:rPr>
      </w:pPr>
    </w:p>
    <w:p>
      <w:pPr>
        <w:ind w:left="970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8"/>
          <w:szCs w:val="18"/>
          <w:b w:val="1"/>
          <w:bCs w:val="1"/>
          <w:color w:val="auto"/>
        </w:rPr>
        <w:t>Underwriting Agreement</w:t>
      </w:r>
      <w:r>
        <w:rPr>
          <w:rFonts w:ascii="Arial" w:cs="Arial" w:eastAsia="Arial" w:hAnsi="Arial"/>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has filed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7"/>
          <w:szCs w:val="17"/>
          <w:b w:val="1"/>
          <w:bCs w:val="1"/>
          <w:color w:val="auto"/>
        </w:rPr>
        <w:t>Prospectus Supplement</w:t>
      </w:r>
      <w:r>
        <w:rPr>
          <w:rFonts w:ascii="Arial" w:cs="Arial" w:eastAsia="Arial" w:hAnsi="Arial"/>
          <w:sz w:val="17"/>
          <w:szCs w:val="17"/>
          <w:color w:val="auto"/>
        </w:rPr>
        <w:t>”) specifically relating to the Securities listed on Schedule I hereto (the “</w:t>
      </w:r>
      <w:r>
        <w:rPr>
          <w:rFonts w:ascii="Arial" w:cs="Arial" w:eastAsia="Arial" w:hAnsi="Arial"/>
          <w:sz w:val="17"/>
          <w:szCs w:val="17"/>
          <w:b w:val="1"/>
          <w:bCs w:val="1"/>
          <w:color w:val="auto"/>
        </w:rPr>
        <w:t>Offered</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w:t>
      </w:r>
      <w:r>
        <w:rPr>
          <w:rFonts w:ascii="Arial" w:cs="Arial" w:eastAsia="Arial" w:hAnsi="Arial"/>
          <w:sz w:val="17"/>
          <w:szCs w:val="17"/>
          <w:color w:val="auto"/>
        </w:rPr>
        <w:t>”) pursuant to Rule 424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7"/>
          <w:szCs w:val="17"/>
          <w:b w:val="1"/>
          <w:bCs w:val="1"/>
          <w:color w:val="auto"/>
        </w:rPr>
        <w:t>Base Prospectus</w:t>
      </w:r>
      <w:r>
        <w:rPr>
          <w:rFonts w:ascii="Arial" w:cs="Arial" w:eastAsia="Arial" w:hAnsi="Arial"/>
          <w:sz w:val="17"/>
          <w:szCs w:val="17"/>
          <w:color w:val="auto"/>
        </w:rPr>
        <w:t>” means the prospectus included in the Registration Statement. The term “</w:t>
      </w:r>
      <w:r>
        <w:rPr>
          <w:rFonts w:ascii="Arial" w:cs="Arial" w:eastAsia="Arial" w:hAnsi="Arial"/>
          <w:sz w:val="17"/>
          <w:szCs w:val="17"/>
          <w:b w:val="1"/>
          <w:bCs w:val="1"/>
          <w:color w:val="auto"/>
        </w:rPr>
        <w:t>Prospectus</w:t>
      </w:r>
      <w:r>
        <w:rPr>
          <w:rFonts w:ascii="Arial" w:cs="Arial" w:eastAsia="Arial" w:hAnsi="Arial"/>
          <w:sz w:val="17"/>
          <w:szCs w:val="17"/>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7"/>
          <w:szCs w:val="17"/>
          <w:b w:val="1"/>
          <w:bCs w:val="1"/>
          <w:color w:val="auto"/>
        </w:rPr>
        <w:t>preliminary prospectus</w:t>
      </w:r>
      <w:r>
        <w:rPr>
          <w:rFonts w:ascii="Arial" w:cs="Arial" w:eastAsia="Arial" w:hAnsi="Arial"/>
          <w:sz w:val="17"/>
          <w:szCs w:val="17"/>
          <w:color w:val="auto"/>
        </w:rPr>
        <w:t>” means a preliminary prospectus supplement specifically relating to the Offered Securities, together with the Base Prospectus. The term “</w:t>
      </w:r>
      <w:r>
        <w:rPr>
          <w:rFonts w:ascii="Arial" w:cs="Arial" w:eastAsia="Arial" w:hAnsi="Arial"/>
          <w:sz w:val="17"/>
          <w:szCs w:val="17"/>
          <w:b w:val="1"/>
          <w:bCs w:val="1"/>
          <w:color w:val="auto"/>
        </w:rPr>
        <w:t>free writing</w:t>
      </w:r>
      <w:r>
        <w:rPr>
          <w:rFonts w:ascii="Arial" w:cs="Arial" w:eastAsia="Arial" w:hAnsi="Arial"/>
          <w:sz w:val="17"/>
          <w:szCs w:val="17"/>
          <w:color w:val="auto"/>
        </w:rPr>
        <w:t xml:space="preserve"> </w:t>
      </w:r>
      <w:r>
        <w:rPr>
          <w:rFonts w:ascii="Arial" w:cs="Arial" w:eastAsia="Arial" w:hAnsi="Arial"/>
          <w:sz w:val="17"/>
          <w:szCs w:val="17"/>
          <w:b w:val="1"/>
          <w:bCs w:val="1"/>
          <w:color w:val="auto"/>
        </w:rPr>
        <w:t>prospectus</w:t>
      </w:r>
      <w:r>
        <w:rPr>
          <w:rFonts w:ascii="Arial" w:cs="Arial" w:eastAsia="Arial" w:hAnsi="Arial"/>
          <w:sz w:val="17"/>
          <w:szCs w:val="17"/>
          <w:color w:val="auto"/>
        </w:rPr>
        <w:t>” has the meaning set forth in Rule 405 under the Securities Act. The term “</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has the meaning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Rule 433 under the Securities Act. The term “</w:t>
      </w:r>
      <w:r>
        <w:rPr>
          <w:rFonts w:ascii="Arial" w:cs="Arial" w:eastAsia="Arial" w:hAnsi="Arial"/>
          <w:sz w:val="17"/>
          <w:szCs w:val="17"/>
          <w:b w:val="1"/>
          <w:bCs w:val="1"/>
          <w:color w:val="auto"/>
        </w:rPr>
        <w:t>Time of Sale Prospectus</w:t>
      </w:r>
      <w:r>
        <w:rPr>
          <w:rFonts w:ascii="Arial" w:cs="Arial" w:eastAsia="Arial" w:hAnsi="Arial"/>
          <w:sz w:val="17"/>
          <w:szCs w:val="17"/>
          <w:color w:val="auto"/>
        </w:rPr>
        <w:t>” means the Base Prospectus and preliminary prospectus, if any, together with any additional documents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As used herein, the term “</w:t>
      </w:r>
      <w:r>
        <w:rPr>
          <w:rFonts w:ascii="Arial" w:cs="Arial" w:eastAsia="Arial" w:hAnsi="Arial"/>
          <w:sz w:val="17"/>
          <w:szCs w:val="17"/>
          <w:b w:val="1"/>
          <w:bCs w:val="1"/>
          <w:color w:val="auto"/>
        </w:rPr>
        <w:t>Applicable Time</w:t>
      </w:r>
      <w:r>
        <w:rPr>
          <w:rFonts w:ascii="Arial" w:cs="Arial" w:eastAsia="Arial" w:hAnsi="Arial"/>
          <w:sz w:val="17"/>
          <w:szCs w:val="17"/>
          <w:color w:val="auto"/>
        </w:rPr>
        <w:t>” means the time and date set forth in the Underwriting Agreement or such other time as agreed in writing by the Company and the Manager.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40" w:firstLine="428"/>
        <w:spacing w:after="0" w:line="271" w:lineRule="auto"/>
        <w:tabs>
          <w:tab w:leader="none" w:pos="1243" w:val="left"/>
        </w:tabs>
        <w:numPr>
          <w:ilvl w:val="0"/>
          <w:numId w:val="4"/>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5" w:name="page16"/>
    <w:bookmarkEnd w:id="15"/>
    <w:p>
      <w:pPr>
        <w:ind w:right="420" w:firstLine="428"/>
        <w:spacing w:after="0" w:line="277" w:lineRule="auto"/>
        <w:tabs>
          <w:tab w:leader="none" w:pos="81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62" w:lineRule="exact"/>
        <w:rPr>
          <w:rFonts w:ascii="Arial" w:cs="Arial" w:eastAsia="Arial" w:hAnsi="Arial"/>
          <w:sz w:val="18"/>
          <w:szCs w:val="18"/>
          <w:color w:val="auto"/>
        </w:rPr>
      </w:pPr>
    </w:p>
    <w:p>
      <w:pPr>
        <w:ind w:left="1300" w:hanging="343"/>
        <w:spacing w:after="0"/>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w:t>
      </w:r>
    </w:p>
    <w:p>
      <w:pPr>
        <w:spacing w:after="0" w:line="46"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102" w:lineRule="exact"/>
        <w:rPr>
          <w:rFonts w:ascii="Arial" w:cs="Arial" w:eastAsia="Arial" w:hAnsi="Arial"/>
          <w:sz w:val="16"/>
          <w:szCs w:val="16"/>
          <w:color w:val="auto"/>
        </w:rPr>
      </w:pPr>
    </w:p>
    <w:p>
      <w:pPr>
        <w:ind w:left="560" w:right="40" w:firstLine="397"/>
        <w:spacing w:after="0" w:line="286" w:lineRule="auto"/>
        <w:tabs>
          <w:tab w:leader="none" w:pos="1358"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57" w:lineRule="exact"/>
        <w:rPr>
          <w:rFonts w:ascii="Arial" w:cs="Arial" w:eastAsia="Arial" w:hAnsi="Arial"/>
          <w:sz w:val="17"/>
          <w:szCs w:val="17"/>
          <w:color w:val="auto"/>
        </w:rPr>
      </w:pPr>
    </w:p>
    <w:p>
      <w:pPr>
        <w:ind w:left="560" w:right="40" w:firstLine="397"/>
        <w:spacing w:after="0" w:line="277" w:lineRule="auto"/>
        <w:tabs>
          <w:tab w:leader="none" w:pos="140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62" w:lineRule="exact"/>
        <w:rPr>
          <w:rFonts w:ascii="Arial" w:cs="Arial" w:eastAsia="Arial" w:hAnsi="Arial"/>
          <w:sz w:val="18"/>
          <w:szCs w:val="18"/>
          <w:color w:val="auto"/>
        </w:rPr>
      </w:pPr>
    </w:p>
    <w:p>
      <w:pPr>
        <w:ind w:left="560" w:right="200" w:firstLine="397"/>
        <w:spacing w:after="0" w:line="264" w:lineRule="auto"/>
        <w:tabs>
          <w:tab w:leader="none" w:pos="139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and, as applicable, the Indenture, the Offered Securities, the Warrant Agreement and the Unit Agreement (each, a “</w:t>
      </w:r>
      <w:r>
        <w:rPr>
          <w:rFonts w:ascii="Arial" w:cs="Arial" w:eastAsia="Arial" w:hAnsi="Arial"/>
          <w:sz w:val="18"/>
          <w:szCs w:val="18"/>
          <w:b w:val="1"/>
          <w:bCs w:val="1"/>
          <w:color w:val="auto"/>
        </w:rPr>
        <w:t>Transaction Document</w:t>
      </w:r>
      <w:r>
        <w:rPr>
          <w:rFonts w:ascii="Arial" w:cs="Arial" w:eastAsia="Arial" w:hAnsi="Arial"/>
          <w:sz w:val="18"/>
          <w:szCs w:val="18"/>
          <w:color w:val="auto"/>
        </w:rPr>
        <w:t>”) and the performance by the Company of its obligations thereunder will not conflict with, constitute a default under or violate:</w:t>
      </w:r>
    </w:p>
    <w:p>
      <w:pPr>
        <w:spacing w:after="0" w:line="73" w:lineRule="exact"/>
        <w:rPr>
          <w:rFonts w:ascii="Arial" w:cs="Arial" w:eastAsia="Arial" w:hAnsi="Arial"/>
          <w:sz w:val="18"/>
          <w:szCs w:val="18"/>
          <w:color w:val="auto"/>
        </w:rPr>
      </w:pPr>
    </w:p>
    <w:p>
      <w:pPr>
        <w:ind w:left="1800" w:hanging="420"/>
        <w:spacing w:after="0"/>
        <w:tabs>
          <w:tab w:leader="none" w:pos="180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of the terms, conditions or provisions of the Certificate of Incorporation or by-laws of the Company; or</w:t>
      </w:r>
    </w:p>
    <w:p>
      <w:pPr>
        <w:spacing w:after="0" w:line="117" w:lineRule="exact"/>
        <w:rPr>
          <w:rFonts w:ascii="Arial" w:cs="Arial" w:eastAsia="Arial" w:hAnsi="Arial"/>
          <w:sz w:val="18"/>
          <w:szCs w:val="18"/>
          <w:color w:val="auto"/>
        </w:rPr>
      </w:pPr>
    </w:p>
    <w:p>
      <w:pPr>
        <w:jc w:val="both"/>
        <w:ind w:left="1000" w:firstLine="380"/>
        <w:spacing w:after="0" w:line="259" w:lineRule="auto"/>
        <w:tabs>
          <w:tab w:leader="none" w:pos="1803"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8" w:lineRule="exact"/>
        <w:rPr>
          <w:rFonts w:ascii="Arial" w:cs="Arial" w:eastAsia="Arial" w:hAnsi="Arial"/>
          <w:sz w:val="18"/>
          <w:szCs w:val="18"/>
          <w:color w:val="auto"/>
        </w:rPr>
      </w:pPr>
    </w:p>
    <w:p>
      <w:pPr>
        <w:ind w:left="560" w:right="300" w:firstLine="397"/>
        <w:spacing w:after="0" w:line="279" w:lineRule="auto"/>
        <w:tabs>
          <w:tab w:leader="none" w:pos="1348"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63" w:lineRule="exact"/>
        <w:rPr>
          <w:rFonts w:ascii="Arial" w:cs="Arial" w:eastAsia="Arial" w:hAnsi="Arial"/>
          <w:sz w:val="17"/>
          <w:szCs w:val="17"/>
          <w:color w:val="auto"/>
        </w:rPr>
      </w:pPr>
    </w:p>
    <w:p>
      <w:pPr>
        <w:ind w:left="560" w:right="160" w:firstLine="397"/>
        <w:spacing w:after="0" w:line="277" w:lineRule="auto"/>
        <w:tabs>
          <w:tab w:leader="none" w:pos="139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such counsel’s knowledge, there is no action, suit or formal proceeding pending or threatened against the Company or any of its subsidiaries before any court or arbitrator or any governmental body or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16" w:name="page17"/>
    <w:bookmarkEnd w:id="16"/>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9" w:lineRule="exact"/>
        <w:rPr>
          <w:sz w:val="20"/>
          <w:szCs w:val="20"/>
          <w:color w:val="auto"/>
        </w:rPr>
      </w:pPr>
    </w:p>
    <w:p>
      <w:pPr>
        <w:ind w:right="80" w:firstLine="397"/>
        <w:spacing w:after="0" w:line="257" w:lineRule="auto"/>
        <w:tabs>
          <w:tab w:leader="none" w:pos="89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80" w:lineRule="exact"/>
        <w:rPr>
          <w:rFonts w:ascii="Arial" w:cs="Arial" w:eastAsia="Arial" w:hAnsi="Arial"/>
          <w:sz w:val="18"/>
          <w:szCs w:val="18"/>
          <w:color w:val="auto"/>
        </w:rPr>
      </w:pPr>
    </w:p>
    <w:p>
      <w:pPr>
        <w:ind w:right="100" w:firstLine="397"/>
        <w:spacing w:after="0" w:line="277" w:lineRule="auto"/>
        <w:tabs>
          <w:tab w:leader="none" w:pos="941"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40" w:firstLine="380"/>
        <w:spacing w:after="0" w:line="255" w:lineRule="auto"/>
        <w:tabs>
          <w:tab w:leader="none" w:pos="125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85" w:lineRule="exact"/>
        <w:rPr>
          <w:rFonts w:ascii="Arial" w:cs="Arial" w:eastAsia="Arial" w:hAnsi="Arial"/>
          <w:sz w:val="18"/>
          <w:szCs w:val="18"/>
          <w:color w:val="auto"/>
        </w:rPr>
      </w:pPr>
    </w:p>
    <w:p>
      <w:pPr>
        <w:ind w:left="440" w:right="220" w:firstLine="380"/>
        <w:spacing w:after="0" w:line="257" w:lineRule="auto"/>
        <w:tabs>
          <w:tab w:leader="none" w:pos="124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80" w:lineRule="exact"/>
        <w:rPr>
          <w:rFonts w:ascii="Arial" w:cs="Arial" w:eastAsia="Arial" w:hAnsi="Arial"/>
          <w:sz w:val="18"/>
          <w:szCs w:val="18"/>
          <w:color w:val="auto"/>
        </w:rPr>
      </w:pPr>
    </w:p>
    <w:p>
      <w:pPr>
        <w:ind w:left="440" w:firstLine="380"/>
        <w:spacing w:after="0" w:line="277" w:lineRule="auto"/>
        <w:tabs>
          <w:tab w:leader="none" w:pos="124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w:t>
      </w:r>
    </w:p>
    <w:p>
      <w:pPr>
        <w:spacing w:after="0" w:line="1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80"/>
          </w:cols>
          <w:pgMar w:left="1440" w:top="274" w:right="479" w:bottom="1440" w:gutter="0" w:footer="0" w:header="0"/>
        </w:sectPr>
      </w:pPr>
    </w:p>
    <w:bookmarkStart w:id="17" w:name="page18"/>
    <w:bookmarkEnd w:id="17"/>
    <w:p>
      <w:pPr>
        <w:ind w:left="1000"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3" w:lineRule="exact"/>
        <w:rPr>
          <w:sz w:val="20"/>
          <w:szCs w:val="20"/>
          <w:color w:val="auto"/>
        </w:rPr>
      </w:pPr>
    </w:p>
    <w:p>
      <w:pPr>
        <w:ind w:left="1000" w:right="80" w:firstLine="380"/>
        <w:spacing w:after="0" w:line="302" w:lineRule="auto"/>
        <w:tabs>
          <w:tab w:leader="none" w:pos="1813" w:val="left"/>
        </w:tabs>
        <w:numPr>
          <w:ilvl w:val="2"/>
          <w:numId w:val="7"/>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right="500" w:firstLine="428"/>
        <w:spacing w:after="0" w:line="277"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62" w:lineRule="exact"/>
        <w:rPr>
          <w:rFonts w:ascii="Arial" w:cs="Arial" w:eastAsia="Arial" w:hAnsi="Arial"/>
          <w:sz w:val="18"/>
          <w:szCs w:val="18"/>
          <w:color w:val="auto"/>
        </w:rPr>
      </w:pPr>
    </w:p>
    <w:p>
      <w:pPr>
        <w:ind w:left="560" w:right="80" w:firstLine="397"/>
        <w:spacing w:after="0" w:line="264"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left="1360" w:hanging="403"/>
        <w:spacing w:after="0"/>
        <w:tabs>
          <w:tab w:leader="none" w:pos="1360" w:val="left"/>
        </w:tabs>
        <w:numPr>
          <w:ilvl w:val="1"/>
          <w:numId w:val="8"/>
        </w:numPr>
        <w:rPr>
          <w:rFonts w:ascii="Arial" w:cs="Arial" w:eastAsia="Arial" w:hAnsi="Arial"/>
          <w:sz w:val="18"/>
          <w:szCs w:val="18"/>
          <w:color w:val="auto"/>
        </w:rPr>
      </w:pPr>
      <w:r>
        <w:rPr>
          <w:rFonts w:ascii="Arial" w:cs="Arial" w:eastAsia="Arial" w:hAnsi="Arial"/>
          <w:sz w:val="18"/>
          <w:szCs w:val="18"/>
          <w:color w:val="auto"/>
        </w:rPr>
        <w:t>If Debt Securities are Offered Securities:</w:t>
      </w:r>
    </w:p>
    <w:p>
      <w:pPr>
        <w:spacing w:after="0" w:line="117" w:lineRule="exact"/>
        <w:rPr>
          <w:rFonts w:ascii="Arial" w:cs="Arial" w:eastAsia="Arial" w:hAnsi="Arial"/>
          <w:sz w:val="18"/>
          <w:szCs w:val="18"/>
          <w:color w:val="auto"/>
        </w:rPr>
      </w:pPr>
    </w:p>
    <w:p>
      <w:pPr>
        <w:ind w:left="1000" w:firstLine="380"/>
        <w:spacing w:after="0" w:line="272" w:lineRule="auto"/>
        <w:tabs>
          <w:tab w:leader="none" w:pos="1813" w:val="left"/>
        </w:tabs>
        <w:numPr>
          <w:ilvl w:val="2"/>
          <w:numId w:val="8"/>
        </w:numPr>
        <w:rPr>
          <w:rFonts w:ascii="Arial" w:cs="Arial" w:eastAsia="Arial" w:hAnsi="Arial"/>
          <w:sz w:val="17"/>
          <w:szCs w:val="17"/>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69" w:lineRule="exact"/>
        <w:rPr>
          <w:rFonts w:ascii="Arial" w:cs="Arial" w:eastAsia="Arial" w:hAnsi="Arial"/>
          <w:sz w:val="17"/>
          <w:szCs w:val="17"/>
          <w:color w:val="auto"/>
        </w:rPr>
      </w:pPr>
    </w:p>
    <w:p>
      <w:pPr>
        <w:ind w:left="1000" w:right="20" w:firstLine="380"/>
        <w:spacing w:after="0" w:line="277" w:lineRule="auto"/>
        <w:tabs>
          <w:tab w:leader="none" w:pos="1803"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10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480"/>
          </w:cols>
          <w:pgMar w:left="880" w:top="274" w:right="539" w:bottom="1440" w:gutter="0" w:footer="0" w:header="0"/>
        </w:sectPr>
      </w:pPr>
    </w:p>
    <w:bookmarkStart w:id="18" w:name="page19"/>
    <w:bookmarkEnd w:id="18"/>
    <w:p>
      <w:pPr>
        <w:ind w:left="1240" w:hanging="420"/>
        <w:spacing w:after="0"/>
        <w:tabs>
          <w:tab w:leader="none" w:pos="1240" w:val="left"/>
        </w:tabs>
        <w:numPr>
          <w:ilvl w:val="1"/>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has been duly qualified under the Trust Indenture Act of 1939.</w:t>
      </w:r>
    </w:p>
    <w:p>
      <w:pPr>
        <w:spacing w:after="0" w:line="117" w:lineRule="exact"/>
        <w:rPr>
          <w:rFonts w:ascii="Arial" w:cs="Arial" w:eastAsia="Arial" w:hAnsi="Arial"/>
          <w:sz w:val="18"/>
          <w:szCs w:val="18"/>
          <w:color w:val="auto"/>
        </w:rPr>
      </w:pPr>
    </w:p>
    <w:p>
      <w:pPr>
        <w:ind w:left="840" w:hanging="44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Warrants are Offered Securities:</w:t>
      </w:r>
    </w:p>
    <w:p>
      <w:pPr>
        <w:spacing w:after="0" w:line="117" w:lineRule="exact"/>
        <w:rPr>
          <w:rFonts w:ascii="Arial" w:cs="Arial" w:eastAsia="Arial" w:hAnsi="Arial"/>
          <w:sz w:val="18"/>
          <w:szCs w:val="18"/>
          <w:color w:val="auto"/>
        </w:rPr>
      </w:pPr>
    </w:p>
    <w:p>
      <w:pPr>
        <w:ind w:left="440" w:right="360" w:firstLine="380"/>
        <w:spacing w:after="0" w:line="259" w:lineRule="auto"/>
        <w:tabs>
          <w:tab w:leader="none" w:pos="12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40" w:firstLine="380"/>
        <w:spacing w:after="0" w:line="277" w:lineRule="auto"/>
        <w:tabs>
          <w:tab w:leader="none" w:pos="12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840" w:hanging="44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Units are Offered Securities:</w:t>
      </w:r>
    </w:p>
    <w:p>
      <w:pPr>
        <w:spacing w:after="0" w:line="117" w:lineRule="exact"/>
        <w:rPr>
          <w:rFonts w:ascii="Arial" w:cs="Arial" w:eastAsia="Arial" w:hAnsi="Arial"/>
          <w:sz w:val="18"/>
          <w:szCs w:val="18"/>
          <w:color w:val="auto"/>
        </w:rPr>
      </w:pPr>
    </w:p>
    <w:p>
      <w:pPr>
        <w:jc w:val="both"/>
        <w:ind w:left="440" w:right="80" w:firstLine="380"/>
        <w:spacing w:after="0" w:line="259" w:lineRule="auto"/>
        <w:tabs>
          <w:tab w:leader="none" w:pos="12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8" w:lineRule="exact"/>
        <w:rPr>
          <w:rFonts w:ascii="Arial" w:cs="Arial" w:eastAsia="Arial" w:hAnsi="Arial"/>
          <w:sz w:val="18"/>
          <w:szCs w:val="18"/>
          <w:color w:val="auto"/>
        </w:rPr>
      </w:pPr>
    </w:p>
    <w:p>
      <w:pPr>
        <w:ind w:left="440" w:right="260" w:firstLine="380"/>
        <w:spacing w:after="0" w:line="277" w:lineRule="auto"/>
        <w:tabs>
          <w:tab w:leader="none" w:pos="1243"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62" w:lineRule="exact"/>
        <w:rPr>
          <w:rFonts w:ascii="Arial" w:cs="Arial" w:eastAsia="Arial" w:hAnsi="Arial"/>
          <w:sz w:val="18"/>
          <w:szCs w:val="18"/>
          <w:color w:val="auto"/>
        </w:rPr>
      </w:pPr>
    </w:p>
    <w:p>
      <w:pPr>
        <w:ind w:left="780" w:hanging="383"/>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100" w:firstLine="397"/>
        <w:spacing w:after="0" w:line="264" w:lineRule="auto"/>
        <w:tabs>
          <w:tab w:leader="none" w:pos="83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73" w:lineRule="exact"/>
        <w:rPr>
          <w:rFonts w:ascii="Arial" w:cs="Arial" w:eastAsia="Arial" w:hAnsi="Arial"/>
          <w:sz w:val="18"/>
          <w:szCs w:val="18"/>
          <w:color w:val="auto"/>
        </w:rPr>
      </w:pPr>
    </w:p>
    <w:p>
      <w:pPr>
        <w:ind w:right="80" w:firstLine="397"/>
        <w:spacing w:after="0" w:line="308" w:lineRule="auto"/>
        <w:tabs>
          <w:tab w:leader="none" w:pos="88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7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80"/>
          </w:cols>
          <w:pgMar w:left="1440" w:top="274" w:right="479" w:bottom="1440" w:gutter="0" w:footer="0" w:header="0"/>
        </w:sectPr>
      </w:pPr>
    </w:p>
    <w:bookmarkStart w:id="19" w:name="page20"/>
    <w:bookmarkEnd w:id="19"/>
    <w:p>
      <w:pPr>
        <w:ind w:right="980" w:firstLine="397"/>
        <w:spacing w:after="0" w:line="342" w:lineRule="auto"/>
        <w:tabs>
          <w:tab w:leader="none" w:pos="941"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Offered Securities that are convertible into or exercisable or exchangeable for other Securities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the Underlying Securities have been duly authorized and reserved for issuance.</w:t>
      </w:r>
    </w:p>
    <w:p>
      <w:pPr>
        <w:spacing w:after="0" w:line="15" w:lineRule="exact"/>
        <w:rPr>
          <w:rFonts w:ascii="Arial" w:cs="Arial" w:eastAsia="Arial" w:hAnsi="Arial"/>
          <w:sz w:val="16"/>
          <w:szCs w:val="16"/>
          <w:color w:val="auto"/>
        </w:rPr>
      </w:pPr>
    </w:p>
    <w:p>
      <w:pPr>
        <w:ind w:right="60" w:firstLine="397"/>
        <w:spacing w:after="0" w:line="312" w:lineRule="auto"/>
        <w:tabs>
          <w:tab w:leader="none" w:pos="83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38" w:lineRule="exact"/>
        <w:rPr>
          <w:rFonts w:ascii="Arial" w:cs="Arial" w:eastAsia="Arial" w:hAnsi="Arial"/>
          <w:sz w:val="16"/>
          <w:szCs w:val="16"/>
          <w:color w:val="auto"/>
        </w:rPr>
      </w:pPr>
    </w:p>
    <w:p>
      <w:pPr>
        <w:jc w:val="both"/>
        <w:ind w:firstLine="397"/>
        <w:spacing w:after="0" w:line="312" w:lineRule="auto"/>
        <w:tabs>
          <w:tab w:leader="none" w:pos="78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38" w:lineRule="exact"/>
        <w:rPr>
          <w:rFonts w:ascii="Arial" w:cs="Arial" w:eastAsia="Arial" w:hAnsi="Arial"/>
          <w:sz w:val="16"/>
          <w:szCs w:val="16"/>
          <w:color w:val="auto"/>
        </w:rPr>
      </w:pPr>
    </w:p>
    <w:p>
      <w:pPr>
        <w:jc w:val="both"/>
        <w:ind w:right="80" w:firstLine="397"/>
        <w:spacing w:after="0" w:line="302" w:lineRule="auto"/>
        <w:tabs>
          <w:tab w:leader="none" w:pos="8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46" w:lineRule="exact"/>
        <w:rPr>
          <w:rFonts w:ascii="Arial" w:cs="Arial" w:eastAsia="Arial" w:hAnsi="Arial"/>
          <w:sz w:val="16"/>
          <w:szCs w:val="16"/>
          <w:color w:val="auto"/>
        </w:rPr>
      </w:pPr>
    </w:p>
    <w:p>
      <w:pPr>
        <w:ind w:right="180" w:firstLine="397"/>
        <w:spacing w:after="0" w:line="277" w:lineRule="auto"/>
        <w:tabs>
          <w:tab w:leader="none" w:pos="89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62" w:lineRule="exact"/>
        <w:rPr>
          <w:rFonts w:ascii="Arial" w:cs="Arial" w:eastAsia="Arial" w:hAnsi="Arial"/>
          <w:sz w:val="18"/>
          <w:szCs w:val="18"/>
          <w:color w:val="auto"/>
        </w:rPr>
      </w:pPr>
    </w:p>
    <w:p>
      <w:pPr>
        <w:ind w:left="440" w:right="40" w:firstLine="380"/>
        <w:spacing w:after="0" w:line="293" w:lineRule="auto"/>
        <w:tabs>
          <w:tab w:leader="none" w:pos="1253"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40" w:top="274" w:right="439" w:bottom="1440" w:gutter="0" w:footer="0" w:header="0"/>
        </w:sectPr>
      </w:pPr>
    </w:p>
    <w:bookmarkStart w:id="20" w:name="page21"/>
    <w:bookmarkEnd w:id="20"/>
    <w:p>
      <w:pPr>
        <w:ind w:left="1440" w:right="40" w:firstLine="380"/>
        <w:spacing w:after="0" w:line="259" w:lineRule="auto"/>
        <w:tabs>
          <w:tab w:leader="none" w:pos="2243" w:val="left"/>
        </w:tabs>
        <w:numPr>
          <w:ilvl w:val="2"/>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8" w:lineRule="exact"/>
        <w:rPr>
          <w:rFonts w:ascii="Arial" w:cs="Arial" w:eastAsia="Arial" w:hAnsi="Arial"/>
          <w:sz w:val="18"/>
          <w:szCs w:val="18"/>
          <w:color w:val="auto"/>
        </w:rPr>
      </w:pPr>
    </w:p>
    <w:p>
      <w:pPr>
        <w:ind w:left="1440" w:firstLine="380"/>
        <w:spacing w:after="0" w:line="302" w:lineRule="auto"/>
        <w:tabs>
          <w:tab w:leader="none" w:pos="2243" w:val="left"/>
        </w:tabs>
        <w:numPr>
          <w:ilvl w:val="2"/>
          <w:numId w:val="12"/>
        </w:numPr>
        <w:rPr>
          <w:rFonts w:ascii="Arial" w:cs="Arial" w:eastAsia="Arial" w:hAnsi="Arial"/>
          <w:sz w:val="16"/>
          <w:szCs w:val="16"/>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46" w:lineRule="exact"/>
        <w:rPr>
          <w:rFonts w:ascii="Arial" w:cs="Arial" w:eastAsia="Arial" w:hAnsi="Arial"/>
          <w:sz w:val="16"/>
          <w:szCs w:val="16"/>
          <w:color w:val="auto"/>
        </w:rPr>
      </w:pPr>
    </w:p>
    <w:p>
      <w:pPr>
        <w:ind w:left="1000" w:right="200" w:firstLine="397"/>
        <w:spacing w:after="0" w:line="277" w:lineRule="auto"/>
        <w:tabs>
          <w:tab w:leader="none" w:pos="1938"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62" w:lineRule="exact"/>
        <w:rPr>
          <w:rFonts w:ascii="Arial" w:cs="Arial" w:eastAsia="Arial" w:hAnsi="Arial"/>
          <w:sz w:val="18"/>
          <w:szCs w:val="18"/>
          <w:color w:val="auto"/>
        </w:rPr>
      </w:pPr>
    </w:p>
    <w:p>
      <w:pPr>
        <w:ind w:left="440" w:right="300" w:firstLine="428"/>
        <w:spacing w:after="0" w:line="277" w:lineRule="auto"/>
        <w:tabs>
          <w:tab w:leader="none" w:pos="12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80" w:lineRule="exact"/>
        <w:rPr>
          <w:sz w:val="20"/>
          <w:szCs w:val="20"/>
          <w:color w:val="auto"/>
        </w:rPr>
      </w:pPr>
    </w:p>
    <w:p>
      <w:pPr>
        <w:ind w:left="440" w:right="20" w:firstLine="428"/>
        <w:spacing w:after="0" w:line="279" w:lineRule="auto"/>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1" w:name="page22"/>
    <w:bookmarkEnd w:id="21"/>
    <w:p>
      <w:pPr>
        <w:ind w:left="440" w:right="60" w:firstLine="428"/>
        <w:spacing w:after="0" w:line="302" w:lineRule="auto"/>
        <w:tabs>
          <w:tab w:leader="none" w:pos="1223"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46" w:lineRule="exact"/>
        <w:rPr>
          <w:rFonts w:ascii="Arial" w:cs="Arial" w:eastAsia="Arial" w:hAnsi="Arial"/>
          <w:sz w:val="16"/>
          <w:szCs w:val="16"/>
          <w:color w:val="auto"/>
        </w:rPr>
      </w:pPr>
    </w:p>
    <w:p>
      <w:pPr>
        <w:ind w:left="440" w:right="60" w:firstLine="428"/>
        <w:spacing w:after="0" w:line="279" w:lineRule="auto"/>
        <w:tabs>
          <w:tab w:leader="none" w:pos="125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firstLine="428"/>
        <w:spacing w:after="0" w:line="312"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38" w:lineRule="exact"/>
        <w:rPr>
          <w:rFonts w:ascii="Arial" w:cs="Arial" w:eastAsia="Arial" w:hAnsi="Arial"/>
          <w:sz w:val="16"/>
          <w:szCs w:val="16"/>
          <w:color w:val="auto"/>
        </w:rPr>
      </w:pPr>
    </w:p>
    <w:p>
      <w:pPr>
        <w:ind w:left="440" w:firstLine="428"/>
        <w:spacing w:after="0" w:line="259" w:lineRule="auto"/>
        <w:tabs>
          <w:tab w:leader="none" w:pos="12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8" w:lineRule="exact"/>
        <w:rPr>
          <w:rFonts w:ascii="Arial" w:cs="Arial" w:eastAsia="Arial" w:hAnsi="Arial"/>
          <w:sz w:val="18"/>
          <w:szCs w:val="18"/>
          <w:color w:val="auto"/>
        </w:rPr>
      </w:pPr>
    </w:p>
    <w:p>
      <w:pPr>
        <w:ind w:left="440" w:firstLine="428"/>
        <w:spacing w:after="0" w:line="277" w:lineRule="auto"/>
        <w:tabs>
          <w:tab w:leader="none" w:pos="12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62" w:lineRule="exact"/>
        <w:rPr>
          <w:rFonts w:ascii="Arial" w:cs="Arial" w:eastAsia="Arial" w:hAnsi="Arial"/>
          <w:sz w:val="18"/>
          <w:szCs w:val="18"/>
          <w:color w:val="auto"/>
        </w:rPr>
      </w:pPr>
    </w:p>
    <w:p>
      <w:pPr>
        <w:ind w:left="440" w:right="160" w:firstLine="428"/>
        <w:spacing w:after="0" w:line="264" w:lineRule="auto"/>
        <w:tabs>
          <w:tab w:leader="none" w:pos="12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left="440" w:right="380" w:firstLine="428"/>
        <w:spacing w:after="0" w:line="286" w:lineRule="auto"/>
        <w:tabs>
          <w:tab w:leader="none" w:pos="12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22" w:name="page23"/>
    <w:bookmarkEnd w:id="2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70" w:lineRule="exact"/>
        <w:rPr>
          <w:sz w:val="20"/>
          <w:szCs w:val="20"/>
          <w:color w:val="auto"/>
        </w:rPr>
      </w:pPr>
    </w:p>
    <w:p>
      <w:pPr>
        <w:ind w:firstLine="428"/>
        <w:spacing w:after="0" w:line="287" w:lineRule="auto"/>
        <w:tabs>
          <w:tab w:leader="none" w:pos="7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64" w:lineRule="exact"/>
        <w:rPr>
          <w:rFonts w:ascii="Arial" w:cs="Arial" w:eastAsia="Arial" w:hAnsi="Arial"/>
          <w:sz w:val="16"/>
          <w:szCs w:val="16"/>
          <w:color w:val="auto"/>
        </w:rPr>
      </w:pPr>
    </w:p>
    <w:p>
      <w:pPr>
        <w:ind w:right="320" w:firstLine="428"/>
        <w:spacing w:after="0" w:line="342" w:lineRule="auto"/>
        <w:tabs>
          <w:tab w:leader="none" w:pos="81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15" w:lineRule="exact"/>
        <w:rPr>
          <w:rFonts w:ascii="Arial" w:cs="Arial" w:eastAsia="Arial" w:hAnsi="Arial"/>
          <w:sz w:val="16"/>
          <w:szCs w:val="16"/>
          <w:color w:val="auto"/>
        </w:rPr>
      </w:pPr>
    </w:p>
    <w:p>
      <w:pPr>
        <w:ind w:right="40" w:firstLine="428"/>
        <w:spacing w:after="0" w:line="279" w:lineRule="auto"/>
        <w:tabs>
          <w:tab w:leader="none" w:pos="81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23" w:name="page24"/>
    <w:bookmarkEnd w:id="23"/>
    <w:p>
      <w:pPr>
        <w:ind w:right="40" w:firstLine="428"/>
        <w:spacing w:after="0" w:line="259" w:lineRule="auto"/>
        <w:tabs>
          <w:tab w:leader="none" w:pos="773"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8" w:lineRule="exact"/>
        <w:rPr>
          <w:rFonts w:ascii="Arial" w:cs="Arial" w:eastAsia="Arial" w:hAnsi="Arial"/>
          <w:sz w:val="18"/>
          <w:szCs w:val="18"/>
          <w:color w:val="auto"/>
        </w:rPr>
      </w:pPr>
    </w:p>
    <w:p>
      <w:pPr>
        <w:ind w:right="260" w:firstLine="428"/>
        <w:spacing w:after="0" w:line="259" w:lineRule="auto"/>
        <w:tabs>
          <w:tab w:leader="none" w:pos="7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8" w:lineRule="exact"/>
        <w:rPr>
          <w:rFonts w:ascii="Arial" w:cs="Arial" w:eastAsia="Arial" w:hAnsi="Arial"/>
          <w:sz w:val="18"/>
          <w:szCs w:val="18"/>
          <w:color w:val="auto"/>
        </w:rPr>
      </w:pPr>
    </w:p>
    <w:p>
      <w:pPr>
        <w:ind w:right="400" w:firstLine="428"/>
        <w:spacing w:after="0" w:line="277" w:lineRule="auto"/>
        <w:tabs>
          <w:tab w:leader="none" w:pos="8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62" w:lineRule="exact"/>
        <w:rPr>
          <w:rFonts w:ascii="Arial" w:cs="Arial" w:eastAsia="Arial" w:hAnsi="Arial"/>
          <w:sz w:val="18"/>
          <w:szCs w:val="18"/>
          <w:color w:val="auto"/>
        </w:rPr>
      </w:pPr>
    </w:p>
    <w:p>
      <w:pPr>
        <w:ind w:firstLine="428"/>
        <w:spacing w:after="0" w:line="268" w:lineRule="auto"/>
        <w:tabs>
          <w:tab w:leader="none" w:pos="77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79" w:lineRule="exact"/>
        <w:rPr>
          <w:rFonts w:ascii="Arial" w:cs="Arial" w:eastAsia="Arial" w:hAnsi="Arial"/>
          <w:sz w:val="17"/>
          <w:szCs w:val="17"/>
          <w:color w:val="auto"/>
        </w:rPr>
      </w:pPr>
    </w:p>
    <w:p>
      <w:pPr>
        <w:ind w:right="460" w:firstLine="428"/>
        <w:spacing w:after="0" w:line="259" w:lineRule="auto"/>
        <w:tabs>
          <w:tab w:leader="none" w:pos="86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24" w:name="page25"/>
    <w:bookmarkEnd w:id="24"/>
    <w:p>
      <w:pPr>
        <w:ind w:left="440"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out-of-pocket expenses (including the fees and disbursements of their counsel) reasonably incurred by such Underwriters in connection with this Agreement or the offering of the Securities contemplated hereby.</w:t>
      </w:r>
    </w:p>
    <w:p>
      <w:pPr>
        <w:spacing w:after="0" w:line="62" w:lineRule="exact"/>
        <w:rPr>
          <w:sz w:val="20"/>
          <w:szCs w:val="20"/>
          <w:color w:val="auto"/>
        </w:rPr>
      </w:pPr>
    </w:p>
    <w:p>
      <w:pPr>
        <w:ind w:left="440" w:right="60" w:firstLine="428"/>
        <w:spacing w:after="0" w:line="284" w:lineRule="auto"/>
        <w:tabs>
          <w:tab w:leader="none" w:pos="1253" w:val="left"/>
        </w:tabs>
        <w:numPr>
          <w:ilvl w:val="1"/>
          <w:numId w:val="20"/>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4" w:lineRule="exact"/>
        <w:rPr>
          <w:rFonts w:ascii="Arial" w:cs="Arial" w:eastAsia="Arial" w:hAnsi="Arial"/>
          <w:sz w:val="16"/>
          <w:szCs w:val="16"/>
          <w:color w:val="auto"/>
        </w:rPr>
      </w:pPr>
    </w:p>
    <w:p>
      <w:pPr>
        <w:ind w:left="440" w:right="40" w:firstLine="4"/>
        <w:spacing w:after="0" w:line="286" w:lineRule="auto"/>
        <w:tabs>
          <w:tab w:leader="none" w:pos="6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28"/>
        <w:spacing w:after="0" w:line="302"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5" w:name="page26"/>
    <w:bookmarkEnd w:id="25"/>
    <w:p>
      <w:pPr>
        <w:ind w:firstLine="428"/>
        <w:spacing w:after="0" w:line="285" w:lineRule="auto"/>
        <w:tabs>
          <w:tab w:leader="none" w:pos="813"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278" w:lineRule="exact"/>
        <w:rPr>
          <w:rFonts w:ascii="Arial" w:cs="Arial" w:eastAsia="Arial" w:hAnsi="Arial"/>
          <w:sz w:val="16"/>
          <w:szCs w:val="16"/>
          <w:color w:val="auto"/>
        </w:rPr>
      </w:pPr>
    </w:p>
    <w:p>
      <w:pPr>
        <w:ind w:right="60" w:firstLine="428"/>
        <w:spacing w:after="0" w:line="25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26" w:name="page27"/>
    <w:bookmarkEnd w:id="26"/>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63" w:lineRule="exact"/>
        <w:rPr>
          <w:sz w:val="20"/>
          <w:szCs w:val="20"/>
          <w:color w:val="auto"/>
        </w:rPr>
      </w:pPr>
    </w:p>
    <w:p>
      <w:pPr>
        <w:ind w:firstLine="428"/>
        <w:spacing w:after="0" w:line="257" w:lineRule="auto"/>
        <w:tabs>
          <w:tab w:leader="none" w:pos="8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80" w:lineRule="exact"/>
        <w:rPr>
          <w:rFonts w:ascii="Arial" w:cs="Arial" w:eastAsia="Arial" w:hAnsi="Arial"/>
          <w:sz w:val="18"/>
          <w:szCs w:val="18"/>
          <w:color w:val="auto"/>
        </w:rPr>
      </w:pPr>
    </w:p>
    <w:p>
      <w:pPr>
        <w:ind w:right="260" w:firstLine="428"/>
        <w:spacing w:after="0" w:line="264" w:lineRule="auto"/>
        <w:tabs>
          <w:tab w:leader="none" w:pos="80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73" w:lineRule="exact"/>
        <w:rPr>
          <w:rFonts w:ascii="Arial" w:cs="Arial" w:eastAsia="Arial" w:hAnsi="Arial"/>
          <w:sz w:val="18"/>
          <w:szCs w:val="18"/>
          <w:color w:val="auto"/>
        </w:rPr>
      </w:pPr>
    </w:p>
    <w:p>
      <w:pPr>
        <w:ind w:right="120" w:firstLine="428"/>
        <w:spacing w:after="0" w:line="255" w:lineRule="auto"/>
        <w:tabs>
          <w:tab w:leader="none" w:pos="78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85" w:lineRule="exact"/>
        <w:rPr>
          <w:rFonts w:ascii="Arial" w:cs="Arial" w:eastAsia="Arial" w:hAnsi="Arial"/>
          <w:sz w:val="18"/>
          <w:szCs w:val="18"/>
          <w:color w:val="auto"/>
        </w:rPr>
      </w:pPr>
    </w:p>
    <w:p>
      <w:pPr>
        <w:ind w:right="140" w:firstLine="428"/>
        <w:spacing w:after="0" w:line="276" w:lineRule="auto"/>
        <w:tabs>
          <w:tab w:leader="none" w:pos="8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4" w:lineRule="exact"/>
        <w:rPr>
          <w:rFonts w:ascii="Arial" w:cs="Arial" w:eastAsia="Arial" w:hAnsi="Arial"/>
          <w:sz w:val="17"/>
          <w:szCs w:val="17"/>
          <w:color w:val="auto"/>
        </w:rPr>
      </w:pPr>
    </w:p>
    <w:p>
      <w:pPr>
        <w:ind w:right="400" w:firstLine="428"/>
        <w:spacing w:after="0" w:line="277" w:lineRule="auto"/>
        <w:tabs>
          <w:tab w:leader="none" w:pos="81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27" w:name="page28"/>
    <w:bookmarkEnd w:id="27"/>
    <w:p>
      <w:pPr>
        <w:jc w:val="both"/>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39" w:lineRule="exact"/>
        <w:rPr>
          <w:sz w:val="20"/>
          <w:szCs w:val="20"/>
          <w:color w:val="auto"/>
        </w:rPr>
      </w:pPr>
    </w:p>
    <w:p>
      <w:pPr>
        <w:ind w:left="780" w:hanging="352"/>
        <w:spacing w:after="0"/>
        <w:tabs>
          <w:tab w:leader="none" w:pos="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firstLine="428"/>
        <w:spacing w:after="0" w:line="285" w:lineRule="auto"/>
        <w:tabs>
          <w:tab w:leader="none" w:pos="77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w:t>
      </w:r>
    </w:p>
    <w:p>
      <w:pPr>
        <w:spacing w:after="0" w:line="2" w:lineRule="exact"/>
        <w:rPr>
          <w:rFonts w:ascii="Arial" w:cs="Arial" w:eastAsia="Arial" w:hAnsi="Arial"/>
          <w:sz w:val="16"/>
          <w:szCs w:val="16"/>
          <w:color w:val="auto"/>
        </w:rPr>
      </w:pPr>
    </w:p>
    <w:p>
      <w:pPr>
        <w:ind w:right="360" w:firstLine="4"/>
        <w:spacing w:after="0" w:line="261"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above, for any such default or violation that would not, individually or in the aggregate, reasonably be expected to have a material adverse effect on the Company and its subsidiaries, taken as a whole.</w:t>
      </w:r>
    </w:p>
    <w:p>
      <w:pPr>
        <w:spacing w:after="0" w:line="75" w:lineRule="exact"/>
        <w:rPr>
          <w:rFonts w:ascii="Arial" w:cs="Arial" w:eastAsia="Arial" w:hAnsi="Arial"/>
          <w:sz w:val="18"/>
          <w:szCs w:val="18"/>
          <w:color w:val="auto"/>
        </w:rPr>
      </w:pPr>
    </w:p>
    <w:p>
      <w:pPr>
        <w:ind w:firstLine="428"/>
        <w:spacing w:after="0" w:line="255" w:lineRule="auto"/>
        <w:tabs>
          <w:tab w:leader="none" w:pos="8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85" w:lineRule="exact"/>
        <w:rPr>
          <w:rFonts w:ascii="Arial" w:cs="Arial" w:eastAsia="Arial" w:hAnsi="Arial"/>
          <w:sz w:val="18"/>
          <w:szCs w:val="18"/>
          <w:color w:val="auto"/>
        </w:rPr>
      </w:pPr>
    </w:p>
    <w:p>
      <w:pPr>
        <w:ind w:right="40" w:firstLine="428"/>
        <w:spacing w:after="0" w:line="264" w:lineRule="auto"/>
        <w:tabs>
          <w:tab w:leader="none" w:pos="773"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73" w:lineRule="exact"/>
        <w:rPr>
          <w:rFonts w:ascii="Arial" w:cs="Arial" w:eastAsia="Arial" w:hAnsi="Arial"/>
          <w:sz w:val="18"/>
          <w:szCs w:val="18"/>
          <w:color w:val="auto"/>
        </w:rPr>
      </w:pPr>
    </w:p>
    <w:p>
      <w:pPr>
        <w:ind w:right="300" w:firstLine="428"/>
        <w:spacing w:after="0" w:line="264" w:lineRule="auto"/>
        <w:tabs>
          <w:tab w:leader="none" w:pos="8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80"/>
          </w:cols>
          <w:pgMar w:left="880" w:top="274" w:right="439" w:bottom="1440" w:gutter="0" w:footer="0" w:header="0"/>
        </w:sectPr>
      </w:pPr>
    </w:p>
    <w:bookmarkStart w:id="28" w:name="page29"/>
    <w:bookmarkEnd w:id="28"/>
    <w:p>
      <w:pPr>
        <w:ind w:left="440" w:right="20" w:firstLine="428"/>
        <w:spacing w:after="0" w:line="276" w:lineRule="auto"/>
        <w:tabs>
          <w:tab w:leader="none" w:pos="1250"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64" w:lineRule="exact"/>
        <w:rPr>
          <w:rFonts w:ascii="Arial" w:cs="Arial" w:eastAsia="Arial" w:hAnsi="Arial"/>
          <w:sz w:val="17"/>
          <w:szCs w:val="17"/>
          <w:color w:val="auto"/>
        </w:rPr>
      </w:pPr>
    </w:p>
    <w:p>
      <w:pPr>
        <w:ind w:left="440" w:right="60" w:firstLine="428"/>
        <w:spacing w:after="0" w:line="264" w:lineRule="auto"/>
        <w:tabs>
          <w:tab w:leader="none" w:pos="12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40" w:right="320" w:firstLine="428"/>
        <w:spacing w:after="0" w:line="264" w:lineRule="auto"/>
        <w:tabs>
          <w:tab w:leader="none" w:pos="12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9" w:name="page30"/>
    <w:bookmarkEnd w:id="29"/>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2" w:lineRule="exact"/>
        <w:rPr>
          <w:sz w:val="20"/>
          <w:szCs w:val="20"/>
          <w:color w:val="auto"/>
        </w:rPr>
      </w:pPr>
    </w:p>
    <w:p>
      <w:pPr>
        <w:ind w:right="400" w:firstLine="4"/>
        <w:spacing w:after="0" w:line="261"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allocation provided by clause (i) above is not permitted by applicable law, such proportion as is appropriate to reflect not only the relative benefits referred to in clause (i) above but also the relative fault of the Company on the one hand and of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 w:name="page31"/>
    <w:bookmarkEnd w:id="30"/>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jc w:val="both"/>
        <w:ind w:left="440" w:right="160" w:firstLine="428"/>
        <w:spacing w:after="0" w:line="264" w:lineRule="auto"/>
        <w:tabs>
          <w:tab w:leader="none" w:pos="124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3" w:lineRule="exact"/>
        <w:rPr>
          <w:rFonts w:ascii="Arial" w:cs="Arial" w:eastAsia="Arial" w:hAnsi="Arial"/>
          <w:sz w:val="18"/>
          <w:szCs w:val="18"/>
          <w:color w:val="auto"/>
        </w:rPr>
      </w:pPr>
    </w:p>
    <w:p>
      <w:pPr>
        <w:ind w:left="440" w:right="40" w:firstLine="428"/>
        <w:spacing w:after="0" w:line="255" w:lineRule="auto"/>
        <w:tabs>
          <w:tab w:leader="none" w:pos="1253"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IX.</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32" w:name="page33"/>
    <w:bookmarkEnd w:id="32"/>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3" w:name="page34"/>
    <w:bookmarkEnd w:id="33"/>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64" w:lineRule="exact"/>
        <w:rPr>
          <w:sz w:val="20"/>
          <w:szCs w:val="20"/>
          <w:color w:val="auto"/>
        </w:rPr>
      </w:pPr>
    </w:p>
    <w:p>
      <w:pPr>
        <w:ind w:left="1240" w:hanging="372"/>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“BHC Act Affiliate” has the meaning assigned to the term “affiliate” in, and shall be interpreted in accordance with, 12 U.S.C. §</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1841(k);</w:t>
      </w:r>
    </w:p>
    <w:p>
      <w:pPr>
        <w:spacing w:after="0" w:line="102" w:lineRule="exact"/>
        <w:rPr>
          <w:rFonts w:ascii="Arial" w:cs="Arial" w:eastAsia="Arial" w:hAnsi="Arial"/>
          <w:sz w:val="17"/>
          <w:szCs w:val="17"/>
          <w:color w:val="auto"/>
        </w:rPr>
      </w:pPr>
    </w:p>
    <w:p>
      <w:pPr>
        <w:ind w:left="1260" w:hanging="392"/>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“Covered Entity” means any of the following: (i) a “covered entity” as that term is defined in, and interpreted in accordance with,</w:t>
      </w:r>
    </w:p>
    <w:p>
      <w:pPr>
        <w:spacing w:after="0" w:line="35" w:lineRule="exact"/>
        <w:rPr>
          <w:sz w:val="20"/>
          <w:szCs w:val="20"/>
          <w:color w:val="auto"/>
        </w:rPr>
      </w:pPr>
    </w:p>
    <w:p>
      <w:pPr>
        <w:ind w:left="440" w:right="140"/>
        <w:spacing w:after="0" w:line="261" w:lineRule="auto"/>
        <w:rPr>
          <w:sz w:val="20"/>
          <w:szCs w:val="20"/>
          <w:color w:val="auto"/>
        </w:rPr>
      </w:pPr>
      <w:r>
        <w:rPr>
          <w:rFonts w:ascii="Arial" w:cs="Arial" w:eastAsia="Arial" w:hAnsi="Arial"/>
          <w:sz w:val="18"/>
          <w:szCs w:val="18"/>
          <w:color w:val="auto"/>
        </w:rPr>
        <w:t>12 C.F.R. § 252.82(b); (ii) a “covered bank” as that term is defined in, and interpreted in accordance with, 12 C.F.R. § 47.3(b); or (iii) a “covered FSI” as that term is defined in, and interpreted in accordance with, 12 C.F.R. § 382.2(b);</w:t>
      </w:r>
    </w:p>
    <w:p>
      <w:pPr>
        <w:spacing w:after="0" w:line="76" w:lineRule="exact"/>
        <w:rPr>
          <w:sz w:val="20"/>
          <w:szCs w:val="20"/>
          <w:color w:val="auto"/>
        </w:rPr>
      </w:pPr>
    </w:p>
    <w:p>
      <w:pPr>
        <w:ind w:left="440" w:right="360" w:firstLine="428"/>
        <w:spacing w:after="0" w:line="277" w:lineRule="auto"/>
        <w:tabs>
          <w:tab w:leader="none" w:pos="12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rFonts w:ascii="Arial" w:cs="Arial" w:eastAsia="Arial" w:hAnsi="Arial"/>
          <w:sz w:val="16"/>
          <w:szCs w:val="16"/>
          <w:color w:val="auto"/>
        </w:rPr>
      </w:pPr>
    </w:p>
    <w:p>
      <w:pPr>
        <w:ind w:left="700" w:hanging="2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5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34" w:name="page35"/>
    <w:bookmarkEnd w:id="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BE GOVERNED BY AND CONSTRUED IN ACCORDANCE WITH THE LAWS OF THE STATE OF NEW YORK.</w:t>
      </w:r>
    </w:p>
    <w:p>
      <w:pPr>
        <w:sectPr>
          <w:pgSz w:w="11900" w:h="16838" w:orient="portrait"/>
          <w:cols w:equalWidth="0" w:num="1">
            <w:col w:w="10880"/>
          </w:cols>
          <w:pgMar w:left="440" w:top="274" w:right="579" w:bottom="1440" w:gutter="0" w:footer="0" w:header="0"/>
        </w:sectPr>
      </w:pP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80"/>
          </w:cols>
          <w:pgMar w:left="440" w:top="274" w:right="57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4, 2019</w:t>
      </w:r>
    </w:p>
    <w:p>
      <w:pPr>
        <w:spacing w:after="0" w:line="225" w:lineRule="exact"/>
        <w:rPr>
          <w:sz w:val="20"/>
          <w:szCs w:val="20"/>
          <w:color w:val="auto"/>
        </w:rPr>
      </w:pPr>
    </w:p>
    <w:p>
      <w:pPr>
        <w:ind w:right="80" w:firstLine="441"/>
        <w:spacing w:after="0" w:line="298" w:lineRule="auto"/>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 to Section 2.04(c) of the Indenture, the undersigned officers do hereby certify, in connection with the issuance of $750,000,000 aggregate principal amount of 2.250% Notes due 2029 (the “</w:t>
      </w:r>
      <w:r>
        <w:rPr>
          <w:rFonts w:ascii="Arial" w:cs="Arial" w:eastAsia="Arial" w:hAnsi="Arial"/>
          <w:sz w:val="16"/>
          <w:szCs w:val="16"/>
          <w:b w:val="1"/>
          <w:bCs w:val="1"/>
          <w:color w:val="auto"/>
        </w:rPr>
        <w:t>Notes</w:t>
      </w:r>
      <w:r>
        <w:rPr>
          <w:rFonts w:ascii="Arial" w:cs="Arial" w:eastAsia="Arial" w:hAnsi="Arial"/>
          <w:sz w:val="16"/>
          <w:szCs w:val="16"/>
          <w:color w:val="auto"/>
        </w:rPr>
        <w:t>”), that (i) the form and terms of the Notes have been established pursuant to Section 2.01 and Section 2.03 of the Indenture and comply with the Indenture, and (ii) the terms of the Notes are as follows: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ectPr>
          <w:pgSz w:w="11900" w:h="16838" w:orient="portrait"/>
          <w:cols w:equalWidth="0" w:num="1">
            <w:col w:w="11020"/>
          </w:cols>
          <w:pgMar w:left="440" w:top="121"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Trustee, Registrar, Transfer Agent, Authenticating Agent, and Paying Agent:</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2.250% Notes due 2029.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4, 2029.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March 4 and September 4, commencing on March 4, 2020.</w:t>
      </w:r>
    </w:p>
    <w:p>
      <w:pPr>
        <w:sectPr>
          <w:pgSz w:w="11900" w:h="16838" w:orient="portrait"/>
          <w:cols w:equalWidth="0" w:num="2">
            <w:col w:w="3000" w:space="200"/>
            <w:col w:w="7820"/>
          </w:cols>
          <w:pgMar w:left="440" w:top="121" w:right="4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Redemption:</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Prior to June 4, 2029 (the date that is three months prior to the maturity date of the Notes), the Issuer may at its option redeem the Notes, in whole or in part at any time, or from time to time, on at least 15 days but not more than 60 days prior notice mailed to the registered address of each holder of the Notes, at a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-652145</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2">
            <w:col w:w="2480" w:space="720"/>
            <w:col w:w="7800"/>
          </w:cols>
          <w:pgMar w:left="440" w:top="274" w:right="459" w:bottom="1440" w:gutter="0" w:footer="0" w:header="0"/>
        </w:sectPr>
      </w:pPr>
    </w:p>
    <w:p>
      <w:pPr>
        <w:ind w:left="3200"/>
        <w:spacing w:after="0"/>
        <w:rPr>
          <w:sz w:val="20"/>
          <w:szCs w:val="20"/>
          <w:color w:val="auto"/>
        </w:rPr>
      </w:pPr>
      <w:r>
        <w:rPr>
          <w:rFonts w:ascii="Arial" w:cs="Arial" w:eastAsia="Arial" w:hAnsi="Arial"/>
          <w:sz w:val="18"/>
          <w:szCs w:val="18"/>
          <w:color w:val="auto"/>
        </w:rPr>
        <w:t>(i) 100% of the principal amount of the Notes to be redeemed; and</w:t>
      </w:r>
    </w:p>
    <w:p>
      <w:pPr>
        <w:spacing w:after="0" w:line="131" w:lineRule="exact"/>
        <w:rPr>
          <w:sz w:val="20"/>
          <w:szCs w:val="20"/>
          <w:color w:val="auto"/>
        </w:rPr>
      </w:pPr>
    </w:p>
    <w:p>
      <w:pPr>
        <w:ind w:left="3200" w:right="80"/>
        <w:spacing w:after="0" w:line="255" w:lineRule="auto"/>
        <w:rPr>
          <w:sz w:val="20"/>
          <w:szCs w:val="20"/>
          <w:color w:val="auto"/>
        </w:rPr>
      </w:pPr>
      <w:r>
        <w:rPr>
          <w:rFonts w:ascii="Arial" w:cs="Arial" w:eastAsia="Arial" w:hAnsi="Arial"/>
          <w:sz w:val="18"/>
          <w:szCs w:val="18"/>
          <w:color w:val="auto"/>
        </w:rPr>
        <w:t>(ii) the sum of the present values of the principal amount of such Notes and the scheduled payments of interest thereon (not including any portion of such payments of interest accrued as of the date of redemption) from the date of redemption to June 4, 2029 (the date that is three months prior to the maturity date of the Notes), in each case discounted to the date of redemption on a semi-annual basis (assuming a 360-day year consisting of twelve 30-day months) at the Treasury Rate (as defined in the Notes), plus 12.5 basis points;</w:t>
      </w:r>
    </w:p>
    <w:p>
      <w:pPr>
        <w:spacing w:after="0" w:line="9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31" w:lineRule="exact"/>
        <w:rPr>
          <w:sz w:val="20"/>
          <w:szCs w:val="20"/>
          <w:color w:val="auto"/>
        </w:rPr>
      </w:pPr>
    </w:p>
    <w:p>
      <w:pPr>
        <w:ind w:left="3200" w:right="180"/>
        <w:spacing w:after="0" w:line="276" w:lineRule="auto"/>
        <w:rPr>
          <w:sz w:val="20"/>
          <w:szCs w:val="20"/>
          <w:color w:val="auto"/>
        </w:rPr>
      </w:pPr>
      <w:r>
        <w:rPr>
          <w:rFonts w:ascii="Arial" w:cs="Arial" w:eastAsia="Arial" w:hAnsi="Arial"/>
          <w:sz w:val="17"/>
          <w:szCs w:val="17"/>
          <w:color w:val="auto"/>
        </w:rPr>
        <w:t>At any time on or after June 4, 2029 (the date that is three months prior to the maturity date of the Notes), the Issuer may at its option redeem the Notes, in whole or in part at any time and from time to time, on at least 15 days but not more than 60 days prior notice mailed to the registered address of each holder of the Notes, at a redemption price equal to 100% of the principal amount of the Notes to be redeemed plus accrued interest thereon to the date of redemption.</w:t>
      </w:r>
    </w:p>
    <w:p>
      <w:pPr>
        <w:spacing w:after="0" w:line="78" w:lineRule="exact"/>
        <w:rPr>
          <w:sz w:val="20"/>
          <w:szCs w:val="20"/>
          <w:color w:val="auto"/>
        </w:rPr>
      </w:pPr>
    </w:p>
    <w:p>
      <w:pPr>
        <w:ind w:left="3200" w:right="120"/>
        <w:spacing w:after="0" w:line="286" w:lineRule="auto"/>
        <w:rPr>
          <w:sz w:val="20"/>
          <w:szCs w:val="20"/>
          <w:color w:val="auto"/>
        </w:rPr>
      </w:pPr>
      <w:r>
        <w:rPr>
          <w:rFonts w:ascii="Arial" w:cs="Arial" w:eastAsia="Arial" w:hAnsi="Arial"/>
          <w:sz w:val="17"/>
          <w:szCs w:val="17"/>
          <w:color w:val="auto"/>
        </w:rPr>
        <w:t>The Issuer will deliver to the Trustee at least 15 days prior to the date on which notice of a redemption is mailed to holders of the Notes (unless a shorter time period shall be acceptable to the Trustee) an Officers’ Certificate stating the aggregate principal amount of Notes to be redeemed.</w:t>
      </w:r>
    </w:p>
    <w:p>
      <w:pPr>
        <w:spacing w:after="0" w:line="71" w:lineRule="exact"/>
        <w:rPr>
          <w:sz w:val="20"/>
          <w:szCs w:val="20"/>
          <w:color w:val="auto"/>
        </w:rPr>
      </w:pPr>
    </w:p>
    <w:p>
      <w:pPr>
        <w:ind w:left="3200"/>
        <w:spacing w:after="0" w:line="291" w:lineRule="auto"/>
        <w:rPr>
          <w:sz w:val="20"/>
          <w:szCs w:val="20"/>
          <w:color w:val="auto"/>
        </w:rPr>
      </w:pPr>
      <w:r>
        <w:rPr>
          <w:rFonts w:ascii="Arial" w:cs="Arial" w:eastAsia="Arial" w:hAnsi="Arial"/>
          <w:sz w:val="16"/>
          <w:szCs w:val="16"/>
          <w:color w:val="auto"/>
        </w:rPr>
        <w:t>If less than all the Notes are to be redeemed, the Trustee shall select, in such manner as it shall deem appropriate and fair, the Notes to be redeemed in whole or in part. Notes shall be excluded from eligibility for selection for redemption if they are identified by registration and certificate number, in an Officers’ Certificate delivered to the Trustee at least 15 days prior to the date on which notice of redemption is mailed to holders of the Notes,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-201295</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in excess thereof.</w:t>
      </w:r>
    </w:p>
    <w:p>
      <w:pPr>
        <w:spacing w:after="0" w:line="14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 xml:space="preserve">The terms of the Notes shall include such other terms as are set forth in the form of Notes attached hereto as </w:t>
      </w:r>
      <w:r>
        <w:rPr>
          <w:rFonts w:ascii="Arial" w:cs="Arial" w:eastAsia="Arial" w:hAnsi="Arial"/>
          <w:sz w:val="18"/>
          <w:szCs w:val="18"/>
          <w:b w:val="1"/>
          <w:bCs w:val="1"/>
          <w:color w:val="auto"/>
        </w:rPr>
        <w:t xml:space="preserve">Exhibit A </w:t>
      </w:r>
      <w:r>
        <w:rPr>
          <w:rFonts w:ascii="Arial" w:cs="Arial" w:eastAsia="Arial" w:hAnsi="Arial"/>
          <w:sz w:val="18"/>
          <w:szCs w:val="18"/>
          <w:color w:val="auto"/>
        </w:rPr>
        <w:t>and in the Indenture.</w:t>
      </w:r>
    </w:p>
    <w:p>
      <w:pPr>
        <w:spacing w:after="0" w:line="17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ind w:right="20" w:firstLine="441"/>
        <w:spacing w:after="0" w:line="255" w:lineRule="auto"/>
        <w:rPr>
          <w:sz w:val="20"/>
          <w:szCs w:val="20"/>
          <w:color w:val="auto"/>
        </w:rPr>
      </w:pPr>
      <w:r>
        <w:rPr>
          <w:rFonts w:ascii="Arial" w:cs="Arial" w:eastAsia="Arial" w:hAnsi="Arial"/>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with identical terms as the Notes other than with respect to the date of issuance, the issue price and interest accrued prior to the issue date of the additional notes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xml:space="preserve">”). The Additional Notes will have the same CUSIP number as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Additional Notes that are not fungible with the Notes for U.S. federal income tax purposes will be issued under a separate CUSIP number. Any Additional Notes will be issued in accordance with Section 2.03 of the Indenture.</w:t>
      </w:r>
    </w:p>
    <w:p>
      <w:pPr>
        <w:spacing w:after="0" w:line="193"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officers of the Issuer have duly executed this certificate as of the date first set forth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680"/>
          </w:cols>
          <w:pgMar w:left="880" w:top="274" w:right="1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2029]</w:t>
      </w:r>
    </w:p>
    <w:p>
      <w:pPr>
        <w:spacing w:after="0" w:line="225" w:lineRule="exact"/>
        <w:rPr>
          <w:sz w:val="20"/>
          <w:szCs w:val="20"/>
          <w:color w:val="auto"/>
        </w:rPr>
      </w:pPr>
    </w:p>
    <w:p>
      <w:pPr>
        <w:ind w:right="140" w:firstLine="992"/>
        <w:spacing w:after="0" w:line="255" w:lineRule="auto"/>
        <w:rPr>
          <w:sz w:val="20"/>
          <w:szCs w:val="20"/>
          <w:color w:val="auto"/>
        </w:rPr>
      </w:pPr>
      <w:r>
        <w:rPr>
          <w:rFonts w:ascii="Arial" w:cs="Arial" w:eastAsia="Arial" w:hAnsi="Arial"/>
          <w:sz w:val="18"/>
          <w:szCs w:val="18"/>
          <w:color w:val="auto"/>
        </w:rPr>
        <w:t>UNLESS THIS NOTE IS PRESENTED BY AN AUTHORIZED REPRESENTATIVE OF THE DEPOSITORY TRUST COMPANY, A NEW YORK CORPORATION (“</w:t>
      </w:r>
      <w:r>
        <w:rPr>
          <w:rFonts w:ascii="Arial" w:cs="Arial" w:eastAsia="Arial" w:hAnsi="Arial"/>
          <w:sz w:val="18"/>
          <w:szCs w:val="18"/>
          <w:b w:val="1"/>
          <w:bCs w:val="1"/>
          <w:color w:val="auto"/>
        </w:rPr>
        <w:t>DTC</w:t>
      </w:r>
      <w:r>
        <w:rPr>
          <w:rFonts w:ascii="Arial" w:cs="Arial" w:eastAsia="Arial" w:hAnsi="Arial"/>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2"/>
        <w:spacing w:after="0" w:line="27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71" w:lineRule="exact"/>
        <w:rPr>
          <w:sz w:val="20"/>
          <w:szCs w:val="20"/>
          <w:color w:val="auto"/>
        </w:rPr>
      </w:pPr>
    </w:p>
    <w:p>
      <w:pPr>
        <w:jc w:val="both"/>
        <w:ind w:right="320" w:firstLine="992"/>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2.250% Notes due 2029</w:t>
      </w:r>
    </w:p>
    <w:p>
      <w:pPr>
        <w:spacing w:after="0" w:line="238"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No. [1]</w:t>
      </w:r>
      <w:r>
        <w:rPr>
          <w:sz w:val="20"/>
          <w:szCs w:val="20"/>
          <w:color w:val="auto"/>
        </w:rPr>
        <w:tab/>
      </w:r>
      <w:r>
        <w:rPr>
          <w:rFonts w:ascii="Arial" w:cs="Arial" w:eastAsia="Arial" w:hAnsi="Arial"/>
          <w:sz w:val="16"/>
          <w:szCs w:val="16"/>
          <w:color w:val="auto"/>
        </w:rPr>
        <w:t>CUSIP No.: 882508 BG8</w:t>
      </w:r>
    </w:p>
    <w:p>
      <w:pPr>
        <w:spacing w:after="0" w:line="23"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ISIN No.: US882508BG82</w:t>
      </w:r>
    </w:p>
    <w:p>
      <w:pPr>
        <w:spacing w:after="0" w:line="234" w:lineRule="exact"/>
        <w:rPr>
          <w:sz w:val="20"/>
          <w:szCs w:val="20"/>
          <w:color w:val="auto"/>
        </w:rPr>
      </w:pPr>
    </w:p>
    <w:p>
      <w:pPr>
        <w:ind w:left="9920"/>
        <w:spacing w:after="0"/>
        <w:tabs>
          <w:tab w:leader="none" w:pos="10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TEXAS INSTRUMENTS INCORPORATED, a Delaware corporation (the “</w:t>
      </w:r>
      <w:r>
        <w:rPr>
          <w:rFonts w:ascii="Arial" w:cs="Arial" w:eastAsia="Arial" w:hAnsi="Arial"/>
          <w:sz w:val="17"/>
          <w:szCs w:val="17"/>
          <w:b w:val="1"/>
          <w:bCs w:val="1"/>
          <w:color w:val="auto"/>
        </w:rPr>
        <w:t>Issuer</w:t>
      </w:r>
      <w:r>
        <w:rPr>
          <w:rFonts w:ascii="Arial" w:cs="Arial" w:eastAsia="Arial" w:hAnsi="Arial"/>
          <w:sz w:val="17"/>
          <w:szCs w:val="17"/>
          <w:color w:val="auto"/>
        </w:rPr>
        <w:t>”), for value received promises to pay to CEDE &amp; CO. or</w:t>
      </w:r>
    </w:p>
    <w:p>
      <w:pPr>
        <w:spacing w:after="0" w:line="39" w:lineRule="exact"/>
        <w:rPr>
          <w:sz w:val="20"/>
          <w:szCs w:val="20"/>
          <w:color w:val="auto"/>
        </w:rPr>
      </w:pPr>
    </w:p>
    <w:p>
      <w:pPr>
        <w:spacing w:after="0"/>
        <w:tabs>
          <w:tab w:leader="none" w:pos="3840" w:val="left"/>
        </w:tabs>
        <w:rPr>
          <w:sz w:val="20"/>
          <w:szCs w:val="20"/>
          <w:color w:val="auto"/>
        </w:rPr>
      </w:pPr>
      <w:r>
        <w:rPr>
          <w:rFonts w:ascii="Arial" w:cs="Arial" w:eastAsia="Arial" w:hAnsi="Arial"/>
          <w:sz w:val="18"/>
          <w:szCs w:val="18"/>
          <w:color w:val="auto"/>
        </w:rPr>
        <w:t>registered assigns the principal sum of $[</w:t>
      </w:r>
      <w:r>
        <w:rPr>
          <w:sz w:val="20"/>
          <w:szCs w:val="20"/>
          <w:color w:val="auto"/>
        </w:rPr>
        <w:tab/>
      </w:r>
      <w:r>
        <w:rPr>
          <w:rFonts w:ascii="Arial" w:cs="Arial" w:eastAsia="Arial" w:hAnsi="Arial"/>
          <w:sz w:val="16"/>
          <w:szCs w:val="16"/>
          <w:color w:val="auto"/>
        </w:rPr>
        <w:t>] on September 4, 2029.</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Payment Dates: March 4 and September 4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March 4, 2020.</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Interest Record Dates: The 15</w:t>
      </w:r>
      <w:r>
        <w:rPr>
          <w:rFonts w:ascii="Arial" w:cs="Arial" w:eastAsia="Arial" w:hAnsi="Arial"/>
          <w:sz w:val="15"/>
          <w:szCs w:val="15"/>
          <w:color w:val="auto"/>
        </w:rPr>
        <w:t>th</w:t>
      </w:r>
      <w:r>
        <w:rPr>
          <w:rFonts w:ascii="Arial" w:cs="Arial" w:eastAsia="Arial" w:hAnsi="Arial"/>
          <w:sz w:val="18"/>
          <w:szCs w:val="18"/>
          <w:color w:val="auto"/>
        </w:rPr>
        <w:t xml:space="preserve"> calendar day immediately preceding the relevant Interest Payment Date (whether or not a business day)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1" w:name="page42"/>
    <w:bookmarkEnd w:id="4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Rafael R. Lizardi</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Alan C. Boyd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Muriel C. McFarling</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Assistant Secretary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 xml:space="preserve">U.S. BANK NATIONAL ASSOCIATION, </w:t>
      </w:r>
      <w:r>
        <w:rPr>
          <w:rFonts w:ascii="Arial" w:cs="Arial" w:eastAsia="Arial" w:hAnsi="Arial"/>
          <w:sz w:val="17"/>
          <w:szCs w:val="17"/>
          <w:color w:val="auto"/>
        </w:rPr>
        <w:t>as Trustee</w:t>
      </w: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K. Herberger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20"/>
          </w:cols>
          <w:pgMar w:left="440" w:top="274" w:right="8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2.250% Notes due 2029</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w:t>
      </w:r>
    </w:p>
    <w:p>
      <w:pPr>
        <w:spacing w:after="0" w:line="113" w:lineRule="exact"/>
        <w:rPr>
          <w:sz w:val="20"/>
          <w:szCs w:val="20"/>
          <w:color w:val="auto"/>
        </w:rPr>
      </w:pPr>
    </w:p>
    <w:p>
      <w:pPr>
        <w:jc w:val="both"/>
        <w:ind w:firstLine="441"/>
        <w:spacing w:after="0" w:line="293" w:lineRule="auto"/>
        <w:rPr>
          <w:sz w:val="20"/>
          <w:szCs w:val="20"/>
          <w:color w:val="auto"/>
        </w:rPr>
      </w:pPr>
      <w:r>
        <w:rPr>
          <w:rFonts w:ascii="Arial" w:cs="Arial" w:eastAsia="Arial" w:hAnsi="Arial"/>
          <w:sz w:val="16"/>
          <w:szCs w:val="16"/>
          <w:color w:val="auto"/>
        </w:rPr>
        <w:t>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Note at the rate per annum described above. Cash interest on the Notes will accrue from the most recent date to which interest has been paid; or, if no interest has been paid, from September 4,</w:t>
      </w:r>
    </w:p>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2019. Interest on this Note will be paid to but excluding the relevant Interest Payment Date. The Issuer will pay interest semi-annually in arrears on each Interest Payment Date, commencing March 4, 2020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279"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Paying Agent.</w:t>
      </w:r>
    </w:p>
    <w:p>
      <w:pPr>
        <w:spacing w:after="0" w:line="113"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Initially, U.S. Bank National Association (the “</w:t>
      </w:r>
      <w:r>
        <w:rPr>
          <w:rFonts w:ascii="Arial" w:cs="Arial" w:eastAsia="Arial" w:hAnsi="Arial"/>
          <w:sz w:val="18"/>
          <w:szCs w:val="18"/>
          <w:b w:val="1"/>
          <w:bCs w:val="1"/>
          <w:color w:val="auto"/>
        </w:rPr>
        <w:t>Trustee</w:t>
      </w:r>
      <w:r>
        <w:rPr>
          <w:rFonts w:ascii="Arial" w:cs="Arial" w:eastAsia="Arial" w:hAnsi="Arial"/>
          <w:sz w:val="18"/>
          <w:szCs w:val="18"/>
          <w:color w:val="auto"/>
        </w:rPr>
        <w:t>”) will act as paying agent. The Issuer may change any paying agent without notice to the holders (the “</w:t>
      </w:r>
      <w:r>
        <w:rPr>
          <w:rFonts w:ascii="Arial" w:cs="Arial" w:eastAsia="Arial" w:hAnsi="Arial"/>
          <w:sz w:val="18"/>
          <w:szCs w:val="18"/>
          <w:b w:val="1"/>
          <w:bCs w:val="1"/>
          <w:color w:val="auto"/>
        </w:rPr>
        <w:t>Holders</w:t>
      </w:r>
      <w:r>
        <w:rPr>
          <w:rFonts w:ascii="Arial" w:cs="Arial" w:eastAsia="Arial" w:hAnsi="Arial"/>
          <w:sz w:val="18"/>
          <w:szCs w:val="18"/>
          <w:color w:val="auto"/>
        </w:rPr>
        <w:t>”).</w:t>
      </w:r>
    </w:p>
    <w:p>
      <w:pPr>
        <w:spacing w:after="0" w:line="274"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Indenture; Defined Terms.</w:t>
      </w:r>
    </w:p>
    <w:p>
      <w:pPr>
        <w:spacing w:after="0" w:line="113" w:lineRule="exact"/>
        <w:rPr>
          <w:sz w:val="20"/>
          <w:szCs w:val="20"/>
          <w:color w:val="auto"/>
        </w:rPr>
      </w:pPr>
    </w:p>
    <w:p>
      <w:pPr>
        <w:ind w:right="80" w:firstLine="441"/>
        <w:spacing w:after="0" w:line="289" w:lineRule="auto"/>
        <w:rPr>
          <w:sz w:val="20"/>
          <w:szCs w:val="20"/>
          <w:color w:val="auto"/>
        </w:rPr>
      </w:pPr>
      <w:r>
        <w:rPr>
          <w:rFonts w:ascii="Arial" w:cs="Arial" w:eastAsia="Arial" w:hAnsi="Arial"/>
          <w:sz w:val="17"/>
          <w:szCs w:val="17"/>
          <w:color w:val="auto"/>
        </w:rPr>
        <w:t>This Note is one of the 2.250% Notes due 2029 (the “</w:t>
      </w:r>
      <w:r>
        <w:rPr>
          <w:rFonts w:ascii="Arial" w:cs="Arial" w:eastAsia="Arial" w:hAnsi="Arial"/>
          <w:sz w:val="17"/>
          <w:szCs w:val="17"/>
          <w:b w:val="1"/>
          <w:bCs w:val="1"/>
          <w:color w:val="auto"/>
        </w:rPr>
        <w:t>Notes</w:t>
      </w:r>
      <w:r>
        <w:rPr>
          <w:rFonts w:ascii="Arial" w:cs="Arial" w:eastAsia="Arial" w:hAnsi="Arial"/>
          <w:sz w:val="17"/>
          <w:szCs w:val="17"/>
          <w:color w:val="auto"/>
        </w:rPr>
        <w:t>”) issued under an indenture dated as of May 23, 2011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between the Issuer and the Trustee, and established pursuant to an Officers’ Certificate dated September 4, 2019, issued pursuant to Section 2.01 and Section 2.03 thereof (together, the “</w:t>
      </w:r>
      <w:r>
        <w:rPr>
          <w:rFonts w:ascii="Arial" w:cs="Arial" w:eastAsia="Arial" w:hAnsi="Arial"/>
          <w:sz w:val="17"/>
          <w:szCs w:val="17"/>
          <w:b w:val="1"/>
          <w:bCs w:val="1"/>
          <w:color w:val="auto"/>
        </w:rPr>
        <w:t>Indenture</w:t>
      </w:r>
      <w:r>
        <w:rPr>
          <w:rFonts w:ascii="Arial" w:cs="Arial" w:eastAsia="Arial" w:hAnsi="Arial"/>
          <w:sz w:val="17"/>
          <w:szCs w:val="17"/>
          <w:color w:val="auto"/>
        </w:rPr>
        <w:t>”). This Note is a “Security” and the Notes are “Securities” under the Indenture.</w:t>
      </w:r>
    </w:p>
    <w:p>
      <w:pPr>
        <w:spacing w:after="0" w:line="16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4" w:name="page45"/>
    <w:bookmarkEnd w:id="4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 Note are inconsistent, the terms of the Indenture shall govern, provided that, for purposes of this Note, Section 10.01(b)(C) of the Base Indenture is amended and restated as set forth below.</w:t>
      </w:r>
    </w:p>
    <w:p>
      <w:pPr>
        <w:spacing w:after="0" w:line="63" w:lineRule="exact"/>
        <w:rPr>
          <w:sz w:val="20"/>
          <w:szCs w:val="20"/>
          <w:color w:val="auto"/>
        </w:rPr>
      </w:pPr>
    </w:p>
    <w:p>
      <w:pPr>
        <w:ind w:left="440" w:right="40" w:firstLine="423"/>
        <w:spacing w:after="0" w:line="273" w:lineRule="auto"/>
        <w:rPr>
          <w:sz w:val="20"/>
          <w:szCs w:val="20"/>
          <w:color w:val="auto"/>
        </w:rPr>
      </w:pPr>
      <w:r>
        <w:rPr>
          <w:rFonts w:ascii="Arial" w:cs="Arial" w:eastAsia="Arial" w:hAnsi="Arial"/>
          <w:sz w:val="17"/>
          <w:szCs w:val="17"/>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287"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Denominations; Transfer; Exchange.</w:t>
      </w:r>
    </w:p>
    <w:p>
      <w:pPr>
        <w:spacing w:after="0" w:line="11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301"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Amendment; Supplement; Waiver.</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45" w:name="page46"/>
    <w:bookmarkEnd w:id="45"/>
    <w:p>
      <w:pPr>
        <w:ind w:left="44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w:t>
      </w:r>
      <w:r>
        <w:rPr>
          <w:sz w:val="20"/>
          <w:szCs w:val="20"/>
          <w:color w:val="auto"/>
        </w:rPr>
        <w:tab/>
      </w:r>
      <w:r>
        <w:rPr>
          <w:rFonts w:ascii="Arial" w:cs="Arial" w:eastAsia="Arial" w:hAnsi="Arial"/>
          <w:sz w:val="16"/>
          <w:szCs w:val="16"/>
          <w:color w:val="auto"/>
        </w:rPr>
        <w:t>Redemption.</w:t>
      </w:r>
    </w:p>
    <w:p>
      <w:pPr>
        <w:spacing w:after="0" w:line="117" w:lineRule="exact"/>
        <w:rPr>
          <w:sz w:val="20"/>
          <w:szCs w:val="20"/>
          <w:color w:val="auto"/>
        </w:rPr>
      </w:pPr>
    </w:p>
    <w:p>
      <w:pPr>
        <w:ind w:right="300" w:firstLine="444"/>
        <w:spacing w:after="0" w:line="264" w:lineRule="auto"/>
        <w:tabs>
          <w:tab w:leader="none" w:pos="68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June 4, 2029 (the date that is three months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181" w:lineRule="exact"/>
        <w:rPr>
          <w:sz w:val="20"/>
          <w:szCs w:val="20"/>
          <w:color w:val="auto"/>
        </w:rPr>
      </w:pPr>
    </w:p>
    <w:p>
      <w:pPr>
        <w:ind w:left="800" w:hanging="35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225" w:lineRule="exact"/>
        <w:rPr>
          <w:rFonts w:ascii="Arial" w:cs="Arial" w:eastAsia="Arial" w:hAnsi="Arial"/>
          <w:sz w:val="18"/>
          <w:szCs w:val="18"/>
          <w:color w:val="auto"/>
        </w:rPr>
      </w:pPr>
    </w:p>
    <w:p>
      <w:pPr>
        <w:ind w:right="40" w:firstLine="444"/>
        <w:spacing w:after="0" w:line="259" w:lineRule="auto"/>
        <w:tabs>
          <w:tab w:leader="none" w:pos="8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sum of the present values of the principal amount of such Notes and the scheduled payments of interest thereon (not including any portion of such payments of interest accrued as of the date of redemption) from the date of redemption to June 4, 2029 (the date that is three months prior to the maturity date of the Notes), in each case discounted to the date of redemption on a semi-annual basis (assuming a 360-day year consisting of twelve 30-day months) at the Treasury Rate (as defined below), plus 12.5 basis points,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firstLine="444"/>
        <w:spacing w:after="0" w:line="286" w:lineRule="auto"/>
        <w:tabs>
          <w:tab w:leader="none" w:pos="696"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any time on or after June 4, 2029 (the date that is three months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66"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76" w:lineRule="exact"/>
        <w:rPr>
          <w:sz w:val="20"/>
          <w:szCs w:val="20"/>
          <w:color w:val="auto"/>
        </w:rPr>
      </w:pPr>
    </w:p>
    <w:p>
      <w:pPr>
        <w:jc w:val="both"/>
        <w:ind w:right="2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6" w:name="page47"/>
    <w:bookmarkEnd w:id="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225"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(i) Barclays Capital Inc., BofA Securities, Inc. or J.P. Morgan Securities LLC (or their respective affiliates that are Primary Treasury Dealers)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80"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0"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29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Defaults and Remedies.</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7" w:name="page48"/>
    <w:bookmarkEnd w:id="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295"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Authentication.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333"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Abbreviations and Defined Terms.</w:t>
      </w:r>
    </w:p>
    <w:p>
      <w:pPr>
        <w:spacing w:after="0" w:line="11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28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CUSIP Numbers.</w:t>
      </w:r>
    </w:p>
    <w:p>
      <w:pPr>
        <w:spacing w:after="0" w:line="117" w:lineRule="exact"/>
        <w:rPr>
          <w:sz w:val="20"/>
          <w:szCs w:val="20"/>
          <w:color w:val="auto"/>
        </w:rPr>
      </w:pPr>
    </w:p>
    <w:p>
      <w:pPr>
        <w:jc w:val="both"/>
        <w:ind w:right="480" w:firstLine="441"/>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27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Governing Law.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8" w:name="page49"/>
    <w:bookmarkEnd w:id="48"/>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(Print or type assignee’s name, address and zip code)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and irrevocably appoint</w:t>
            </w:r>
          </w:p>
        </w:tc>
        <w:tc>
          <w:tcPr>
            <w:tcW w:w="8840" w:type="dxa"/>
            <w:vAlign w:val="bottom"/>
            <w:gridSpan w:val="4"/>
          </w:tcPr>
          <w:p>
            <w:pPr>
              <w:ind w:left="50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57"/>
        </w:trPr>
        <w:tc>
          <w:tcPr>
            <w:tcW w:w="5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r>
      <w:tr>
        <w:trPr>
          <w:trHeight w:val="493"/>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6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540" w:type="dxa"/>
            <w:vAlign w:val="bottom"/>
          </w:tcPr>
          <w:p>
            <w:pPr>
              <w:ind w:left="100"/>
              <w:spacing w:after="0"/>
              <w:rPr>
                <w:sz w:val="20"/>
                <w:szCs w:val="20"/>
                <w:color w:val="auto"/>
              </w:rPr>
            </w:pPr>
            <w:r>
              <w:rPr>
                <w:rFonts w:ascii="Arial" w:cs="Arial" w:eastAsia="Arial" w:hAnsi="Arial"/>
                <w:sz w:val="18"/>
                <w:szCs w:val="18"/>
                <w:color w:val="auto"/>
              </w:rPr>
              <w:t>Your Signature:</w:t>
            </w:r>
          </w:p>
        </w:tc>
        <w:tc>
          <w:tcPr>
            <w:tcW w:w="3840" w:type="dxa"/>
            <w:vAlign w:val="bottom"/>
            <w:tcBorders>
              <w:bottom w:val="single" w:sz="8" w:color="auto"/>
            </w:tcBorders>
          </w:tcPr>
          <w:p>
            <w:pPr>
              <w:spacing w:after="0"/>
              <w:rPr>
                <w:sz w:val="24"/>
                <w:szCs w:val="24"/>
                <w:color w:val="auto"/>
              </w:rPr>
            </w:pPr>
          </w:p>
        </w:tc>
        <w:tc>
          <w:tcPr>
            <w:tcW w:w="1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6997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203835</wp:posOffset>
            </wp:positionV>
            <wp:extent cx="307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4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23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8"/>
          <w:szCs w:val="18"/>
          <w:b w:val="1"/>
          <w:bCs w:val="1"/>
          <w:color w:val="auto"/>
        </w:rPr>
        <w:t>STAMP</w:t>
      </w:r>
      <w:r>
        <w:rPr>
          <w:rFonts w:ascii="Arial" w:cs="Arial" w:eastAsia="Arial" w:hAnsi="Arial"/>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153670</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440" w:top="274" w:right="419" w:bottom="1440" w:gutter="0" w:footer="0" w:header="0"/>
        </w:sectPr>
      </w:pPr>
    </w:p>
    <w:bookmarkStart w:id="49" w:name="page50"/>
    <w:bookmarkEnd w:id="49"/>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exchanges of a part of this Global Note for Physical Notes or a part of another Global Note have been made:</w:t>
      </w:r>
    </w:p>
    <w:p>
      <w:pPr>
        <w:sectPr>
          <w:pgSz w:w="11900" w:h="16838" w:orient="portrait"/>
          <w:cols w:equalWidth="0" w:num="1">
            <w:col w:w="10780"/>
          </w:cols>
          <w:pgMar w:left="440" w:top="274" w:right="679" w:bottom="1440" w:gutter="0" w:footer="0" w:header="0"/>
        </w:sectPr>
      </w:pPr>
    </w:p>
    <w:p>
      <w:pPr>
        <w:spacing w:after="0" w:line="200" w:lineRule="exact"/>
        <w:rPr>
          <w:sz w:val="20"/>
          <w:szCs w:val="20"/>
          <w:color w:val="auto"/>
        </w:rPr>
      </w:pPr>
    </w:p>
    <w:p>
      <w:pPr>
        <w:spacing w:after="0" w:line="351"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540" w:type="dxa"/>
            <w:vAlign w:val="bottom"/>
            <w:gridSpan w:val="3"/>
          </w:tcPr>
          <w:p>
            <w:pPr>
              <w:jc w:val="center"/>
              <w:ind w:left="1248"/>
              <w:spacing w:after="0"/>
              <w:rPr>
                <w:sz w:val="20"/>
                <w:szCs w:val="20"/>
                <w:color w:val="auto"/>
              </w:rPr>
            </w:pPr>
            <w:r>
              <w:rPr>
                <w:rFonts w:ascii="Arial" w:cs="Arial" w:eastAsia="Arial" w:hAnsi="Arial"/>
                <w:sz w:val="14"/>
                <w:szCs w:val="14"/>
                <w:b w:val="1"/>
                <w:bCs w:val="1"/>
                <w:color w:val="auto"/>
                <w:w w:val="90"/>
              </w:rPr>
              <w:t>Amount of decrease</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0"/>
              </w:rPr>
              <w:t>Date of Exchange</w:t>
            </w:r>
          </w:p>
        </w:tc>
        <w:tc>
          <w:tcPr>
            <w:tcW w:w="2540" w:type="dxa"/>
            <w:vAlign w:val="bottom"/>
            <w:gridSpan w:val="3"/>
          </w:tcPr>
          <w:p>
            <w:pPr>
              <w:jc w:val="center"/>
              <w:ind w:left="1248"/>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vMerge w:val="continue"/>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 of</w:t>
            </w:r>
          </w:p>
        </w:tc>
        <w:tc>
          <w:tcPr>
            <w:tcW w:w="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jc w:val="center"/>
              <w:ind w:right="1000"/>
              <w:spacing w:after="0"/>
              <w:rPr>
                <w:sz w:val="20"/>
                <w:szCs w:val="20"/>
                <w:color w:val="auto"/>
              </w:rPr>
            </w:pPr>
            <w:r>
              <w:rPr>
                <w:rFonts w:ascii="Arial" w:cs="Arial" w:eastAsia="Arial" w:hAnsi="Arial"/>
                <w:sz w:val="14"/>
                <w:szCs w:val="14"/>
                <w:b w:val="1"/>
                <w:bCs w:val="1"/>
                <w:color w:val="auto"/>
                <w:w w:val="91"/>
              </w:rPr>
              <w:t>Amount of increase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5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240" w:type="dxa"/>
            <w:vAlign w:val="bottom"/>
            <w:gridSpan w:val="3"/>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5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 principal amount</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decrease (or</w:t>
            </w:r>
          </w:p>
        </w:tc>
        <w:tc>
          <w:tcPr>
            <w:tcW w:w="5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 of</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 this Global Note</w:t>
            </w:r>
          </w:p>
        </w:tc>
        <w:tc>
          <w:tcPr>
            <w:tcW w:w="10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5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0</wp:posOffset>
            </wp:positionV>
            <wp:extent cx="699770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274320</wp:posOffset>
            </wp:positionV>
            <wp:extent cx="699770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60" w:space="720"/>
            <w:col w:w="5400"/>
          </w:cols>
          <w:pgMar w:left="440" w:top="274" w:right="67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780"/>
          </w:cols>
          <w:pgMar w:left="440" w:top="274" w:right="679" w:bottom="1440" w:gutter="0" w:footer="0" w:header="0"/>
          <w:type w:val="continuous"/>
        </w:sectPr>
      </w:pPr>
    </w:p>
    <w:bookmarkStart w:id="50" w:name="page51"/>
    <w:bookmarkEnd w:id="50"/>
    <w:p>
      <w:pPr>
        <w:ind w:left="10180"/>
        <w:spacing w:after="0"/>
        <w:rPr>
          <w:sz w:val="20"/>
          <w:szCs w:val="20"/>
          <w:color w:val="auto"/>
        </w:rPr>
      </w:pPr>
      <w:r>
        <w:rPr>
          <w:rFonts w:ascii="Arial" w:cs="Arial" w:eastAsia="Arial" w:hAnsi="Arial"/>
          <w:sz w:val="16"/>
          <w:szCs w:val="16"/>
          <w:b w:val="1"/>
          <w:bCs w:val="1"/>
          <w:color w:val="auto"/>
        </w:rPr>
        <w:t>Exhibit 5.1</w:t>
      </w:r>
    </w:p>
    <w:p>
      <w:pPr>
        <w:spacing w:after="0" w:line="280" w:lineRule="exact"/>
        <w:rPr>
          <w:sz w:val="20"/>
          <w:szCs w:val="20"/>
          <w:color w:val="auto"/>
        </w:rPr>
      </w:pPr>
    </w:p>
    <w:p>
      <w:pPr>
        <w:ind w:left="8500"/>
        <w:spacing w:after="0"/>
        <w:tabs>
          <w:tab w:leader="none" w:pos="10120" w:val="left"/>
        </w:tabs>
        <w:rPr>
          <w:sz w:val="20"/>
          <w:szCs w:val="20"/>
          <w:color w:val="auto"/>
        </w:rPr>
      </w:pPr>
      <w:r>
        <w:rPr>
          <w:rFonts w:ascii="Arial" w:cs="Arial" w:eastAsia="Arial" w:hAnsi="Arial"/>
          <w:sz w:val="16"/>
          <w:szCs w:val="16"/>
          <w:b w:val="1"/>
          <w:bCs w:val="1"/>
          <w:color w:val="auto"/>
        </w:rPr>
        <w:t>New York</w:t>
      </w:r>
      <w:r>
        <w:rPr>
          <w:sz w:val="20"/>
          <w:szCs w:val="20"/>
          <w:color w:val="auto"/>
        </w:rPr>
        <w:tab/>
      </w:r>
      <w:r>
        <w:rPr>
          <w:rFonts w:ascii="Arial" w:cs="Arial" w:eastAsia="Arial" w:hAnsi="Arial"/>
          <w:sz w:val="14"/>
          <w:szCs w:val="14"/>
          <w:b w:val="1"/>
          <w:bCs w:val="1"/>
          <w:color w:val="auto"/>
        </w:rPr>
        <w:t>Paris</w:t>
      </w:r>
    </w:p>
    <w:p>
      <w:pPr>
        <w:spacing w:after="0" w:line="26" w:lineRule="exact"/>
        <w:rPr>
          <w:sz w:val="20"/>
          <w:szCs w:val="20"/>
          <w:color w:val="auto"/>
        </w:rPr>
      </w:pPr>
    </w:p>
    <w:p>
      <w:pPr>
        <w:ind w:left="8500"/>
        <w:spacing w:after="0"/>
        <w:tabs>
          <w:tab w:leader="none" w:pos="10120" w:val="left"/>
        </w:tabs>
        <w:rPr>
          <w:sz w:val="20"/>
          <w:szCs w:val="20"/>
          <w:color w:val="auto"/>
        </w:rPr>
      </w:pPr>
      <w:r>
        <w:rPr>
          <w:rFonts w:ascii="Arial" w:cs="Arial" w:eastAsia="Arial" w:hAnsi="Arial"/>
          <w:sz w:val="16"/>
          <w:szCs w:val="16"/>
          <w:b w:val="1"/>
          <w:bCs w:val="1"/>
          <w:color w:val="auto"/>
        </w:rPr>
        <w:t>Northern California</w:t>
        <w:tab/>
        <w:t>Madrid</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Arial" w:cs="Arial" w:eastAsia="Arial" w:hAnsi="Arial"/>
          <w:sz w:val="16"/>
          <w:szCs w:val="16"/>
          <w:b w:val="1"/>
          <w:bCs w:val="1"/>
          <w:color w:val="auto"/>
        </w:rPr>
        <w:t>Washington DC</w:t>
      </w:r>
      <w:r>
        <w:rPr>
          <w:sz w:val="20"/>
          <w:szCs w:val="20"/>
          <w:color w:val="auto"/>
        </w:rPr>
        <w:tab/>
      </w:r>
      <w:r>
        <w:rPr>
          <w:rFonts w:ascii="Arial" w:cs="Arial" w:eastAsia="Arial" w:hAnsi="Arial"/>
          <w:sz w:val="14"/>
          <w:szCs w:val="14"/>
          <w:b w:val="1"/>
          <w:bCs w:val="1"/>
          <w:color w:val="auto"/>
        </w:rPr>
        <w:t>Tokyo</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Arial" w:cs="Arial" w:eastAsia="Arial" w:hAnsi="Arial"/>
          <w:sz w:val="16"/>
          <w:szCs w:val="16"/>
          <w:b w:val="1"/>
          <w:bCs w:val="1"/>
          <w:color w:val="auto"/>
        </w:rPr>
        <w:t>São Paulo</w:t>
      </w:r>
      <w:r>
        <w:rPr>
          <w:sz w:val="20"/>
          <w:szCs w:val="20"/>
          <w:color w:val="auto"/>
        </w:rPr>
        <w:tab/>
      </w:r>
      <w:r>
        <w:rPr>
          <w:rFonts w:ascii="Arial" w:cs="Arial" w:eastAsia="Arial" w:hAnsi="Arial"/>
          <w:sz w:val="14"/>
          <w:szCs w:val="14"/>
          <w:b w:val="1"/>
          <w:bCs w:val="1"/>
          <w:color w:val="auto"/>
        </w:rPr>
        <w:t>Beijing</w:t>
      </w:r>
    </w:p>
    <w:p>
      <w:pPr>
        <w:spacing w:after="0" w:line="19" w:lineRule="exact"/>
        <w:rPr>
          <w:sz w:val="20"/>
          <w:szCs w:val="20"/>
          <w:color w:val="auto"/>
        </w:rPr>
      </w:pPr>
    </w:p>
    <w:p>
      <w:pPr>
        <w:ind w:left="8500"/>
        <w:spacing w:after="0"/>
        <w:tabs>
          <w:tab w:leader="none" w:pos="10120" w:val="left"/>
        </w:tabs>
        <w:rPr>
          <w:sz w:val="20"/>
          <w:szCs w:val="20"/>
          <w:color w:val="auto"/>
        </w:rPr>
      </w:pPr>
      <w:r>
        <w:rPr>
          <w:rFonts w:ascii="Arial" w:cs="Arial" w:eastAsia="Arial" w:hAnsi="Arial"/>
          <w:sz w:val="16"/>
          <w:szCs w:val="16"/>
          <w:b w:val="1"/>
          <w:bCs w:val="1"/>
          <w:color w:val="auto"/>
        </w:rPr>
        <w:t>London</w:t>
      </w:r>
      <w:r>
        <w:rPr>
          <w:sz w:val="20"/>
          <w:szCs w:val="20"/>
          <w:color w:val="auto"/>
        </w:rPr>
        <w:tab/>
      </w:r>
      <w:r>
        <w:rPr>
          <w:rFonts w:ascii="Arial" w:cs="Arial" w:eastAsia="Arial" w:hAnsi="Arial"/>
          <w:sz w:val="16"/>
          <w:szCs w:val="16"/>
          <w:b w:val="1"/>
          <w:bCs w:val="1"/>
          <w:color w:val="auto"/>
        </w:rPr>
        <w:t>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1346200" cy="3860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3462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Arial" w:cs="Arial" w:eastAsia="Arial" w:hAnsi="Arial"/>
                <w:sz w:val="16"/>
                <w:szCs w:val="16"/>
                <w:b w:val="1"/>
                <w:bCs w:val="1"/>
                <w:color w:val="auto"/>
              </w:rPr>
              <w:t xml:space="preserve">Davis Polk &amp; Wardwell </w:t>
            </w:r>
            <w:r>
              <w:rPr>
                <w:rFonts w:ascii="Arial" w:cs="Arial" w:eastAsia="Arial" w:hAnsi="Arial"/>
                <w:sz w:val="13"/>
                <w:szCs w:val="13"/>
                <w:b w:val="1"/>
                <w:bCs w:val="1"/>
                <w:color w:val="auto"/>
              </w:rPr>
              <w:t>LLP</w:t>
            </w:r>
          </w:p>
        </w:tc>
        <w:tc>
          <w:tcPr>
            <w:tcW w:w="1340" w:type="dxa"/>
            <w:vAlign w:val="bottom"/>
          </w:tcPr>
          <w:p>
            <w:pPr>
              <w:ind w:left="200"/>
              <w:spacing w:after="0"/>
              <w:rPr>
                <w:sz w:val="20"/>
                <w:szCs w:val="20"/>
                <w:color w:val="auto"/>
              </w:rPr>
            </w:pPr>
            <w:r>
              <w:rPr>
                <w:rFonts w:ascii="Arial" w:cs="Arial" w:eastAsia="Arial" w:hAnsi="Arial"/>
                <w:sz w:val="16"/>
                <w:szCs w:val="16"/>
                <w:b w:val="1"/>
                <w:bCs w:val="1"/>
                <w:color w:val="auto"/>
                <w:w w:val="92"/>
              </w:rPr>
              <w:t>650 752 2000 tel</w:t>
            </w:r>
          </w:p>
        </w:tc>
      </w:tr>
      <w:tr>
        <w:trPr>
          <w:trHeight w:val="203"/>
        </w:trPr>
        <w:tc>
          <w:tcPr>
            <w:tcW w:w="2140" w:type="dxa"/>
            <w:vAlign w:val="bottom"/>
          </w:tcPr>
          <w:p>
            <w:pPr>
              <w:spacing w:after="0"/>
              <w:rPr>
                <w:sz w:val="20"/>
                <w:szCs w:val="20"/>
                <w:color w:val="auto"/>
              </w:rPr>
            </w:pPr>
            <w:r>
              <w:rPr>
                <w:rFonts w:ascii="Arial" w:cs="Arial" w:eastAsia="Arial" w:hAnsi="Arial"/>
                <w:sz w:val="16"/>
                <w:szCs w:val="16"/>
                <w:b w:val="1"/>
                <w:bCs w:val="1"/>
                <w:color w:val="auto"/>
              </w:rPr>
              <w:t>1600 El Camino Real</w:t>
            </w:r>
          </w:p>
        </w:tc>
        <w:tc>
          <w:tcPr>
            <w:tcW w:w="1340" w:type="dxa"/>
            <w:vAlign w:val="bottom"/>
          </w:tcPr>
          <w:p>
            <w:pPr>
              <w:ind w:left="200"/>
              <w:spacing w:after="0"/>
              <w:rPr>
                <w:sz w:val="20"/>
                <w:szCs w:val="20"/>
                <w:color w:val="auto"/>
              </w:rPr>
            </w:pPr>
            <w:r>
              <w:rPr>
                <w:rFonts w:ascii="Arial" w:cs="Arial" w:eastAsia="Arial" w:hAnsi="Arial"/>
                <w:sz w:val="16"/>
                <w:szCs w:val="16"/>
                <w:b w:val="1"/>
                <w:bCs w:val="1"/>
                <w:color w:val="auto"/>
                <w:w w:val="89"/>
              </w:rPr>
              <w:t>650 752 2111 fax</w:t>
            </w:r>
          </w:p>
        </w:tc>
      </w:tr>
      <w:tr>
        <w:trPr>
          <w:trHeight w:val="210"/>
        </w:trPr>
        <w:tc>
          <w:tcPr>
            <w:tcW w:w="2140" w:type="dxa"/>
            <w:vAlign w:val="bottom"/>
          </w:tcPr>
          <w:p>
            <w:pPr>
              <w:spacing w:after="0"/>
              <w:rPr>
                <w:sz w:val="20"/>
                <w:szCs w:val="20"/>
                <w:color w:val="auto"/>
              </w:rPr>
            </w:pPr>
            <w:r>
              <w:rPr>
                <w:rFonts w:ascii="Arial" w:cs="Arial" w:eastAsia="Arial" w:hAnsi="Arial"/>
                <w:sz w:val="16"/>
                <w:szCs w:val="16"/>
                <w:b w:val="1"/>
                <w:bCs w:val="1"/>
                <w:color w:val="auto"/>
              </w:rPr>
              <w:t>Menlo Park, CA 94025</w:t>
            </w:r>
          </w:p>
        </w:tc>
        <w:tc>
          <w:tcPr>
            <w:tcW w:w="134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offering of $750,000,000 aggregate principal amount of 2.250% Notes due 2029 (the “</w:t>
      </w:r>
      <w:r>
        <w:rPr>
          <w:rFonts w:ascii="Arial" w:cs="Arial" w:eastAsia="Arial" w:hAnsi="Arial"/>
          <w:sz w:val="17"/>
          <w:szCs w:val="17"/>
          <w:b w:val="1"/>
          <w:bCs w:val="1"/>
          <w:color w:val="auto"/>
        </w:rPr>
        <w:t>Notes</w:t>
      </w:r>
      <w:r>
        <w:rPr>
          <w:rFonts w:ascii="Arial" w:cs="Arial" w:eastAsia="Arial" w:hAnsi="Arial"/>
          <w:sz w:val="17"/>
          <w:szCs w:val="17"/>
          <w:color w:val="auto"/>
        </w:rPr>
        <w:t>”) in an underwritten public offering pursuant to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underwriting agreement dated August 26, 2019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Barclays Capital Inc., BofA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J.P. Morgan Securities LLC (the “</w:t>
      </w:r>
      <w:r>
        <w:rPr>
          <w:rFonts w:ascii="Arial" w:cs="Arial" w:eastAsia="Arial" w:hAnsi="Arial"/>
          <w:sz w:val="18"/>
          <w:szCs w:val="18"/>
          <w:b w:val="1"/>
          <w:bCs w:val="1"/>
          <w:color w:val="auto"/>
        </w:rPr>
        <w:t>Representatives</w:t>
      </w:r>
      <w:r>
        <w:rPr>
          <w:rFonts w:ascii="Arial" w:cs="Arial" w:eastAsia="Arial" w:hAnsi="Arial"/>
          <w:sz w:val="18"/>
          <w:szCs w:val="18"/>
          <w:color w:val="auto"/>
        </w:rPr>
        <w:t>”), as representatives of the several underwriters listed in Schedule II thereto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 as Trustee, and an Officers’ Certificate to be issued pursuant thereto on or about September 4, 2019.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Securities and Exchange Commission a Registration Statement on Form S-3 (File No. 333-229797,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certain securities, including the Notes.</w:t>
      </w:r>
    </w:p>
    <w:p>
      <w:pPr>
        <w:spacing w:after="0" w:line="2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w:t>
      </w:r>
    </w:p>
    <w:p>
      <w:pPr>
        <w:sectPr>
          <w:pgSz w:w="11900" w:h="16838" w:orient="portrait"/>
          <w:cols w:equalWidth="0" w:num="1">
            <w:col w:w="11020"/>
          </w:cols>
          <w:pgMar w:left="440" w:top="121" w:right="439" w:bottom="1440" w:gutter="0" w:footer="0" w:header="0"/>
        </w:sectPr>
      </w:pPr>
    </w:p>
    <w:bookmarkStart w:id="51" w:name="page52"/>
    <w:bookmarkEnd w:id="51"/>
    <w:p>
      <w:pPr>
        <w:spacing w:after="0"/>
        <w:tabs>
          <w:tab w:leader="none" w:pos="5680" w:val="left"/>
          <w:tab w:leader="none" w:pos="96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Texas Instruments Incorporated</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September 4, 2019</w:t>
      </w:r>
    </w:p>
    <w:p>
      <w:pPr>
        <w:spacing w:after="0" w:line="158"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67"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71"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04"/>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lowerLetter"/>
      <w:start w:val="1"/>
    </w:lvl>
  </w:abstractNum>
  <w:abstractNum w:abstractNumId="4">
    <w:nsid w:val="62BBD9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
    <w:nsid w:val="436C6125"/>
    <w:multiLevelType w:val="hybridMultilevel"/>
    <w:lvl w:ilvl="0">
      <w:lvlJc w:val="left"/>
      <w:lvlText w:val="(%1)"/>
      <w:numFmt w:val="lowerRoman"/>
      <w:start w:val="7"/>
    </w:lvl>
    <w:lvl w:ilvl="1">
      <w:lvlJc w:val="left"/>
      <w:lvlText w:val="(%2)"/>
      <w:numFmt w:val="upperLetter"/>
      <w:start w:val="1"/>
    </w:lvl>
  </w:abstractNum>
  <w:abstractNum w:abstractNumId="6">
    <w:nsid w:val="628C895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
    <w:nsid w:val="333AB105"/>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
    <w:nsid w:val="721DA317"/>
    <w:multiLevelType w:val="hybridMultilevel"/>
    <w:lvl w:ilvl="0">
      <w:lvlJc w:val="left"/>
      <w:lvlText w:val="%1"/>
      <w:numFmt w:val="lowerRoman"/>
      <w:start w:val="1"/>
    </w:lvl>
    <w:lvl w:ilvl="1">
      <w:lvlJc w:val="left"/>
      <w:lvlText w:val="(%2)"/>
      <w:numFmt w:val="upperLetter"/>
      <w:start w:val="3"/>
    </w:lvl>
  </w:abstractNum>
  <w:abstractNum w:abstractNumId="9">
    <w:nsid w:val="2443A858"/>
    <w:multiLevelType w:val="hybridMultilevel"/>
    <w:lvl w:ilvl="0">
      <w:lvlJc w:val="left"/>
      <w:lvlText w:val="(%1)"/>
      <w:numFmt w:val="lowerRoman"/>
      <w:start w:val="3"/>
    </w:lvl>
    <w:lvl w:ilvl="1">
      <w:lvlJc w:val="left"/>
      <w:lvlText w:val="(%2)"/>
      <w:numFmt w:val="upperLetter"/>
      <w:start w:val="1"/>
    </w:lvl>
  </w:abstractNum>
  <w:abstractNum w:abstractNumId="10">
    <w:nsid w:val="2D1D5AE9"/>
    <w:multiLevelType w:val="hybridMultilevel"/>
    <w:lvl w:ilvl="0">
      <w:lvlJc w:val="left"/>
      <w:lvlText w:val="(%1)"/>
      <w:numFmt w:val="lowerRoman"/>
      <w:start w:val="8"/>
    </w:lvl>
    <w:lvl w:ilvl="1">
      <w:lvlJc w:val="left"/>
      <w:lvlText w:val="(%2)"/>
      <w:numFmt w:val="upperLetter"/>
      <w:start w:val="1"/>
    </w:lvl>
  </w:abstractNum>
  <w:abstractNum w:abstractNumId="11">
    <w:nsid w:val="676384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
    <w:nsid w:val="75A2A8D4"/>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3">
    <w:nsid w:val="8EDBDA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
    <w:nsid w:val="79838CB2"/>
    <w:multiLevelType w:val="hybridMultilevel"/>
    <w:lvl w:ilvl="0">
      <w:lvlJc w:val="left"/>
      <w:lvlText w:val="(%1)"/>
      <w:numFmt w:val="lowerLetter"/>
      <w:start w:val="5"/>
    </w:lvl>
  </w:abstractNum>
  <w:abstractNum w:abstractNumId="15">
    <w:nsid w:val="4353D0CD"/>
    <w:multiLevelType w:val="hybridMultilevel"/>
    <w:lvl w:ilvl="0">
      <w:lvlJc w:val="left"/>
      <w:lvlText w:val="(%1)"/>
      <w:numFmt w:val="lowerLetter"/>
      <w:start w:val="6"/>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1)"/>
      <w:numFmt w:val="lowerLetter"/>
      <w:start w:val="6"/>
    </w:lvl>
  </w:abstractNum>
  <w:abstractNum w:abstractNumId="18">
    <w:nsid w:val="54E49EB4"/>
    <w:multiLevelType w:val="hybridMultilevel"/>
    <w:lvl w:ilvl="0">
      <w:lvlJc w:val="left"/>
      <w:lvlText w:val="(%1)"/>
      <w:numFmt w:val="lowerLetter"/>
      <w:start w:val="9"/>
    </w:lvl>
  </w:abstractNum>
  <w:abstractNum w:abstractNumId="19">
    <w:nsid w:val="71F32454"/>
    <w:multiLevelType w:val="hybridMultilevel"/>
    <w:lvl w:ilvl="0">
      <w:lvlJc w:val="left"/>
      <w:lvlText w:val="%1"/>
      <w:numFmt w:val="lowerLetter"/>
      <w:start w:val="1"/>
    </w:lvl>
    <w:lvl w:ilvl="1">
      <w:lvlJc w:val="left"/>
      <w:lvlText w:val="(%2)"/>
      <w:numFmt w:val="lowerLetter"/>
      <w:start w:val="14"/>
    </w:lvl>
  </w:abstractNum>
  <w:abstractNum w:abstractNumId="20">
    <w:nsid w:val="2CA88611"/>
    <w:multiLevelType w:val="hybridMultilevel"/>
    <w:lvl w:ilvl="0">
      <w:lvlJc w:val="left"/>
      <w:lvlText w:val="(%1)"/>
      <w:numFmt w:val="lowerLetter"/>
      <w:start w:val="22"/>
    </w:lvl>
    <w:lvl w:ilvl="1">
      <w:lvlJc w:val="left"/>
      <w:lvlText w:val="%2"/>
      <w:numFmt w:val="lowerLetter"/>
      <w:start w:val="1"/>
    </w:lvl>
  </w:abstractNum>
  <w:abstractNum w:abstractNumId="21">
    <w:nsid w:val="836C40E"/>
    <w:multiLevelType w:val="hybridMultilevel"/>
    <w:lvl w:ilvl="0">
      <w:lvlJc w:val="left"/>
      <w:lvlText w:val="(%1)"/>
      <w:numFmt w:val="lowerLetter"/>
      <w:start w:val="1"/>
    </w:lvl>
  </w:abstractNum>
  <w:abstractNum w:abstractNumId="22">
    <w:nsid w:val="2901D82"/>
    <w:multiLevelType w:val="hybridMultilevel"/>
    <w:lvl w:ilvl="0">
      <w:lvlJc w:val="left"/>
      <w:lvlText w:val="(%1)"/>
      <w:numFmt w:val="lowerLetter"/>
      <w:start w:val="2"/>
    </w:lvl>
  </w:abstractNum>
  <w:abstractNum w:abstractNumId="23">
    <w:nsid w:val="3A95F874"/>
    <w:multiLevelType w:val="hybridMultilevel"/>
    <w:lvl w:ilvl="0">
      <w:lvlJc w:val="left"/>
      <w:lvlText w:val="(%1)"/>
      <w:numFmt w:val="lowerLetter"/>
      <w:start w:val="4"/>
    </w:lvl>
  </w:abstractNum>
  <w:abstractNum w:abstractNumId="24">
    <w:nsid w:val="8138641"/>
    <w:multiLevelType w:val="hybridMultilevel"/>
    <w:lvl w:ilvl="0">
      <w:lvlJc w:val="left"/>
      <w:lvlText w:val="%1"/>
      <w:numFmt w:val="decimal"/>
      <w:start w:val="1"/>
    </w:lvl>
    <w:lvl w:ilvl="1">
      <w:lvlJc w:val="left"/>
      <w:lvlText w:val="(%2)"/>
      <w:numFmt w:val="lowerLetter"/>
      <w:start w:val="9"/>
    </w:lvl>
  </w:abstractNum>
  <w:abstractNum w:abstractNumId="25">
    <w:nsid w:val="1E7FF521"/>
    <w:multiLevelType w:val="hybridMultilevel"/>
    <w:lvl w:ilvl="0">
      <w:lvlJc w:val="left"/>
      <w:lvlText w:val="(%1)"/>
      <w:numFmt w:val="decimal"/>
      <w:start w:val="2"/>
    </w:lvl>
    <w:lvl w:ilvl="1">
      <w:lvlJc w:val="left"/>
      <w:lvlText w:val="(%2)"/>
      <w:numFmt w:val="lowerLetter"/>
      <w:start w:val="11"/>
    </w:lvl>
  </w:abstractNum>
  <w:abstractNum w:abstractNumId="26">
    <w:nsid w:val="7C3DBD3D"/>
    <w:multiLevelType w:val="hybridMultilevel"/>
    <w:lvl w:ilvl="0">
      <w:lvlJc w:val="left"/>
      <w:lvlText w:val="(%1)"/>
      <w:numFmt w:val="lowerLetter"/>
      <w:start w:val="14"/>
    </w:lvl>
  </w:abstractNum>
  <w:abstractNum w:abstractNumId="27">
    <w:nsid w:val="737B8DDC"/>
    <w:multiLevelType w:val="hybridMultilevel"/>
    <w:lvl w:ilvl="0">
      <w:lvlJc w:val="left"/>
      <w:lvlText w:val="(%1)"/>
      <w:numFmt w:val="lowerRoman"/>
      <w:start w:val="2"/>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lvl w:ilvl="1">
      <w:lvlJc w:val="left"/>
      <w:lvlText w:val="(%2)"/>
      <w:numFmt w:val="lowerLetter"/>
      <w:start w:val="3"/>
    </w:lvl>
  </w:abstractNum>
  <w:abstractNum w:abstractNumId="31">
    <w:nsid w:val="3006C83E"/>
    <w:multiLevelType w:val="hybridMultilevel"/>
    <w:lvl w:ilvl="0">
      <w:lvlJc w:val="left"/>
      <w:lvlText w:val="(%1)"/>
      <w:numFmt w:val="lowerLetter"/>
      <w:start w:val="35"/>
    </w:lvl>
    <w:lvl w:ilvl="1">
      <w:lvlJc w:val="left"/>
      <w:lvlText w:val="%2"/>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lowerRoman"/>
      <w:start w:val="1"/>
    </w:lvl>
  </w:abstractNum>
  <w:abstractNum w:abstractNumId="34">
    <w:nsid w:val="5577F8E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17" Type="http://schemas.openxmlformats.org/officeDocument/2006/relationships/hyperlink" Target="http://www.sec.gov/Archives/edgar/data/97476/00011931251114710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2019-12-28T06:23:40Z</dcterms:created>
  <dcterms:modified xsi:type="dcterms:W3CDTF">2019-12-28T06:23:40Z</dcterms:modified>
</cp:coreProperties>
</file>