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 w:lineRule="exact"/>
        <w:rPr>
          <w:sz w:val="24"/>
          <w:szCs w:val="24"/>
          <w:color w:val="auto"/>
        </w:rPr>
      </w:pPr>
    </w:p>
    <w:p>
      <w:pPr>
        <w:ind w:left="228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00" w:lineRule="exact"/>
        <w:rPr>
          <w:sz w:val="24"/>
          <w:szCs w:val="24"/>
          <w:color w:val="auto"/>
        </w:rPr>
      </w:pPr>
    </w:p>
    <w:p>
      <w:pPr>
        <w:spacing w:after="0" w:line="201" w:lineRule="exact"/>
        <w:rPr>
          <w:sz w:val="24"/>
          <w:szCs w:val="24"/>
          <w:color w:val="auto"/>
        </w:rPr>
      </w:pPr>
    </w:p>
    <w:p>
      <w:pPr>
        <w:ind w:left="3200"/>
        <w:spacing w:after="0"/>
        <w:rPr>
          <w:sz w:val="20"/>
          <w:szCs w:val="20"/>
          <w:color w:val="auto"/>
        </w:rPr>
      </w:pPr>
      <w:r>
        <w:rPr>
          <w:rFonts w:ascii="Courier New" w:cs="Courier New" w:eastAsia="Courier New" w:hAnsi="Courier New"/>
          <w:sz w:val="17"/>
          <w:szCs w:val="17"/>
          <w:color w:val="auto"/>
        </w:rPr>
        <w:t>Washington, D.C.</w:t>
      </w:r>
    </w:p>
    <w:p>
      <w:pPr>
        <w:spacing w:after="0" w:line="203" w:lineRule="exact"/>
        <w:rPr>
          <w:sz w:val="24"/>
          <w:szCs w:val="24"/>
          <w:color w:val="auto"/>
        </w:rPr>
      </w:pPr>
    </w:p>
    <w:p>
      <w:pPr>
        <w:ind w:left="3720"/>
        <w:spacing w:after="0"/>
        <w:rPr>
          <w:sz w:val="20"/>
          <w:szCs w:val="20"/>
          <w:color w:val="auto"/>
        </w:rPr>
      </w:pPr>
      <w:r>
        <w:rPr>
          <w:rFonts w:ascii="Courier New" w:cs="Courier New" w:eastAsia="Courier New" w:hAnsi="Courier New"/>
          <w:sz w:val="17"/>
          <w:szCs w:val="17"/>
          <w:color w:val="auto"/>
        </w:rPr>
        <w:t>20549</w:t>
      </w:r>
    </w:p>
    <w:p>
      <w:pPr>
        <w:spacing w:after="0" w:line="200" w:lineRule="exact"/>
        <w:rPr>
          <w:sz w:val="24"/>
          <w:szCs w:val="24"/>
          <w:color w:val="auto"/>
        </w:rPr>
      </w:pPr>
    </w:p>
    <w:p>
      <w:pPr>
        <w:spacing w:after="0" w:line="399" w:lineRule="exact"/>
        <w:rPr>
          <w:sz w:val="24"/>
          <w:szCs w:val="24"/>
          <w:color w:val="auto"/>
        </w:rPr>
      </w:pPr>
    </w:p>
    <w:p>
      <w:pPr>
        <w:ind w:left="3500"/>
        <w:spacing w:after="0"/>
        <w:rPr>
          <w:sz w:val="20"/>
          <w:szCs w:val="20"/>
          <w:color w:val="auto"/>
        </w:rPr>
      </w:pPr>
      <w:r>
        <w:rPr>
          <w:rFonts w:ascii="Courier New" w:cs="Courier New" w:eastAsia="Courier New" w:hAnsi="Courier New"/>
          <w:sz w:val="17"/>
          <w:szCs w:val="17"/>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ind w:right="2179"/>
        <w:spacing w:after="0"/>
        <w:rPr>
          <w:sz w:val="20"/>
          <w:szCs w:val="20"/>
          <w:color w:val="auto"/>
        </w:rPr>
      </w:pPr>
      <w:r>
        <w:rPr>
          <w:rFonts w:ascii="Courier New" w:cs="Courier New" w:eastAsia="Courier New" w:hAnsi="Courier New"/>
          <w:sz w:val="17"/>
          <w:szCs w:val="17"/>
          <w:color w:val="auto"/>
        </w:rPr>
        <w:t>QUARTERLY REPORT UNDER SECTION 13 or 15(d)</w:t>
      </w:r>
    </w:p>
    <w:p>
      <w:pPr>
        <w:spacing w:after="0" w:line="5" w:lineRule="exact"/>
        <w:rPr>
          <w:sz w:val="24"/>
          <w:szCs w:val="24"/>
          <w:color w:val="auto"/>
        </w:rPr>
      </w:pPr>
    </w:p>
    <w:p>
      <w:pPr>
        <w:jc w:val="center"/>
        <w:ind w:right="2179"/>
        <w:spacing w:after="0"/>
        <w:rPr>
          <w:sz w:val="20"/>
          <w:szCs w:val="20"/>
          <w:color w:val="auto"/>
        </w:rPr>
      </w:pPr>
      <w:r>
        <w:rPr>
          <w:rFonts w:ascii="Courier New" w:cs="Courier New" w:eastAsia="Courier New" w:hAnsi="Courier New"/>
          <w:sz w:val="17"/>
          <w:szCs w:val="17"/>
          <w:color w:val="auto"/>
        </w:rPr>
        <w:t>OF THE SECURITIES EXCHANGE ACT OF 1934</w:t>
      </w:r>
    </w:p>
    <w:p>
      <w:pPr>
        <w:spacing w:after="0" w:line="200" w:lineRule="exact"/>
        <w:rPr>
          <w:sz w:val="24"/>
          <w:szCs w:val="24"/>
          <w:color w:val="auto"/>
        </w:rPr>
      </w:pPr>
    </w:p>
    <w:p>
      <w:pPr>
        <w:spacing w:after="0" w:line="201" w:lineRule="exact"/>
        <w:rPr>
          <w:sz w:val="24"/>
          <w:szCs w:val="24"/>
          <w:color w:val="auto"/>
        </w:rPr>
      </w:pPr>
    </w:p>
    <w:p>
      <w:pPr>
        <w:spacing w:after="0"/>
        <w:tabs>
          <w:tab w:leader="none" w:pos="4920" w:val="left"/>
        </w:tabs>
        <w:rPr>
          <w:sz w:val="20"/>
          <w:szCs w:val="20"/>
          <w:color w:val="auto"/>
        </w:rPr>
      </w:pPr>
      <w:r>
        <w:rPr>
          <w:rFonts w:ascii="Courier New" w:cs="Courier New" w:eastAsia="Courier New" w:hAnsi="Courier New"/>
          <w:sz w:val="17"/>
          <w:szCs w:val="17"/>
          <w:color w:val="auto"/>
        </w:rPr>
        <w:t>For Quarter Ended September 30, 1997</w:t>
      </w:r>
      <w:r>
        <w:rPr>
          <w:sz w:val="20"/>
          <w:szCs w:val="20"/>
          <w:color w:val="auto"/>
        </w:rPr>
        <w:tab/>
      </w:r>
      <w:r>
        <w:rPr>
          <w:rFonts w:ascii="Courier New" w:cs="Courier New" w:eastAsia="Courier New" w:hAnsi="Courier New"/>
          <w:sz w:val="17"/>
          <w:szCs w:val="17"/>
          <w:color w:val="auto"/>
        </w:rPr>
        <w:t>Commission File Number 1-3761</w:t>
      </w:r>
    </w:p>
    <w:p>
      <w:pPr>
        <w:spacing w:after="0" w:line="200" w:lineRule="exact"/>
        <w:rPr>
          <w:sz w:val="24"/>
          <w:szCs w:val="24"/>
          <w:color w:val="auto"/>
        </w:rPr>
      </w:pPr>
    </w:p>
    <w:p>
      <w:pPr>
        <w:spacing w:after="0" w:line="399" w:lineRule="exact"/>
        <w:rPr>
          <w:sz w:val="24"/>
          <w:szCs w:val="24"/>
          <w:color w:val="auto"/>
        </w:rPr>
      </w:pPr>
    </w:p>
    <w:p>
      <w:pPr>
        <w:jc w:val="center"/>
        <w:ind w:right="2179"/>
        <w:spacing w:after="0"/>
        <w:rPr>
          <w:sz w:val="20"/>
          <w:szCs w:val="20"/>
          <w:color w:val="auto"/>
        </w:rPr>
      </w:pPr>
      <w:r>
        <w:rPr>
          <w:rFonts w:ascii="Courier New" w:cs="Courier New" w:eastAsia="Courier New" w:hAnsi="Courier New"/>
          <w:sz w:val="17"/>
          <w:szCs w:val="17"/>
          <w:color w:val="auto"/>
        </w:rPr>
        <w:t>TEXAS INSTRUMENTS INCORPORATED</w:t>
      </w:r>
    </w:p>
    <w:p>
      <w:pPr>
        <w:spacing w:after="0" w:line="5" w:lineRule="exact"/>
        <w:rPr>
          <w:sz w:val="24"/>
          <w:szCs w:val="24"/>
          <w:color w:val="auto"/>
        </w:rPr>
      </w:pPr>
    </w:p>
    <w:p>
      <w:pPr>
        <w:ind w:left="12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ind w:left="124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75" w:orient="portrait"/>
          <w:cols w:equalWidth="0" w:num="1">
            <w:col w:w="10219"/>
          </w:cols>
          <w:pgMar w:left="240" w:top="445" w:right="1440" w:bottom="0" w:gutter="0" w:footer="0" w:header="0"/>
        </w:sectPr>
      </w:pPr>
    </w:p>
    <w:p>
      <w:pPr>
        <w:spacing w:after="0" w:line="200" w:lineRule="exact"/>
        <w:rPr>
          <w:sz w:val="24"/>
          <w:szCs w:val="24"/>
          <w:color w:val="auto"/>
        </w:rPr>
      </w:pPr>
    </w:p>
    <w:p>
      <w:pPr>
        <w:spacing w:after="0" w:line="399" w:lineRule="exact"/>
        <w:rPr>
          <w:sz w:val="24"/>
          <w:szCs w:val="24"/>
          <w:color w:val="auto"/>
        </w:rPr>
      </w:pPr>
    </w:p>
    <w:p>
      <w:pPr>
        <w:ind w:left="820"/>
        <w:spacing w:after="0"/>
        <w:rPr>
          <w:sz w:val="20"/>
          <w:szCs w:val="20"/>
          <w:color w:val="auto"/>
        </w:rPr>
      </w:pPr>
      <w:r>
        <w:rPr>
          <w:rFonts w:ascii="Courier New" w:cs="Courier New" w:eastAsia="Courier New" w:hAnsi="Courier New"/>
          <w:sz w:val="17"/>
          <w:szCs w:val="17"/>
          <w:color w:val="auto"/>
        </w:rPr>
        <w:t>Delaware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9" w:lineRule="exact"/>
        <w:rPr>
          <w:sz w:val="24"/>
          <w:szCs w:val="24"/>
          <w:color w:val="auto"/>
        </w:rPr>
      </w:pPr>
    </w:p>
    <w:p>
      <w:pPr>
        <w:ind w:left="1240"/>
        <w:spacing w:after="0"/>
        <w:rPr>
          <w:sz w:val="20"/>
          <w:szCs w:val="20"/>
          <w:color w:val="auto"/>
        </w:rPr>
      </w:pPr>
      <w:r>
        <w:rPr>
          <w:rFonts w:ascii="Courier New" w:cs="Courier New" w:eastAsia="Courier New" w:hAnsi="Courier New"/>
          <w:sz w:val="17"/>
          <w:szCs w:val="17"/>
          <w:color w:val="auto"/>
        </w:rPr>
        <w:t>75-0289970</w:t>
      </w:r>
    </w:p>
    <w:p>
      <w:pPr>
        <w:spacing w:after="0" w:line="5" w:lineRule="exact"/>
        <w:rPr>
          <w:sz w:val="24"/>
          <w:szCs w:val="24"/>
          <w:color w:val="auto"/>
        </w:rPr>
      </w:pPr>
    </w:p>
    <w:p>
      <w:pPr>
        <w:ind w:left="2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(I.R.S. Employer Identification No.)</w:t>
      </w:r>
    </w:p>
    <w:p>
      <w:pPr>
        <w:spacing w:after="0" w:line="200" w:lineRule="exact"/>
        <w:rPr>
          <w:sz w:val="24"/>
          <w:szCs w:val="24"/>
          <w:color w:val="auto"/>
        </w:rPr>
      </w:pPr>
    </w:p>
    <w:p>
      <w:pPr>
        <w:sectPr>
          <w:pgSz w:w="11900" w:h="16875" w:orient="portrait"/>
          <w:cols w:equalWidth="0" w:num="2">
            <w:col w:w="3600" w:space="720"/>
            <w:col w:w="5899"/>
          </w:cols>
          <w:pgMar w:left="240" w:top="445" w:right="1440" w:bottom="0"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6600" w:type="dxa"/>
            <w:vAlign w:val="bottom"/>
          </w:tcPr>
          <w:p>
            <w:pPr>
              <w:spacing w:after="0"/>
              <w:rPr>
                <w:sz w:val="20"/>
                <w:szCs w:val="20"/>
                <w:color w:val="auto"/>
              </w:rPr>
            </w:pPr>
            <w:r>
              <w:rPr>
                <w:rFonts w:ascii="Courier New" w:cs="Courier New" w:eastAsia="Courier New" w:hAnsi="Courier New"/>
                <w:sz w:val="17"/>
                <w:szCs w:val="17"/>
                <w:color w:val="auto"/>
              </w:rPr>
              <w:t>13500 North Central Expressway, P.O. Box 655474, Dallas, Texas</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75265-5474</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1180" w:type="dxa"/>
            <w:vAlign w:val="bottom"/>
          </w:tcPr>
          <w:p>
            <w:pPr>
              <w:spacing w:after="0"/>
              <w:rPr>
                <w:sz w:val="20"/>
                <w:szCs w:val="20"/>
                <w:color w:val="auto"/>
              </w:rPr>
            </w:pPr>
            <w:r>
              <w:rPr>
                <w:rFonts w:ascii="Courier New" w:cs="Courier New" w:eastAsia="Courier New" w:hAnsi="Courier New"/>
                <w:sz w:val="17"/>
                <w:szCs w:val="17"/>
                <w:color w:val="auto"/>
              </w:rPr>
              <w:t>(Address of</w:t>
            </w:r>
          </w:p>
        </w:tc>
        <w:tc>
          <w:tcPr>
            <w:tcW w:w="4280" w:type="dxa"/>
            <w:vAlign w:val="bottom"/>
          </w:tcPr>
          <w:p>
            <w:pPr>
              <w:ind w:left="60"/>
              <w:spacing w:after="0"/>
              <w:rPr>
                <w:sz w:val="20"/>
                <w:szCs w:val="20"/>
                <w:color w:val="auto"/>
              </w:rPr>
            </w:pPr>
            <w:r>
              <w:rPr>
                <w:rFonts w:ascii="Courier New" w:cs="Courier New" w:eastAsia="Courier New" w:hAnsi="Courier New"/>
                <w:sz w:val="17"/>
                <w:szCs w:val="17"/>
                <w:color w:val="auto"/>
              </w:rPr>
              <w:t>principal executive offices)</w:t>
            </w:r>
          </w:p>
        </w:tc>
        <w:tc>
          <w:tcPr>
            <w:tcW w:w="1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(Zip</w:t>
            </w:r>
          </w:p>
        </w:tc>
        <w:tc>
          <w:tcPr>
            <w:tcW w:w="620" w:type="dxa"/>
            <w:vAlign w:val="bottom"/>
          </w:tcPr>
          <w:p>
            <w:pPr>
              <w:spacing w:after="0"/>
              <w:rPr>
                <w:sz w:val="20"/>
                <w:szCs w:val="20"/>
                <w:color w:val="auto"/>
              </w:rPr>
            </w:pPr>
            <w:r>
              <w:rPr>
                <w:rFonts w:ascii="Courier New" w:cs="Courier New" w:eastAsia="Courier New" w:hAnsi="Courier New"/>
                <w:sz w:val="17"/>
                <w:szCs w:val="17"/>
                <w:color w:val="auto"/>
              </w:rPr>
              <w:t>Code)</w:t>
            </w:r>
          </w:p>
        </w:tc>
      </w:tr>
      <w:tr>
        <w:trPr>
          <w:trHeight w:val="594"/>
        </w:trPr>
        <w:tc>
          <w:tcPr>
            <w:tcW w:w="7320" w:type="dxa"/>
            <w:vAlign w:val="bottom"/>
            <w:gridSpan w:val="3"/>
          </w:tcPr>
          <w:p>
            <w:pPr>
              <w:jc w:val="right"/>
              <w:ind w:right="14"/>
              <w:spacing w:after="0"/>
              <w:rPr>
                <w:sz w:val="20"/>
                <w:szCs w:val="20"/>
                <w:color w:val="auto"/>
              </w:rPr>
            </w:pPr>
            <w:r>
              <w:rPr>
                <w:rFonts w:ascii="Courier New" w:cs="Courier New" w:eastAsia="Courier New" w:hAnsi="Courier New"/>
                <w:sz w:val="17"/>
                <w:szCs w:val="17"/>
                <w:color w:val="auto"/>
              </w:rPr>
              <w:t>Registrant's telephone number, including area code 972-995-3773</w:t>
            </w:r>
          </w:p>
        </w:tc>
        <w:tc>
          <w:tcPr>
            <w:tcW w:w="620" w:type="dxa"/>
            <w:vAlign w:val="bottom"/>
          </w:tcPr>
          <w:p>
            <w:pPr>
              <w:spacing w:after="0"/>
              <w:rPr>
                <w:sz w:val="24"/>
                <w:szCs w:val="24"/>
                <w:color w:val="auto"/>
              </w:rPr>
            </w:pPr>
          </w:p>
        </w:tc>
      </w:tr>
      <w:tr>
        <w:trPr>
          <w:trHeight w:val="198"/>
        </w:trPr>
        <w:tc>
          <w:tcPr>
            <w:tcW w:w="7320" w:type="dxa"/>
            <w:vAlign w:val="bottom"/>
            <w:gridSpan w:val="3"/>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spacing w:after="0"/>
              <w:rPr>
                <w:sz w:val="17"/>
                <w:szCs w:val="17"/>
                <w:color w:val="auto"/>
              </w:rPr>
            </w:pPr>
          </w:p>
        </w:tc>
      </w:tr>
      <w:tr>
        <w:trPr>
          <w:trHeight w:val="396"/>
        </w:trPr>
        <w:tc>
          <w:tcPr>
            <w:tcW w:w="1180" w:type="dxa"/>
            <w:vAlign w:val="bottom"/>
          </w:tcPr>
          <w:p>
            <w:pPr>
              <w:spacing w:after="0"/>
              <w:rPr>
                <w:sz w:val="20"/>
                <w:szCs w:val="20"/>
                <w:color w:val="auto"/>
              </w:rPr>
            </w:pPr>
            <w:r>
              <w:rPr>
                <w:rFonts w:ascii="Courier New" w:cs="Courier New" w:eastAsia="Courier New" w:hAnsi="Courier New"/>
                <w:sz w:val="17"/>
                <w:szCs w:val="17"/>
                <w:color w:val="auto"/>
              </w:rPr>
              <w:t>Indicate by</w:t>
            </w:r>
          </w:p>
        </w:tc>
        <w:tc>
          <w:tcPr>
            <w:tcW w:w="61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check mark whether the Registrant (1) has filed all reports</w:t>
            </w:r>
          </w:p>
        </w:tc>
        <w:tc>
          <w:tcPr>
            <w:tcW w:w="620" w:type="dxa"/>
            <w:vAlign w:val="bottom"/>
          </w:tcPr>
          <w:p>
            <w:pPr>
              <w:spacing w:after="0"/>
              <w:rPr>
                <w:sz w:val="24"/>
                <w:szCs w:val="24"/>
                <w:color w:val="auto"/>
              </w:rPr>
            </w:pPr>
          </w:p>
        </w:tc>
      </w:tr>
      <w:tr>
        <w:trPr>
          <w:trHeight w:val="198"/>
        </w:trPr>
        <w:tc>
          <w:tcPr>
            <w:tcW w:w="1180" w:type="dxa"/>
            <w:vAlign w:val="bottom"/>
          </w:tcPr>
          <w:p>
            <w:pPr>
              <w:spacing w:after="0"/>
              <w:rPr>
                <w:sz w:val="20"/>
                <w:szCs w:val="20"/>
                <w:color w:val="auto"/>
              </w:rPr>
            </w:pPr>
            <w:r>
              <w:rPr>
                <w:rFonts w:ascii="Courier New" w:cs="Courier New" w:eastAsia="Courier New" w:hAnsi="Courier New"/>
                <w:sz w:val="17"/>
                <w:szCs w:val="17"/>
                <w:color w:val="auto"/>
              </w:rPr>
              <w:t>required to</w:t>
            </w:r>
          </w:p>
        </w:tc>
        <w:tc>
          <w:tcPr>
            <w:tcW w:w="61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be filed by Section 13 or 15(d) of the Securities Exchange</w:t>
            </w:r>
          </w:p>
        </w:tc>
        <w:tc>
          <w:tcPr>
            <w:tcW w:w="620" w:type="dxa"/>
            <w:vAlign w:val="bottom"/>
          </w:tcPr>
          <w:p>
            <w:pPr>
              <w:spacing w:after="0"/>
              <w:rPr>
                <w:sz w:val="20"/>
                <w:szCs w:val="20"/>
                <w:color w:val="auto"/>
              </w:rPr>
            </w:pPr>
            <w:r>
              <w:rPr>
                <w:rFonts w:ascii="Courier New" w:cs="Courier New" w:eastAsia="Courier New" w:hAnsi="Courier New"/>
                <w:sz w:val="17"/>
                <w:szCs w:val="17"/>
                <w:color w:val="auto"/>
                <w:w w:val="97"/>
              </w:rPr>
              <w:t>Act of</w:t>
            </w:r>
          </w:p>
        </w:tc>
      </w:tr>
      <w:tr>
        <w:trPr>
          <w:trHeight w:val="198"/>
        </w:trPr>
        <w:tc>
          <w:tcPr>
            <w:tcW w:w="1180" w:type="dxa"/>
            <w:vAlign w:val="bottom"/>
          </w:tcPr>
          <w:p>
            <w:pPr>
              <w:spacing w:after="0"/>
              <w:rPr>
                <w:sz w:val="20"/>
                <w:szCs w:val="20"/>
                <w:color w:val="auto"/>
              </w:rPr>
            </w:pPr>
            <w:r>
              <w:rPr>
                <w:rFonts w:ascii="Courier New" w:cs="Courier New" w:eastAsia="Courier New" w:hAnsi="Courier New"/>
                <w:sz w:val="17"/>
                <w:szCs w:val="17"/>
                <w:color w:val="auto"/>
              </w:rPr>
              <w:t>1934 during</w:t>
            </w:r>
          </w:p>
        </w:tc>
        <w:tc>
          <w:tcPr>
            <w:tcW w:w="676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the preceding 12 months (or for such shorter period that the</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Registrant was required to file such reports), and (2) has been subject to</w:t>
      </w:r>
    </w:p>
    <w:p>
      <w:pPr>
        <w:spacing w:after="0" w:line="5" w:lineRule="exact"/>
        <w:rPr>
          <w:sz w:val="24"/>
          <w:szCs w:val="24"/>
          <w:color w:val="auto"/>
        </w:rPr>
      </w:pPr>
    </w:p>
    <w:p>
      <w:pPr>
        <w:spacing w:after="0"/>
        <w:tabs>
          <w:tab w:leader="none" w:pos="4920" w:val="left"/>
          <w:tab w:leader="none" w:pos="5540" w:val="left"/>
          <w:tab w:leader="none" w:pos="6060" w:val="left"/>
        </w:tabs>
        <w:rPr>
          <w:sz w:val="20"/>
          <w:szCs w:val="20"/>
          <w:color w:val="auto"/>
        </w:rPr>
      </w:pPr>
      <w:r>
        <w:rPr>
          <w:rFonts w:ascii="Courier New" w:cs="Courier New" w:eastAsia="Courier New" w:hAnsi="Courier New"/>
          <w:sz w:val="17"/>
          <w:szCs w:val="17"/>
          <w:color w:val="auto"/>
        </w:rPr>
        <w:t>such filing requirements for the past 90 days.</w:t>
        <w:tab/>
        <w:t>Yes</w:t>
        <w:tab/>
        <w:t>X</w:t>
      </w:r>
      <w:r>
        <w:rPr>
          <w:sz w:val="20"/>
          <w:szCs w:val="20"/>
          <w:color w:val="auto"/>
        </w:rPr>
        <w:tab/>
      </w:r>
      <w:r>
        <w:rPr>
          <w:rFonts w:ascii="Courier New" w:cs="Courier New" w:eastAsia="Courier New" w:hAnsi="Courier New"/>
          <w:sz w:val="16"/>
          <w:szCs w:val="16"/>
          <w:color w:val="auto"/>
        </w:rPr>
        <w:t>No</w:t>
      </w:r>
    </w:p>
    <w:p>
      <w:pPr>
        <w:spacing w:after="0" w:line="5" w:lineRule="exact"/>
        <w:rPr>
          <w:sz w:val="24"/>
          <w:szCs w:val="24"/>
          <w:color w:val="auto"/>
        </w:rPr>
      </w:pPr>
    </w:p>
    <w:p>
      <w:pPr>
        <w:ind w:left="5460"/>
        <w:spacing w:after="0"/>
        <w:tabs>
          <w:tab w:leader="none" w:pos="64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195,129,262</w:t>
      </w:r>
    </w:p>
    <w:p>
      <w:pPr>
        <w:spacing w:after="0" w:line="5" w:lineRule="exact"/>
        <w:rPr>
          <w:sz w:val="24"/>
          <w:szCs w:val="24"/>
          <w:color w:val="auto"/>
        </w:rPr>
      </w:pPr>
    </w:p>
    <w:p>
      <w:pPr>
        <w:ind w:left="220" w:hanging="214"/>
        <w:spacing w:after="0"/>
        <w:tabs>
          <w:tab w:leader="none" w:pos="2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37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Number of shares of Registrant's common stock outstanding as of September 30, 1997</w:t>
      </w:r>
    </w:p>
    <w:p>
      <w:pPr>
        <w:spacing w:after="0" w:line="200" w:lineRule="exact"/>
        <w:rPr>
          <w:sz w:val="24"/>
          <w:szCs w:val="24"/>
          <w:color w:val="auto"/>
        </w:rPr>
      </w:pPr>
    </w:p>
    <w:p>
      <w:pPr>
        <w:spacing w:after="0" w:line="394" w:lineRule="exact"/>
        <w:rPr>
          <w:sz w:val="24"/>
          <w:szCs w:val="24"/>
          <w:color w:val="auto"/>
        </w:rPr>
      </w:pPr>
    </w:p>
    <w:p>
      <w:pPr>
        <w:ind w:left="2680"/>
        <w:spacing w:after="0"/>
        <w:rPr>
          <w:sz w:val="20"/>
          <w:szCs w:val="20"/>
          <w:color w:val="auto"/>
        </w:rPr>
      </w:pPr>
      <w:r>
        <w:rPr>
          <w:rFonts w:ascii="Courier New" w:cs="Courier New" w:eastAsia="Courier New" w:hAnsi="Courier New"/>
          <w:sz w:val="17"/>
          <w:szCs w:val="17"/>
          <w:color w:val="auto"/>
        </w:rPr>
        <w:t>PART I - FINANCIAL INFORMATION</w:t>
      </w:r>
    </w:p>
    <w:p>
      <w:pPr>
        <w:spacing w:after="0" w:line="203" w:lineRule="exact"/>
        <w:rPr>
          <w:sz w:val="24"/>
          <w:szCs w:val="24"/>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1.</w:t>
        <w:tab/>
        <w:t>Financial Statements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4"/>
          <w:szCs w:val="24"/>
          <w:color w:val="auto"/>
        </w:rPr>
      </w:pPr>
    </w:p>
    <w:p>
      <w:pPr>
        <w:spacing w:after="0" w:line="399" w:lineRule="exact"/>
        <w:rPr>
          <w:sz w:val="24"/>
          <w:szCs w:val="24"/>
          <w:color w:val="auto"/>
        </w:rPr>
      </w:pPr>
    </w:p>
    <w:p>
      <w:pPr>
        <w:jc w:val="center"/>
        <w:ind w:right="839"/>
        <w:spacing w:after="0" w:line="246" w:lineRule="auto"/>
        <w:rPr>
          <w:sz w:val="20"/>
          <w:szCs w:val="20"/>
          <w:color w:val="auto"/>
        </w:rPr>
      </w:pPr>
      <w:r>
        <w:rPr>
          <w:rFonts w:ascii="Courier New" w:cs="Courier New" w:eastAsia="Courier New" w:hAnsi="Courier New"/>
          <w:sz w:val="17"/>
          <w:szCs w:val="17"/>
          <w:color w:val="auto"/>
        </w:rPr>
        <w:t>TEXAS INSTRUMENTS INCORPORATED AND SUBSIDIARIES Consolidated Financial Statements (In millions of dollars, except per-share amounts.)</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7260" w:type="dxa"/>
            <w:vAlign w:val="bottom"/>
          </w:tcPr>
          <w:p>
            <w:pPr>
              <w:spacing w:after="0"/>
              <w:rPr>
                <w:sz w:val="16"/>
                <w:szCs w:val="16"/>
                <w:color w:val="auto"/>
              </w:rPr>
            </w:pPr>
          </w:p>
        </w:tc>
        <w:tc>
          <w:tcPr>
            <w:tcW w:w="13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Sept 30</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Dec. 31</w:t>
            </w:r>
          </w:p>
        </w:tc>
      </w:tr>
      <w:tr>
        <w:trPr>
          <w:trHeight w:val="198"/>
        </w:trPr>
        <w:tc>
          <w:tcPr>
            <w:tcW w:w="7260" w:type="dxa"/>
            <w:vAlign w:val="bottom"/>
          </w:tcPr>
          <w:p>
            <w:pPr>
              <w:spacing w:after="0"/>
              <w:rPr>
                <w:sz w:val="20"/>
                <w:szCs w:val="20"/>
                <w:color w:val="auto"/>
              </w:rPr>
            </w:pPr>
            <w:r>
              <w:rPr>
                <w:rFonts w:ascii="Courier New" w:cs="Courier New" w:eastAsia="Courier New" w:hAnsi="Courier New"/>
                <w:sz w:val="17"/>
                <w:szCs w:val="17"/>
                <w:color w:val="auto"/>
              </w:rPr>
              <w:t>Balance Sheet</w:t>
            </w:r>
          </w:p>
        </w:tc>
        <w:tc>
          <w:tcPr>
            <w:tcW w:w="1300" w:type="dxa"/>
            <w:vAlign w:val="bottom"/>
          </w:tcPr>
          <w:p>
            <w:pPr>
              <w:ind w:left="360"/>
              <w:spacing w:after="0"/>
              <w:rPr>
                <w:sz w:val="20"/>
                <w:szCs w:val="20"/>
                <w:color w:val="auto"/>
              </w:rPr>
            </w:pPr>
            <w:r>
              <w:rPr>
                <w:rFonts w:ascii="Courier New" w:cs="Courier New" w:eastAsia="Courier New" w:hAnsi="Courier New"/>
                <w:sz w:val="17"/>
                <w:szCs w:val="17"/>
                <w:color w:val="auto"/>
              </w:rPr>
              <w:t>1997</w:t>
            </w:r>
          </w:p>
        </w:tc>
        <w:tc>
          <w:tcPr>
            <w:tcW w:w="1120" w:type="dxa"/>
            <w:vAlign w:val="bottom"/>
          </w:tcPr>
          <w:p>
            <w:pPr>
              <w:ind w:left="400"/>
              <w:spacing w:after="0"/>
              <w:rPr>
                <w:sz w:val="20"/>
                <w:szCs w:val="20"/>
                <w:color w:val="auto"/>
              </w:rPr>
            </w:pPr>
            <w:r>
              <w:rPr>
                <w:rFonts w:ascii="Courier New" w:cs="Courier New" w:eastAsia="Courier New" w:hAnsi="Courier New"/>
                <w:sz w:val="17"/>
                <w:szCs w:val="17"/>
                <w:color w:val="auto"/>
              </w:rPr>
              <w:t>1996</w:t>
            </w:r>
          </w:p>
        </w:tc>
      </w:tr>
      <w:tr>
        <w:trPr>
          <w:trHeight w:val="198"/>
        </w:trPr>
        <w:tc>
          <w:tcPr>
            <w:tcW w:w="72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30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ind w:left="400"/>
              <w:spacing w:after="0"/>
              <w:rPr>
                <w:sz w:val="20"/>
                <w:szCs w:val="20"/>
                <w:color w:val="auto"/>
              </w:rPr>
            </w:pPr>
            <w:r>
              <w:rPr>
                <w:rFonts w:ascii="Courier New" w:cs="Courier New" w:eastAsia="Courier New" w:hAnsi="Courier New"/>
                <w:sz w:val="17"/>
                <w:szCs w:val="17"/>
                <w:color w:val="auto"/>
                <w:w w:val="97"/>
              </w:rPr>
              <w:t>-------</w:t>
            </w:r>
          </w:p>
        </w:tc>
      </w:tr>
      <w:tr>
        <w:trPr>
          <w:trHeight w:val="396"/>
        </w:trPr>
        <w:tc>
          <w:tcPr>
            <w:tcW w:w="726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8"/>
        </w:trPr>
        <w:tc>
          <w:tcPr>
            <w:tcW w:w="726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Cash and cash equivalents..........................................</w:t>
            </w:r>
          </w:p>
        </w:tc>
        <w:tc>
          <w:tcPr>
            <w:tcW w:w="13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$ 2,727</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   964</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Short-term investments.............................................</w:t>
            </w:r>
          </w:p>
        </w:tc>
        <w:tc>
          <w:tcPr>
            <w:tcW w:w="13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1,509</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14</w:t>
            </w:r>
          </w:p>
        </w:tc>
      </w:tr>
      <w:tr>
        <w:trPr>
          <w:trHeight w:val="198"/>
        </w:trPr>
        <w:tc>
          <w:tcPr>
            <w:tcW w:w="7260" w:type="dxa"/>
            <w:vAlign w:val="bottom"/>
          </w:tcPr>
          <w:p>
            <w:pPr>
              <w:ind w:left="220"/>
              <w:spacing w:after="0"/>
              <w:rPr>
                <w:sz w:val="20"/>
                <w:szCs w:val="20"/>
                <w:color w:val="auto"/>
              </w:rPr>
            </w:pPr>
            <w:r>
              <w:rPr>
                <w:rFonts w:ascii="Courier New" w:cs="Courier New" w:eastAsia="Courier New" w:hAnsi="Courier New"/>
                <w:sz w:val="17"/>
                <w:szCs w:val="17"/>
                <w:color w:val="auto"/>
              </w:rPr>
              <w:t>Accounts receivable, less allowance for losses of</w:t>
            </w: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$66 million in 1997 and $90 million in 1996......................</w:t>
            </w:r>
          </w:p>
        </w:tc>
        <w:tc>
          <w:tcPr>
            <w:tcW w:w="13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1,766</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1,799</w:t>
            </w:r>
          </w:p>
        </w:tc>
      </w:tr>
      <w:tr>
        <w:trPr>
          <w:trHeight w:val="198"/>
        </w:trPr>
        <w:tc>
          <w:tcPr>
            <w:tcW w:w="7260" w:type="dxa"/>
            <w:vAlign w:val="bottom"/>
          </w:tcPr>
          <w:p>
            <w:pPr>
              <w:ind w:left="220"/>
              <w:spacing w:after="0"/>
              <w:rPr>
                <w:sz w:val="20"/>
                <w:szCs w:val="20"/>
                <w:color w:val="auto"/>
              </w:rPr>
            </w:pPr>
            <w:r>
              <w:rPr>
                <w:rFonts w:ascii="Courier New" w:cs="Courier New" w:eastAsia="Courier New" w:hAnsi="Courier New"/>
                <w:sz w:val="17"/>
                <w:szCs w:val="17"/>
                <w:color w:val="auto"/>
              </w:rPr>
              <w:t>Inventories:</w:t>
            </w: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Raw materials....................................................</w:t>
            </w:r>
          </w:p>
        </w:tc>
        <w:tc>
          <w:tcPr>
            <w:tcW w:w="13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114</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111</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Work in process..................................................</w:t>
            </w:r>
          </w:p>
        </w:tc>
        <w:tc>
          <w:tcPr>
            <w:tcW w:w="13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363</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361</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Finished goods...................................................</w:t>
            </w:r>
          </w:p>
        </w:tc>
        <w:tc>
          <w:tcPr>
            <w:tcW w:w="13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281</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231</w:t>
            </w:r>
          </w:p>
        </w:tc>
      </w:tr>
    </w:tbl>
    <w:p>
      <w:pPr>
        <w:sectPr>
          <w:pgSz w:w="11900" w:h="16875" w:orient="portrait"/>
          <w:cols w:equalWidth="0" w:num="1">
            <w:col w:w="10219"/>
          </w:cols>
          <w:pgMar w:left="240" w:top="445"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260" w:type="dxa"/>
            <w:vAlign w:val="bottom"/>
          </w:tcPr>
          <w:p>
            <w:pPr>
              <w:spacing w:after="0"/>
              <w:rPr>
                <w:sz w:val="16"/>
                <w:szCs w:val="16"/>
                <w:color w:val="auto"/>
              </w:rPr>
            </w:pP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Inventories....................................................</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758</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703</w:t>
            </w:r>
          </w:p>
        </w:tc>
      </w:tr>
      <w:tr>
        <w:trPr>
          <w:trHeight w:val="198"/>
        </w:trPr>
        <w:tc>
          <w:tcPr>
            <w:tcW w:w="7260" w:type="dxa"/>
            <w:vAlign w:val="bottom"/>
          </w:tcPr>
          <w:p>
            <w:pPr>
              <w:spacing w:after="0"/>
              <w:rPr>
                <w:sz w:val="17"/>
                <w:szCs w:val="17"/>
                <w:color w:val="auto"/>
              </w:rPr>
            </w:pP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Prepaid expenses...................................................</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50</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50</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Deferred income taxes..............................................</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532</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395</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Net assets of discontinued operations..............................</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529</w:t>
            </w:r>
          </w:p>
        </w:tc>
      </w:tr>
      <w:tr>
        <w:trPr>
          <w:trHeight w:val="198"/>
        </w:trPr>
        <w:tc>
          <w:tcPr>
            <w:tcW w:w="7260" w:type="dxa"/>
            <w:vAlign w:val="bottom"/>
          </w:tcPr>
          <w:p>
            <w:pPr>
              <w:spacing w:after="0"/>
              <w:rPr>
                <w:sz w:val="17"/>
                <w:szCs w:val="17"/>
                <w:color w:val="auto"/>
              </w:rPr>
            </w:pP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Total current assets.............................................</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7,342</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4,454</w:t>
            </w:r>
          </w:p>
        </w:tc>
      </w:tr>
      <w:tr>
        <w:trPr>
          <w:trHeight w:val="198"/>
        </w:trPr>
        <w:tc>
          <w:tcPr>
            <w:tcW w:w="7260" w:type="dxa"/>
            <w:vAlign w:val="bottom"/>
          </w:tcPr>
          <w:p>
            <w:pPr>
              <w:spacing w:after="0"/>
              <w:rPr>
                <w:sz w:val="17"/>
                <w:szCs w:val="17"/>
                <w:color w:val="auto"/>
              </w:rPr>
            </w:pP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Property, plant and equipment at cost................................</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7,212</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6,712</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Less accumulated depreciation......................................</w:t>
            </w:r>
          </w:p>
        </w:tc>
        <w:tc>
          <w:tcPr>
            <w:tcW w:w="260" w:type="dxa"/>
            <w:vAlign w:val="bottom"/>
          </w:tcPr>
          <w:p>
            <w:pPr>
              <w:spacing w:after="0"/>
              <w:rPr>
                <w:sz w:val="17"/>
                <w:szCs w:val="17"/>
                <w:color w:val="auto"/>
              </w:rPr>
            </w:pP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w w:val="97"/>
              </w:rPr>
              <w:t>(3,054)</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(2,550)</w:t>
            </w:r>
          </w:p>
        </w:tc>
      </w:tr>
      <w:tr>
        <w:trPr>
          <w:trHeight w:val="198"/>
        </w:trPr>
        <w:tc>
          <w:tcPr>
            <w:tcW w:w="7260" w:type="dxa"/>
            <w:vAlign w:val="bottom"/>
          </w:tcPr>
          <w:p>
            <w:pPr>
              <w:spacing w:after="0"/>
              <w:rPr>
                <w:sz w:val="17"/>
                <w:szCs w:val="17"/>
                <w:color w:val="auto"/>
              </w:rPr>
            </w:pP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Property, plant and equipment (net)..............................</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4,158</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4,162</w:t>
            </w:r>
          </w:p>
        </w:tc>
      </w:tr>
      <w:tr>
        <w:trPr>
          <w:trHeight w:val="198"/>
        </w:trPr>
        <w:tc>
          <w:tcPr>
            <w:tcW w:w="7260" w:type="dxa"/>
            <w:vAlign w:val="bottom"/>
          </w:tcPr>
          <w:p>
            <w:pPr>
              <w:spacing w:after="0"/>
              <w:rPr>
                <w:sz w:val="17"/>
                <w:szCs w:val="17"/>
                <w:color w:val="auto"/>
              </w:rPr>
            </w:pP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Deferred income taxes................................................</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183</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192</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Other assets.........................................................</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391</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552</w:t>
            </w:r>
          </w:p>
        </w:tc>
      </w:tr>
      <w:tr>
        <w:trPr>
          <w:trHeight w:val="198"/>
        </w:trPr>
        <w:tc>
          <w:tcPr>
            <w:tcW w:w="7260" w:type="dxa"/>
            <w:vAlign w:val="bottom"/>
          </w:tcPr>
          <w:p>
            <w:pPr>
              <w:spacing w:after="0"/>
              <w:rPr>
                <w:sz w:val="17"/>
                <w:szCs w:val="17"/>
                <w:color w:val="auto"/>
              </w:rPr>
            </w:pP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Total assets.........................................................</w:t>
            </w: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$12,074</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$ 9,360</w:t>
            </w:r>
          </w:p>
        </w:tc>
      </w:tr>
      <w:tr>
        <w:trPr>
          <w:trHeight w:val="198"/>
        </w:trPr>
        <w:tc>
          <w:tcPr>
            <w:tcW w:w="7260" w:type="dxa"/>
            <w:vAlign w:val="bottom"/>
          </w:tcPr>
          <w:p>
            <w:pPr>
              <w:spacing w:after="0"/>
              <w:rPr>
                <w:sz w:val="17"/>
                <w:szCs w:val="17"/>
                <w:color w:val="auto"/>
              </w:rPr>
            </w:pP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726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8"/>
        </w:trPr>
        <w:tc>
          <w:tcPr>
            <w:tcW w:w="726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Loans payable and current portion long-term debt...................</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86</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   314</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Accounts payable...................................................</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648</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775</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Accrued and other current liabilities..............................</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2,335</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1,397</w:t>
            </w:r>
          </w:p>
        </w:tc>
      </w:tr>
      <w:tr>
        <w:trPr>
          <w:trHeight w:val="198"/>
        </w:trPr>
        <w:tc>
          <w:tcPr>
            <w:tcW w:w="7260" w:type="dxa"/>
            <w:vAlign w:val="bottom"/>
          </w:tcPr>
          <w:p>
            <w:pPr>
              <w:spacing w:after="0"/>
              <w:rPr>
                <w:sz w:val="17"/>
                <w:szCs w:val="17"/>
                <w:color w:val="auto"/>
              </w:rPr>
            </w:pP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Total current liabilities........................................</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3,069</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2,486</w:t>
            </w:r>
          </w:p>
        </w:tc>
      </w:tr>
      <w:tr>
        <w:trPr>
          <w:trHeight w:val="198"/>
        </w:trPr>
        <w:tc>
          <w:tcPr>
            <w:tcW w:w="7260" w:type="dxa"/>
            <w:vAlign w:val="bottom"/>
          </w:tcPr>
          <w:p>
            <w:pPr>
              <w:spacing w:after="0"/>
              <w:rPr>
                <w:sz w:val="17"/>
                <w:szCs w:val="17"/>
                <w:color w:val="auto"/>
              </w:rPr>
            </w:pP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Long-term debt.......................................................</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1,540</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1,697</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Accrued retirement costs.............................................</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704</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719</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Deferred credits and other liabilities...............................</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441</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361</w:t>
            </w:r>
          </w:p>
        </w:tc>
      </w:tr>
      <w:tr>
        <w:trPr>
          <w:trHeight w:val="396"/>
        </w:trPr>
        <w:tc>
          <w:tcPr>
            <w:tcW w:w="726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8"/>
        </w:trPr>
        <w:tc>
          <w:tcPr>
            <w:tcW w:w="7260" w:type="dxa"/>
            <w:vAlign w:val="bottom"/>
          </w:tcPr>
          <w:p>
            <w:pPr>
              <w:ind w:left="220"/>
              <w:spacing w:after="0"/>
              <w:rPr>
                <w:sz w:val="20"/>
                <w:szCs w:val="20"/>
                <w:color w:val="auto"/>
              </w:rPr>
            </w:pPr>
            <w:r>
              <w:rPr>
                <w:rFonts w:ascii="Courier New" w:cs="Courier New" w:eastAsia="Courier New" w:hAnsi="Courier New"/>
                <w:sz w:val="17"/>
                <w:szCs w:val="17"/>
                <w:color w:val="auto"/>
              </w:rPr>
              <w:t>Preferred stock, $25 par value. Authorized - 10,000,000 shares.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Participating cumulative preferred. None issued..................</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ind w:left="220"/>
              <w:spacing w:after="0"/>
              <w:rPr>
                <w:sz w:val="20"/>
                <w:szCs w:val="20"/>
                <w:color w:val="auto"/>
              </w:rPr>
            </w:pPr>
            <w:r>
              <w:rPr>
                <w:rFonts w:ascii="Courier New" w:cs="Courier New" w:eastAsia="Courier New" w:hAnsi="Courier New"/>
                <w:sz w:val="17"/>
                <w:szCs w:val="17"/>
                <w:color w:val="auto"/>
              </w:rPr>
              <w:t>Common stock, $1 par value. Authorized - 500,000,000 shares.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Shares issued: 1997 - 195,485,898; 1996 - 190,396,797............</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195</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190</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Paid-in capital....................................................</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1,380</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1,116</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Retained earnings..................................................</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4,806</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2,814</w:t>
            </w:r>
          </w:p>
        </w:tc>
      </w:tr>
      <w:tr>
        <w:trPr>
          <w:trHeight w:val="198"/>
        </w:trPr>
        <w:tc>
          <w:tcPr>
            <w:tcW w:w="7260" w:type="dxa"/>
            <w:vAlign w:val="bottom"/>
          </w:tcPr>
          <w:p>
            <w:pPr>
              <w:ind w:left="220"/>
              <w:spacing w:after="0"/>
              <w:rPr>
                <w:sz w:val="20"/>
                <w:szCs w:val="20"/>
                <w:color w:val="auto"/>
              </w:rPr>
            </w:pPr>
            <w:r>
              <w:rPr>
                <w:rFonts w:ascii="Courier New" w:cs="Courier New" w:eastAsia="Courier New" w:hAnsi="Courier New"/>
                <w:sz w:val="17"/>
                <w:szCs w:val="17"/>
                <w:color w:val="auto"/>
              </w:rPr>
              <w:t>Less treasury common stock at cost.</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Shares: 1997 - 356,636; 1996 - 143,525...........................</w:t>
            </w:r>
          </w:p>
        </w:tc>
        <w:tc>
          <w:tcPr>
            <w:tcW w:w="260" w:type="dxa"/>
            <w:vAlign w:val="bottom"/>
          </w:tcPr>
          <w:p>
            <w:pPr>
              <w:spacing w:after="0"/>
              <w:rPr>
                <w:sz w:val="17"/>
                <w:szCs w:val="17"/>
                <w:color w:val="auto"/>
              </w:rPr>
            </w:pP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(40)</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(12)</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Other..............................................................</w:t>
            </w:r>
          </w:p>
        </w:tc>
        <w:tc>
          <w:tcPr>
            <w:tcW w:w="260" w:type="dxa"/>
            <w:vAlign w:val="bottom"/>
          </w:tcPr>
          <w:p>
            <w:pPr>
              <w:spacing w:after="0"/>
              <w:rPr>
                <w:sz w:val="17"/>
                <w:szCs w:val="17"/>
                <w:color w:val="auto"/>
              </w:rPr>
            </w:pP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(21)</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(11)</w:t>
            </w:r>
          </w:p>
        </w:tc>
      </w:tr>
      <w:tr>
        <w:trPr>
          <w:trHeight w:val="198"/>
        </w:trPr>
        <w:tc>
          <w:tcPr>
            <w:tcW w:w="7260" w:type="dxa"/>
            <w:vAlign w:val="bottom"/>
          </w:tcPr>
          <w:p>
            <w:pPr>
              <w:spacing w:after="0"/>
              <w:rPr>
                <w:sz w:val="17"/>
                <w:szCs w:val="17"/>
                <w:color w:val="auto"/>
              </w:rPr>
            </w:pP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Total stockholders' equity.......................................</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6,320</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4,097</w:t>
            </w:r>
          </w:p>
        </w:tc>
      </w:tr>
      <w:tr>
        <w:trPr>
          <w:trHeight w:val="198"/>
        </w:trPr>
        <w:tc>
          <w:tcPr>
            <w:tcW w:w="7260" w:type="dxa"/>
            <w:vAlign w:val="bottom"/>
          </w:tcPr>
          <w:p>
            <w:pPr>
              <w:spacing w:after="0"/>
              <w:rPr>
                <w:sz w:val="17"/>
                <w:szCs w:val="17"/>
                <w:color w:val="auto"/>
              </w:rPr>
            </w:pP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Total liabilities and stockholders' equity...........................</w:t>
            </w: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$12,074</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$ 9,360</w:t>
            </w:r>
          </w:p>
        </w:tc>
      </w:tr>
      <w:tr>
        <w:trPr>
          <w:trHeight w:val="198"/>
        </w:trPr>
        <w:tc>
          <w:tcPr>
            <w:tcW w:w="7260" w:type="dxa"/>
            <w:vAlign w:val="bottom"/>
          </w:tcPr>
          <w:p>
            <w:pPr>
              <w:spacing w:after="0"/>
              <w:rPr>
                <w:sz w:val="17"/>
                <w:szCs w:val="17"/>
                <w:color w:val="auto"/>
              </w:rPr>
            </w:pP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594"/>
        </w:trPr>
        <w:tc>
          <w:tcPr>
            <w:tcW w:w="7260" w:type="dxa"/>
            <w:vAlign w:val="bottom"/>
          </w:tcPr>
          <w:p>
            <w:pPr>
              <w:jc w:val="right"/>
              <w:ind w:right="2854"/>
              <w:spacing w:after="0"/>
              <w:rPr>
                <w:sz w:val="20"/>
                <w:szCs w:val="20"/>
                <w:color w:val="auto"/>
              </w:rPr>
            </w:pPr>
            <w:r>
              <w:rPr>
                <w:rFonts w:ascii="Courier New" w:cs="Courier New" w:eastAsia="Courier New" w:hAnsi="Courier New"/>
                <w:sz w:val="17"/>
                <w:szCs w:val="17"/>
                <w:color w:val="auto"/>
              </w:rPr>
              <w:t>2</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left="440"/>
        <w:spacing w:after="0"/>
        <w:rPr>
          <w:sz w:val="20"/>
          <w:szCs w:val="20"/>
          <w:color w:val="auto"/>
        </w:rPr>
      </w:pPr>
      <w:r>
        <w:rPr>
          <w:rFonts w:ascii="Courier New" w:cs="Courier New" w:eastAsia="Courier New" w:hAnsi="Courier New"/>
          <w:sz w:val="17"/>
          <w:szCs w:val="17"/>
          <w:color w:val="auto"/>
        </w:rPr>
        <w:t>TEXAS INSTRUMENTS INCORPORATED AND SUBSIDIARIES</w:t>
      </w:r>
    </w:p>
    <w:p>
      <w:pPr>
        <w:spacing w:after="0" w:line="5" w:lineRule="exact"/>
        <w:rPr>
          <w:sz w:val="20"/>
          <w:szCs w:val="20"/>
          <w:color w:val="auto"/>
        </w:rPr>
      </w:pPr>
    </w:p>
    <w:p>
      <w:pPr>
        <w:jc w:val="center"/>
        <w:ind w:left="440"/>
        <w:spacing w:after="0"/>
        <w:rPr>
          <w:sz w:val="20"/>
          <w:szCs w:val="20"/>
          <w:color w:val="auto"/>
        </w:rPr>
      </w:pPr>
      <w:r>
        <w:rPr>
          <w:rFonts w:ascii="Courier New" w:cs="Courier New" w:eastAsia="Courier New" w:hAnsi="Courier New"/>
          <w:sz w:val="17"/>
          <w:szCs w:val="17"/>
          <w:color w:val="auto"/>
        </w:rPr>
        <w:t>Consolidated Financial Statements</w:t>
      </w:r>
    </w:p>
    <w:p>
      <w:pPr>
        <w:spacing w:after="0" w:line="5" w:lineRule="exact"/>
        <w:rPr>
          <w:sz w:val="20"/>
          <w:szCs w:val="20"/>
          <w:color w:val="auto"/>
        </w:rPr>
      </w:pPr>
    </w:p>
    <w:p>
      <w:pPr>
        <w:jc w:val="center"/>
        <w:ind w:left="440"/>
        <w:spacing w:after="0"/>
        <w:rPr>
          <w:sz w:val="20"/>
          <w:szCs w:val="20"/>
          <w:color w:val="auto"/>
        </w:rPr>
      </w:pPr>
      <w:r>
        <w:rPr>
          <w:rFonts w:ascii="Courier New" w:cs="Courier New" w:eastAsia="Courier New" w:hAnsi="Courier New"/>
          <w:sz w:val="17"/>
          <w:szCs w:val="17"/>
          <w:color w:val="auto"/>
        </w:rPr>
        <w:t>(In millions of dollars, except per-share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40" w:type="dxa"/>
            <w:vAlign w:val="bottom"/>
          </w:tcPr>
          <w:p>
            <w:pPr>
              <w:spacing w:after="0"/>
              <w:rPr>
                <w:sz w:val="16"/>
                <w:szCs w:val="16"/>
                <w:color w:val="auto"/>
              </w:rPr>
            </w:pPr>
          </w:p>
        </w:tc>
        <w:tc>
          <w:tcPr>
            <w:tcW w:w="262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For Three Months Ended</w:t>
            </w:r>
          </w:p>
        </w:tc>
        <w:tc>
          <w:tcPr>
            <w:tcW w:w="2580" w:type="dxa"/>
            <w:vAlign w:val="bottom"/>
            <w:gridSpan w:val="2"/>
          </w:tcPr>
          <w:p>
            <w:pPr>
              <w:jc w:val="right"/>
              <w:ind w:right="34"/>
              <w:spacing w:after="0"/>
              <w:rPr>
                <w:sz w:val="20"/>
                <w:szCs w:val="20"/>
                <w:color w:val="auto"/>
              </w:rPr>
            </w:pPr>
            <w:r>
              <w:rPr>
                <w:rFonts w:ascii="Courier New" w:cs="Courier New" w:eastAsia="Courier New" w:hAnsi="Courier New"/>
                <w:sz w:val="17"/>
                <w:szCs w:val="17"/>
                <w:color w:val="auto"/>
              </w:rPr>
              <w:t>For Nine Months Ended</w:t>
            </w:r>
          </w:p>
        </w:tc>
      </w:tr>
      <w:tr>
        <w:trPr>
          <w:trHeight w:val="198"/>
        </w:trPr>
        <w:tc>
          <w:tcPr>
            <w:tcW w:w="6140" w:type="dxa"/>
            <w:vAlign w:val="bottom"/>
          </w:tcPr>
          <w:p>
            <w:pPr>
              <w:spacing w:after="0"/>
              <w:rPr>
                <w:sz w:val="17"/>
                <w:szCs w:val="17"/>
                <w:color w:val="auto"/>
              </w:rPr>
            </w:pPr>
          </w:p>
        </w:tc>
        <w:tc>
          <w:tcPr>
            <w:tcW w:w="262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2580" w:type="dxa"/>
            <w:vAlign w:val="bottom"/>
            <w:gridSpan w:val="2"/>
          </w:tcPr>
          <w:p>
            <w:pPr>
              <w:jc w:val="right"/>
              <w:ind w:right="34"/>
              <w:spacing w:after="0"/>
              <w:rPr>
                <w:sz w:val="20"/>
                <w:szCs w:val="20"/>
                <w:color w:val="auto"/>
              </w:rPr>
            </w:pPr>
            <w:r>
              <w:rPr>
                <w:rFonts w:ascii="Courier New" w:cs="Courier New" w:eastAsia="Courier New" w:hAnsi="Courier New"/>
                <w:sz w:val="17"/>
                <w:szCs w:val="17"/>
                <w:color w:val="auto"/>
              </w:rPr>
              <w:t>---------------------</w:t>
            </w:r>
          </w:p>
        </w:tc>
      </w:tr>
      <w:tr>
        <w:trPr>
          <w:trHeight w:val="198"/>
        </w:trPr>
        <w:tc>
          <w:tcPr>
            <w:tcW w:w="6140" w:type="dxa"/>
            <w:vAlign w:val="bottom"/>
          </w:tcPr>
          <w:p>
            <w:pPr>
              <w:spacing w:after="0"/>
              <w:rPr>
                <w:sz w:val="17"/>
                <w:szCs w:val="17"/>
                <w:color w:val="auto"/>
              </w:rPr>
            </w:pPr>
          </w:p>
        </w:tc>
        <w:tc>
          <w:tcPr>
            <w:tcW w:w="13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Sept 30</w:t>
            </w: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w w:val="97"/>
              </w:rPr>
              <w:t>Sept 30</w:t>
            </w: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Sept 30</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Sept 30</w:t>
            </w:r>
          </w:p>
        </w:tc>
      </w:tr>
      <w:tr>
        <w:trPr>
          <w:trHeight w:val="198"/>
        </w:trPr>
        <w:tc>
          <w:tcPr>
            <w:tcW w:w="6140" w:type="dxa"/>
            <w:vAlign w:val="bottom"/>
          </w:tcPr>
          <w:p>
            <w:pPr>
              <w:spacing w:after="0"/>
              <w:rPr>
                <w:sz w:val="20"/>
                <w:szCs w:val="20"/>
                <w:color w:val="auto"/>
              </w:rPr>
            </w:pPr>
            <w:r>
              <w:rPr>
                <w:rFonts w:ascii="Courier New" w:cs="Courier New" w:eastAsia="Courier New" w:hAnsi="Courier New"/>
                <w:sz w:val="17"/>
                <w:szCs w:val="17"/>
                <w:color w:val="auto"/>
              </w:rPr>
              <w:t>Income</w:t>
            </w:r>
          </w:p>
        </w:tc>
        <w:tc>
          <w:tcPr>
            <w:tcW w:w="1380" w:type="dxa"/>
            <w:vAlign w:val="bottom"/>
          </w:tcPr>
          <w:p>
            <w:pPr>
              <w:ind w:left="460"/>
              <w:spacing w:after="0"/>
              <w:rPr>
                <w:sz w:val="20"/>
                <w:szCs w:val="20"/>
                <w:color w:val="auto"/>
              </w:rPr>
            </w:pPr>
            <w:r>
              <w:rPr>
                <w:rFonts w:ascii="Courier New" w:cs="Courier New" w:eastAsia="Courier New" w:hAnsi="Courier New"/>
                <w:sz w:val="17"/>
                <w:szCs w:val="17"/>
                <w:color w:val="auto"/>
              </w:rPr>
              <w:t>1997</w:t>
            </w:r>
          </w:p>
        </w:tc>
        <w:tc>
          <w:tcPr>
            <w:tcW w:w="12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1996</w:t>
            </w:r>
          </w:p>
        </w:tc>
        <w:tc>
          <w:tcPr>
            <w:tcW w:w="1540" w:type="dxa"/>
            <w:vAlign w:val="bottom"/>
          </w:tcPr>
          <w:p>
            <w:pPr>
              <w:ind w:left="720"/>
              <w:spacing w:after="0"/>
              <w:rPr>
                <w:sz w:val="20"/>
                <w:szCs w:val="20"/>
                <w:color w:val="auto"/>
              </w:rPr>
            </w:pPr>
            <w:r>
              <w:rPr>
                <w:rFonts w:ascii="Courier New" w:cs="Courier New" w:eastAsia="Courier New" w:hAnsi="Courier New"/>
                <w:sz w:val="17"/>
                <w:szCs w:val="17"/>
                <w:color w:val="auto"/>
              </w:rPr>
              <w:t>1997</w:t>
            </w:r>
          </w:p>
        </w:tc>
        <w:tc>
          <w:tcPr>
            <w:tcW w:w="1040" w:type="dxa"/>
            <w:vAlign w:val="bottom"/>
          </w:tcPr>
          <w:p>
            <w:pPr>
              <w:ind w:left="300"/>
              <w:spacing w:after="0"/>
              <w:rPr>
                <w:sz w:val="20"/>
                <w:szCs w:val="20"/>
                <w:color w:val="auto"/>
              </w:rPr>
            </w:pPr>
            <w:r>
              <w:rPr>
                <w:rFonts w:ascii="Courier New" w:cs="Courier New" w:eastAsia="Courier New" w:hAnsi="Courier New"/>
                <w:sz w:val="17"/>
                <w:szCs w:val="17"/>
                <w:color w:val="auto"/>
              </w:rPr>
              <w:t>1996</w:t>
            </w:r>
          </w:p>
        </w:tc>
      </w:tr>
      <w:tr>
        <w:trPr>
          <w:trHeight w:val="198"/>
        </w:trPr>
        <w:tc>
          <w:tcPr>
            <w:tcW w:w="61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380" w:type="dxa"/>
            <w:vAlign w:val="bottom"/>
          </w:tcPr>
          <w:p>
            <w:pPr>
              <w:ind w:left="460"/>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ind w:left="720"/>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r>
      <w:tr>
        <w:trPr>
          <w:trHeight w:val="396"/>
        </w:trPr>
        <w:tc>
          <w:tcPr>
            <w:tcW w:w="6140" w:type="dxa"/>
            <w:vAlign w:val="bottom"/>
          </w:tcPr>
          <w:p>
            <w:pPr>
              <w:spacing w:after="0"/>
              <w:rPr>
                <w:sz w:val="20"/>
                <w:szCs w:val="20"/>
                <w:color w:val="auto"/>
              </w:rPr>
            </w:pPr>
            <w:r>
              <w:rPr>
                <w:rFonts w:ascii="Courier New" w:cs="Courier New" w:eastAsia="Courier New" w:hAnsi="Courier New"/>
                <w:sz w:val="17"/>
                <w:szCs w:val="17"/>
                <w:color w:val="auto"/>
              </w:rPr>
              <w:t>Net revenues...............................................</w:t>
            </w:r>
          </w:p>
        </w:tc>
        <w:tc>
          <w:tcPr>
            <w:tcW w:w="13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$ 2,500</w:t>
            </w: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w w:val="97"/>
              </w:rPr>
              <w:t>$ 2,407</w:t>
            </w: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$ 7,322</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$ 7,481</w:t>
            </w:r>
          </w:p>
        </w:tc>
      </w:tr>
      <w:tr>
        <w:trPr>
          <w:trHeight w:val="198"/>
        </w:trPr>
        <w:tc>
          <w:tcPr>
            <w:tcW w:w="6140" w:type="dxa"/>
            <w:vAlign w:val="bottom"/>
          </w:tcPr>
          <w:p>
            <w:pPr>
              <w:spacing w:after="0"/>
              <w:rPr>
                <w:sz w:val="20"/>
                <w:szCs w:val="20"/>
                <w:color w:val="auto"/>
              </w:rPr>
            </w:pPr>
            <w:r>
              <w:rPr>
                <w:rFonts w:ascii="Courier New" w:cs="Courier New" w:eastAsia="Courier New" w:hAnsi="Courier New"/>
                <w:sz w:val="17"/>
                <w:szCs w:val="17"/>
                <w:color w:val="auto"/>
              </w:rPr>
              <w:t>Operating costs and expenses:</w:t>
            </w: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8"/>
        </w:trPr>
        <w:tc>
          <w:tcPr>
            <w:tcW w:w="6140" w:type="dxa"/>
            <w:vAlign w:val="bottom"/>
          </w:tcPr>
          <w:p>
            <w:pPr>
              <w:jc w:val="right"/>
              <w:spacing w:after="0"/>
              <w:rPr>
                <w:sz w:val="20"/>
                <w:szCs w:val="20"/>
                <w:color w:val="auto"/>
              </w:rPr>
            </w:pPr>
            <w:r>
              <w:rPr>
                <w:rFonts w:ascii="Courier New" w:cs="Courier New" w:eastAsia="Courier New" w:hAnsi="Courier New"/>
                <w:sz w:val="17"/>
                <w:szCs w:val="17"/>
                <w:color w:val="auto"/>
              </w:rPr>
              <w:t>Cost of revenues.........................................</w:t>
            </w:r>
          </w:p>
        </w:tc>
        <w:tc>
          <w:tcPr>
            <w:tcW w:w="13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1,518</w:t>
            </w: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1,743</w:t>
            </w: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4,587</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5,354</w:t>
            </w:r>
          </w:p>
        </w:tc>
      </w:tr>
      <w:tr>
        <w:trPr>
          <w:trHeight w:val="198"/>
        </w:trPr>
        <w:tc>
          <w:tcPr>
            <w:tcW w:w="6140" w:type="dxa"/>
            <w:vAlign w:val="bottom"/>
          </w:tcPr>
          <w:p>
            <w:pPr>
              <w:jc w:val="right"/>
              <w:spacing w:after="0"/>
              <w:rPr>
                <w:sz w:val="20"/>
                <w:szCs w:val="20"/>
                <w:color w:val="auto"/>
              </w:rPr>
            </w:pPr>
            <w:r>
              <w:rPr>
                <w:rFonts w:ascii="Courier New" w:cs="Courier New" w:eastAsia="Courier New" w:hAnsi="Courier New"/>
                <w:sz w:val="17"/>
                <w:szCs w:val="17"/>
                <w:color w:val="auto"/>
              </w:rPr>
              <w:t>Research and development.................................</w:t>
            </w:r>
          </w:p>
        </w:tc>
        <w:tc>
          <w:tcPr>
            <w:tcW w:w="13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275</w:t>
            </w: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448</w:t>
            </w: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795</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926</w:t>
            </w:r>
          </w:p>
        </w:tc>
      </w:tr>
      <w:tr>
        <w:trPr>
          <w:trHeight w:val="198"/>
        </w:trPr>
        <w:tc>
          <w:tcPr>
            <w:tcW w:w="6140" w:type="dxa"/>
            <w:vAlign w:val="bottom"/>
          </w:tcPr>
          <w:p>
            <w:pPr>
              <w:jc w:val="right"/>
              <w:spacing w:after="0"/>
              <w:rPr>
                <w:sz w:val="20"/>
                <w:szCs w:val="20"/>
                <w:color w:val="auto"/>
              </w:rPr>
            </w:pPr>
            <w:r>
              <w:rPr>
                <w:rFonts w:ascii="Courier New" w:cs="Courier New" w:eastAsia="Courier New" w:hAnsi="Courier New"/>
                <w:sz w:val="17"/>
                <w:szCs w:val="17"/>
                <w:color w:val="auto"/>
              </w:rPr>
              <w:t>Marketing, general and administrative....................</w:t>
            </w:r>
          </w:p>
        </w:tc>
        <w:tc>
          <w:tcPr>
            <w:tcW w:w="13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349</w:t>
            </w: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393</w:t>
            </w: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1,125</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1,192</w:t>
            </w:r>
          </w:p>
        </w:tc>
      </w:tr>
      <w:tr>
        <w:trPr>
          <w:trHeight w:val="198"/>
        </w:trPr>
        <w:tc>
          <w:tcPr>
            <w:tcW w:w="6140" w:type="dxa"/>
            <w:vAlign w:val="bottom"/>
          </w:tcPr>
          <w:p>
            <w:pPr>
              <w:spacing w:after="0"/>
              <w:rPr>
                <w:sz w:val="17"/>
                <w:szCs w:val="17"/>
                <w:color w:val="auto"/>
              </w:rPr>
            </w:pPr>
          </w:p>
        </w:tc>
        <w:tc>
          <w:tcPr>
            <w:tcW w:w="13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w w:val="97"/>
              </w:rPr>
              <w:t>-------</w:t>
            </w: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198"/>
        </w:trPr>
        <w:tc>
          <w:tcPr>
            <w:tcW w:w="6140" w:type="dxa"/>
            <w:vAlign w:val="bottom"/>
          </w:tcPr>
          <w:p>
            <w:pPr>
              <w:jc w:val="right"/>
              <w:spacing w:after="0"/>
              <w:rPr>
                <w:sz w:val="20"/>
                <w:szCs w:val="20"/>
                <w:color w:val="auto"/>
              </w:rPr>
            </w:pPr>
            <w:r>
              <w:rPr>
                <w:rFonts w:ascii="Courier New" w:cs="Courier New" w:eastAsia="Courier New" w:hAnsi="Courier New"/>
                <w:sz w:val="17"/>
                <w:szCs w:val="17"/>
                <w:color w:val="auto"/>
              </w:rPr>
              <w:t>Total..................................................</w:t>
            </w:r>
          </w:p>
        </w:tc>
        <w:tc>
          <w:tcPr>
            <w:tcW w:w="13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2,142</w:t>
            </w: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2,584</w:t>
            </w: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6,507</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7,472</w:t>
            </w:r>
          </w:p>
        </w:tc>
      </w:tr>
      <w:tr>
        <w:trPr>
          <w:trHeight w:val="198"/>
        </w:trPr>
        <w:tc>
          <w:tcPr>
            <w:tcW w:w="6140" w:type="dxa"/>
            <w:vAlign w:val="bottom"/>
          </w:tcPr>
          <w:p>
            <w:pPr>
              <w:spacing w:after="0"/>
              <w:rPr>
                <w:sz w:val="17"/>
                <w:szCs w:val="17"/>
                <w:color w:val="auto"/>
              </w:rPr>
            </w:pPr>
          </w:p>
        </w:tc>
        <w:tc>
          <w:tcPr>
            <w:tcW w:w="13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w w:val="97"/>
              </w:rPr>
              <w:t>-------</w:t>
            </w: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198"/>
        </w:trPr>
        <w:tc>
          <w:tcPr>
            <w:tcW w:w="6140" w:type="dxa"/>
            <w:vAlign w:val="bottom"/>
          </w:tcPr>
          <w:p>
            <w:pPr>
              <w:jc w:val="right"/>
              <w:spacing w:after="0"/>
              <w:rPr>
                <w:sz w:val="20"/>
                <w:szCs w:val="20"/>
                <w:color w:val="auto"/>
              </w:rPr>
            </w:pPr>
            <w:r>
              <w:rPr>
                <w:rFonts w:ascii="Courier New" w:cs="Courier New" w:eastAsia="Courier New" w:hAnsi="Courier New"/>
                <w:sz w:val="17"/>
                <w:szCs w:val="17"/>
                <w:color w:val="auto"/>
              </w:rPr>
              <w:t>Profit (loss) from operations..............................</w:t>
            </w:r>
          </w:p>
        </w:tc>
        <w:tc>
          <w:tcPr>
            <w:tcW w:w="13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358</w:t>
            </w:r>
          </w:p>
        </w:tc>
        <w:tc>
          <w:tcPr>
            <w:tcW w:w="12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(177)</w:t>
            </w: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815</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9</w:t>
            </w:r>
          </w:p>
        </w:tc>
      </w:tr>
      <w:tr>
        <w:trPr>
          <w:trHeight w:val="198"/>
        </w:trPr>
        <w:tc>
          <w:tcPr>
            <w:tcW w:w="6140" w:type="dxa"/>
            <w:vAlign w:val="bottom"/>
          </w:tcPr>
          <w:p>
            <w:pPr>
              <w:jc w:val="right"/>
              <w:spacing w:after="0"/>
              <w:rPr>
                <w:sz w:val="20"/>
                <w:szCs w:val="20"/>
                <w:color w:val="auto"/>
              </w:rPr>
            </w:pPr>
            <w:r>
              <w:rPr>
                <w:rFonts w:ascii="Courier New" w:cs="Courier New" w:eastAsia="Courier New" w:hAnsi="Courier New"/>
                <w:sz w:val="17"/>
                <w:szCs w:val="17"/>
                <w:color w:val="auto"/>
              </w:rPr>
              <w:t>Other income (expense) net.................................</w:t>
            </w:r>
          </w:p>
        </w:tc>
        <w:tc>
          <w:tcPr>
            <w:tcW w:w="13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33</w:t>
            </w: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17</w:t>
            </w: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127</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82</w:t>
            </w:r>
          </w:p>
        </w:tc>
      </w:tr>
      <w:tr>
        <w:trPr>
          <w:trHeight w:val="198"/>
        </w:trPr>
        <w:tc>
          <w:tcPr>
            <w:tcW w:w="6140" w:type="dxa"/>
            <w:vAlign w:val="bottom"/>
          </w:tcPr>
          <w:p>
            <w:pPr>
              <w:jc w:val="right"/>
              <w:spacing w:after="0"/>
              <w:rPr>
                <w:sz w:val="20"/>
                <w:szCs w:val="20"/>
                <w:color w:val="auto"/>
              </w:rPr>
            </w:pPr>
            <w:r>
              <w:rPr>
                <w:rFonts w:ascii="Courier New" w:cs="Courier New" w:eastAsia="Courier New" w:hAnsi="Courier New"/>
                <w:sz w:val="17"/>
                <w:szCs w:val="17"/>
                <w:color w:val="auto"/>
              </w:rPr>
              <w:t>Interest on loans..........................................</w:t>
            </w:r>
          </w:p>
        </w:tc>
        <w:tc>
          <w:tcPr>
            <w:tcW w:w="13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23</w:t>
            </w: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25</w:t>
            </w: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73</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49</w:t>
            </w:r>
          </w:p>
        </w:tc>
      </w:tr>
      <w:tr>
        <w:trPr>
          <w:trHeight w:val="198"/>
        </w:trPr>
        <w:tc>
          <w:tcPr>
            <w:tcW w:w="6140" w:type="dxa"/>
            <w:vAlign w:val="bottom"/>
          </w:tcPr>
          <w:p>
            <w:pPr>
              <w:spacing w:after="0"/>
              <w:rPr>
                <w:sz w:val="17"/>
                <w:szCs w:val="17"/>
                <w:color w:val="auto"/>
              </w:rPr>
            </w:pPr>
          </w:p>
        </w:tc>
        <w:tc>
          <w:tcPr>
            <w:tcW w:w="13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w w:val="97"/>
              </w:rPr>
              <w:t>-------</w:t>
            </w: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198"/>
        </w:trPr>
        <w:tc>
          <w:tcPr>
            <w:tcW w:w="6140" w:type="dxa"/>
            <w:vAlign w:val="bottom"/>
          </w:tcPr>
          <w:p>
            <w:pPr>
              <w:jc w:val="right"/>
              <w:spacing w:after="0"/>
              <w:rPr>
                <w:sz w:val="20"/>
                <w:szCs w:val="20"/>
                <w:color w:val="auto"/>
              </w:rPr>
            </w:pPr>
            <w:r>
              <w:rPr>
                <w:rFonts w:ascii="Courier New" w:cs="Courier New" w:eastAsia="Courier New" w:hAnsi="Courier New"/>
                <w:sz w:val="17"/>
                <w:szCs w:val="17"/>
                <w:color w:val="auto"/>
              </w:rPr>
              <w:t>Income (loss) before provision for income taxes............</w:t>
            </w:r>
          </w:p>
        </w:tc>
        <w:tc>
          <w:tcPr>
            <w:tcW w:w="13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368</w:t>
            </w:r>
          </w:p>
        </w:tc>
        <w:tc>
          <w:tcPr>
            <w:tcW w:w="12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(185)</w:t>
            </w: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869</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42</w:t>
            </w:r>
          </w:p>
        </w:tc>
      </w:tr>
      <w:tr>
        <w:trPr>
          <w:trHeight w:val="198"/>
        </w:trPr>
        <w:tc>
          <w:tcPr>
            <w:tcW w:w="6140" w:type="dxa"/>
            <w:vAlign w:val="bottom"/>
          </w:tcPr>
          <w:p>
            <w:pPr>
              <w:jc w:val="right"/>
              <w:spacing w:after="0"/>
              <w:rPr>
                <w:sz w:val="20"/>
                <w:szCs w:val="20"/>
                <w:color w:val="auto"/>
              </w:rPr>
            </w:pPr>
            <w:r>
              <w:rPr>
                <w:rFonts w:ascii="Courier New" w:cs="Courier New" w:eastAsia="Courier New" w:hAnsi="Courier New"/>
                <w:sz w:val="17"/>
                <w:szCs w:val="17"/>
                <w:color w:val="auto"/>
              </w:rPr>
              <w:t>Provision (credit) for income taxes........................</w:t>
            </w:r>
          </w:p>
        </w:tc>
        <w:tc>
          <w:tcPr>
            <w:tcW w:w="13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129</w:t>
            </w:r>
          </w:p>
        </w:tc>
        <w:tc>
          <w:tcPr>
            <w:tcW w:w="12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(6)</w:t>
            </w: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304</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48</w:t>
            </w:r>
          </w:p>
        </w:tc>
      </w:tr>
      <w:tr>
        <w:trPr>
          <w:trHeight w:val="198"/>
        </w:trPr>
        <w:tc>
          <w:tcPr>
            <w:tcW w:w="6140" w:type="dxa"/>
            <w:vAlign w:val="bottom"/>
          </w:tcPr>
          <w:p>
            <w:pPr>
              <w:spacing w:after="0"/>
              <w:rPr>
                <w:sz w:val="17"/>
                <w:szCs w:val="17"/>
                <w:color w:val="auto"/>
              </w:rPr>
            </w:pPr>
          </w:p>
        </w:tc>
        <w:tc>
          <w:tcPr>
            <w:tcW w:w="13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w w:val="97"/>
              </w:rPr>
              <w:t>-------</w:t>
            </w: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198"/>
        </w:trPr>
        <w:tc>
          <w:tcPr>
            <w:tcW w:w="6140" w:type="dxa"/>
            <w:vAlign w:val="bottom"/>
          </w:tcPr>
          <w:p>
            <w:pPr>
              <w:jc w:val="right"/>
              <w:spacing w:after="0"/>
              <w:rPr>
                <w:sz w:val="20"/>
                <w:szCs w:val="20"/>
                <w:color w:val="auto"/>
              </w:rPr>
            </w:pPr>
            <w:r>
              <w:rPr>
                <w:rFonts w:ascii="Courier New" w:cs="Courier New" w:eastAsia="Courier New" w:hAnsi="Courier New"/>
                <w:sz w:val="17"/>
                <w:szCs w:val="17"/>
                <w:color w:val="auto"/>
              </w:rPr>
              <w:t>Income (loss) from continuing operations...................</w:t>
            </w:r>
          </w:p>
        </w:tc>
        <w:tc>
          <w:tcPr>
            <w:tcW w:w="13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239</w:t>
            </w:r>
          </w:p>
        </w:tc>
        <w:tc>
          <w:tcPr>
            <w:tcW w:w="12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(179)</w:t>
            </w: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565</w:t>
            </w:r>
          </w:p>
        </w:tc>
        <w:tc>
          <w:tcPr>
            <w:tcW w:w="10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(6)</w:t>
            </w:r>
          </w:p>
        </w:tc>
      </w:tr>
      <w:tr>
        <w:trPr>
          <w:trHeight w:val="198"/>
        </w:trPr>
        <w:tc>
          <w:tcPr>
            <w:tcW w:w="6140" w:type="dxa"/>
            <w:vAlign w:val="bottom"/>
          </w:tcPr>
          <w:p>
            <w:pPr>
              <w:spacing w:after="0"/>
              <w:rPr>
                <w:sz w:val="20"/>
                <w:szCs w:val="20"/>
                <w:color w:val="auto"/>
              </w:rPr>
            </w:pPr>
            <w:r>
              <w:rPr>
                <w:rFonts w:ascii="Courier New" w:cs="Courier New" w:eastAsia="Courier New" w:hAnsi="Courier New"/>
                <w:sz w:val="17"/>
                <w:szCs w:val="17"/>
                <w:color w:val="auto"/>
              </w:rPr>
              <w:t>Discontinued operations:</w:t>
            </w: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8"/>
        </w:trPr>
        <w:tc>
          <w:tcPr>
            <w:tcW w:w="6140" w:type="dxa"/>
            <w:vAlign w:val="bottom"/>
          </w:tcPr>
          <w:p>
            <w:pPr>
              <w:jc w:val="right"/>
              <w:spacing w:after="0"/>
              <w:rPr>
                <w:sz w:val="20"/>
                <w:szCs w:val="20"/>
                <w:color w:val="auto"/>
              </w:rPr>
            </w:pPr>
            <w:r>
              <w:rPr>
                <w:rFonts w:ascii="Courier New" w:cs="Courier New" w:eastAsia="Courier New" w:hAnsi="Courier New"/>
                <w:sz w:val="17"/>
                <w:szCs w:val="17"/>
                <w:color w:val="auto"/>
              </w:rPr>
              <w:t>Income from operations...................................</w:t>
            </w:r>
          </w:p>
        </w:tc>
        <w:tc>
          <w:tcPr>
            <w:tcW w:w="13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32</w:t>
            </w: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52</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98</w:t>
            </w:r>
          </w:p>
        </w:tc>
      </w:tr>
    </w:tbl>
    <w:p>
      <w:pPr>
        <w:sectPr>
          <w:pgSz w:w="11900" w:h="16838" w:orient="portrait"/>
          <w:cols w:equalWidth="0" w:num="1">
            <w:col w:w="11340"/>
          </w:cols>
          <w:pgMar w:left="240" w:top="142" w:right="31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80" w:type="dxa"/>
            <w:vAlign w:val="bottom"/>
          </w:tcPr>
          <w:p>
            <w:pPr>
              <w:ind w:left="220"/>
              <w:spacing w:after="0"/>
              <w:rPr>
                <w:sz w:val="20"/>
                <w:szCs w:val="20"/>
                <w:color w:val="auto"/>
              </w:rPr>
            </w:pPr>
            <w:r>
              <w:rPr>
                <w:rFonts w:ascii="Courier New" w:cs="Courier New" w:eastAsia="Courier New" w:hAnsi="Courier New"/>
                <w:sz w:val="17"/>
                <w:szCs w:val="17"/>
                <w:color w:val="auto"/>
              </w:rPr>
              <w:t>Gain on sale.............................................</w:t>
            </w:r>
          </w:p>
        </w:tc>
        <w:tc>
          <w:tcPr>
            <w:tcW w:w="220" w:type="dxa"/>
            <w:vAlign w:val="bottom"/>
          </w:tcPr>
          <w:p>
            <w:pPr>
              <w:spacing w:after="0"/>
              <w:rPr>
                <w:sz w:val="16"/>
                <w:szCs w:val="16"/>
                <w:color w:val="auto"/>
              </w:rPr>
            </w:pPr>
          </w:p>
        </w:tc>
        <w:tc>
          <w:tcPr>
            <w:tcW w:w="820" w:type="dxa"/>
            <w:vAlign w:val="bottom"/>
          </w:tcPr>
          <w:p>
            <w:pPr>
              <w:jc w:val="right"/>
              <w:ind w:right="234"/>
              <w:spacing w:after="0"/>
              <w:rPr>
                <w:sz w:val="20"/>
                <w:szCs w:val="20"/>
                <w:color w:val="auto"/>
              </w:rPr>
            </w:pPr>
            <w:r>
              <w:rPr>
                <w:rFonts w:ascii="Courier New" w:cs="Courier New" w:eastAsia="Courier New" w:hAnsi="Courier New"/>
                <w:sz w:val="17"/>
                <w:szCs w:val="17"/>
                <w:color w:val="auto"/>
                <w:w w:val="94"/>
              </w:rPr>
              <w:t>1,473</w:t>
            </w:r>
          </w:p>
        </w:tc>
        <w:tc>
          <w:tcPr>
            <w:tcW w:w="400" w:type="dxa"/>
            <w:vAlign w:val="bottom"/>
          </w:tcPr>
          <w:p>
            <w:pPr>
              <w:spacing w:after="0"/>
              <w:rPr>
                <w:sz w:val="16"/>
                <w:szCs w:val="16"/>
                <w:color w:val="auto"/>
              </w:rPr>
            </w:pPr>
          </w:p>
        </w:tc>
        <w:tc>
          <w:tcPr>
            <w:tcW w:w="9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spacing w:after="0"/>
              <w:rPr>
                <w:sz w:val="16"/>
                <w:szCs w:val="16"/>
                <w:color w:val="auto"/>
              </w:rPr>
            </w:pP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1,473</w:t>
            </w:r>
          </w:p>
        </w:tc>
        <w:tc>
          <w:tcPr>
            <w:tcW w:w="260" w:type="dxa"/>
            <w:vAlign w:val="bottom"/>
          </w:tcPr>
          <w:p>
            <w:pPr>
              <w:spacing w:after="0"/>
              <w:rPr>
                <w:sz w:val="16"/>
                <w:szCs w:val="16"/>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380" w:type="dxa"/>
            <w:vAlign w:val="bottom"/>
          </w:tcPr>
          <w:p>
            <w:pPr>
              <w:spacing w:after="0"/>
              <w:rPr>
                <w:sz w:val="17"/>
                <w:szCs w:val="17"/>
                <w:color w:val="auto"/>
              </w:rPr>
            </w:pPr>
          </w:p>
        </w:tc>
        <w:tc>
          <w:tcPr>
            <w:tcW w:w="104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w w:val="97"/>
              </w:rPr>
              <w:t>-------</w:t>
            </w:r>
          </w:p>
        </w:tc>
        <w:tc>
          <w:tcPr>
            <w:tcW w:w="138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380" w:type="dxa"/>
            <w:vAlign w:val="bottom"/>
          </w:tcPr>
          <w:p>
            <w:pPr>
              <w:spacing w:after="0"/>
              <w:rPr>
                <w:sz w:val="20"/>
                <w:szCs w:val="20"/>
                <w:color w:val="auto"/>
              </w:rPr>
            </w:pPr>
            <w:r>
              <w:rPr>
                <w:rFonts w:ascii="Courier New" w:cs="Courier New" w:eastAsia="Courier New" w:hAnsi="Courier New"/>
                <w:sz w:val="17"/>
                <w:szCs w:val="17"/>
                <w:color w:val="auto"/>
              </w:rPr>
              <w:t>Net income (loss)..........................................</w:t>
            </w:r>
          </w:p>
        </w:tc>
        <w:tc>
          <w:tcPr>
            <w:tcW w:w="104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w w:val="97"/>
              </w:rPr>
              <w:t>$ 1,712</w:t>
            </w:r>
          </w:p>
        </w:tc>
        <w:tc>
          <w:tcPr>
            <w:tcW w:w="40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374"/>
              <w:spacing w:after="0"/>
              <w:rPr>
                <w:sz w:val="20"/>
                <w:szCs w:val="20"/>
                <w:color w:val="auto"/>
              </w:rPr>
            </w:pPr>
            <w:r>
              <w:rPr>
                <w:rFonts w:ascii="Courier New" w:cs="Courier New" w:eastAsia="Courier New" w:hAnsi="Courier New"/>
                <w:sz w:val="17"/>
                <w:szCs w:val="17"/>
                <w:color w:val="auto"/>
                <w:w w:val="97"/>
              </w:rPr>
              <w:t>(147)</w:t>
            </w:r>
          </w:p>
        </w:tc>
        <w:tc>
          <w:tcPr>
            <w:tcW w:w="144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$ 2,090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92</w:t>
            </w:r>
          </w:p>
        </w:tc>
      </w:tr>
      <w:tr>
        <w:trPr>
          <w:trHeight w:val="198"/>
        </w:trPr>
        <w:tc>
          <w:tcPr>
            <w:tcW w:w="6380" w:type="dxa"/>
            <w:vAlign w:val="bottom"/>
          </w:tcPr>
          <w:p>
            <w:pPr>
              <w:spacing w:after="0"/>
              <w:rPr>
                <w:sz w:val="17"/>
                <w:szCs w:val="17"/>
                <w:color w:val="auto"/>
              </w:rPr>
            </w:pPr>
          </w:p>
        </w:tc>
        <w:tc>
          <w:tcPr>
            <w:tcW w:w="104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w w:val="97"/>
              </w:rPr>
              <w:t>=======</w:t>
            </w:r>
          </w:p>
        </w:tc>
        <w:tc>
          <w:tcPr>
            <w:tcW w:w="138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6380" w:type="dxa"/>
            <w:vAlign w:val="bottom"/>
          </w:tcPr>
          <w:p>
            <w:pPr>
              <w:spacing w:after="0"/>
              <w:rPr>
                <w:sz w:val="20"/>
                <w:szCs w:val="20"/>
                <w:color w:val="auto"/>
              </w:rPr>
            </w:pPr>
            <w:r>
              <w:rPr>
                <w:rFonts w:ascii="Courier New" w:cs="Courier New" w:eastAsia="Courier New" w:hAnsi="Courier New"/>
                <w:sz w:val="17"/>
                <w:szCs w:val="17"/>
                <w:color w:val="auto"/>
              </w:rPr>
              <w:t>Earnings (loss) per common and common equivalent share:</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8"/>
        </w:trPr>
        <w:tc>
          <w:tcPr>
            <w:tcW w:w="6380" w:type="dxa"/>
            <w:vAlign w:val="bottom"/>
          </w:tcPr>
          <w:p>
            <w:pPr>
              <w:ind w:left="220"/>
              <w:spacing w:after="0"/>
              <w:rPr>
                <w:sz w:val="20"/>
                <w:szCs w:val="20"/>
                <w:color w:val="auto"/>
              </w:rPr>
            </w:pPr>
            <w:r>
              <w:rPr>
                <w:rFonts w:ascii="Courier New" w:cs="Courier New" w:eastAsia="Courier New" w:hAnsi="Courier New"/>
                <w:sz w:val="17"/>
                <w:szCs w:val="17"/>
                <w:color w:val="auto"/>
              </w:rPr>
              <w:t>Continuing operations....................................</w:t>
            </w:r>
          </w:p>
        </w:tc>
        <w:tc>
          <w:tcPr>
            <w:tcW w:w="2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82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1.20</w:t>
            </w:r>
          </w:p>
        </w:tc>
        <w:tc>
          <w:tcPr>
            <w:tcW w:w="138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 (0.95)</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2.84</w:t>
            </w: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(0.03)</w:t>
            </w:r>
          </w:p>
        </w:tc>
      </w:tr>
      <w:tr>
        <w:trPr>
          <w:trHeight w:val="198"/>
        </w:trPr>
        <w:tc>
          <w:tcPr>
            <w:tcW w:w="6380" w:type="dxa"/>
            <w:vAlign w:val="bottom"/>
          </w:tcPr>
          <w:p>
            <w:pPr>
              <w:ind w:left="220"/>
              <w:spacing w:after="0"/>
              <w:rPr>
                <w:sz w:val="20"/>
                <w:szCs w:val="20"/>
                <w:color w:val="auto"/>
              </w:rPr>
            </w:pPr>
            <w:r>
              <w:rPr>
                <w:rFonts w:ascii="Courier New" w:cs="Courier New" w:eastAsia="Courier New" w:hAnsi="Courier New"/>
                <w:sz w:val="17"/>
                <w:szCs w:val="17"/>
                <w:color w:val="auto"/>
              </w:rPr>
              <w:t>Discontinued operations: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8"/>
        </w:trPr>
        <w:tc>
          <w:tcPr>
            <w:tcW w:w="6380" w:type="dxa"/>
            <w:vAlign w:val="bottom"/>
          </w:tcPr>
          <w:p>
            <w:pPr>
              <w:ind w:left="420"/>
              <w:spacing w:after="0"/>
              <w:rPr>
                <w:sz w:val="20"/>
                <w:szCs w:val="20"/>
                <w:color w:val="auto"/>
              </w:rPr>
            </w:pPr>
            <w:r>
              <w:rPr>
                <w:rFonts w:ascii="Courier New" w:cs="Courier New" w:eastAsia="Courier New" w:hAnsi="Courier New"/>
                <w:sz w:val="17"/>
                <w:szCs w:val="17"/>
                <w:color w:val="auto"/>
              </w:rPr>
              <w:t>Income from operations.................................</w:t>
            </w:r>
          </w:p>
        </w:tc>
        <w:tc>
          <w:tcPr>
            <w:tcW w:w="220" w:type="dxa"/>
            <w:vAlign w:val="bottom"/>
          </w:tcPr>
          <w:p>
            <w:pPr>
              <w:spacing w:after="0"/>
              <w:rPr>
                <w:sz w:val="17"/>
                <w:szCs w:val="17"/>
                <w:color w:val="auto"/>
              </w:rPr>
            </w:pPr>
          </w:p>
        </w:tc>
        <w:tc>
          <w:tcPr>
            <w:tcW w:w="82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980" w:type="dxa"/>
            <w:vAlign w:val="bottom"/>
          </w:tcPr>
          <w:p>
            <w:pPr>
              <w:jc w:val="right"/>
              <w:ind w:right="474"/>
              <w:spacing w:after="0"/>
              <w:rPr>
                <w:sz w:val="20"/>
                <w:szCs w:val="20"/>
                <w:color w:val="auto"/>
              </w:rPr>
            </w:pPr>
            <w:r>
              <w:rPr>
                <w:rFonts w:ascii="Courier New" w:cs="Courier New" w:eastAsia="Courier New" w:hAnsi="Courier New"/>
                <w:sz w:val="17"/>
                <w:szCs w:val="17"/>
                <w:color w:val="auto"/>
                <w:w w:val="97"/>
              </w:rPr>
              <w:t>0.17</w:t>
            </w:r>
          </w:p>
        </w:tc>
        <w:tc>
          <w:tcPr>
            <w:tcW w:w="580" w:type="dxa"/>
            <w:vAlign w:val="bottom"/>
          </w:tcPr>
          <w:p>
            <w:pPr>
              <w:spacing w:after="0"/>
              <w:rPr>
                <w:sz w:val="17"/>
                <w:szCs w:val="17"/>
                <w:color w:val="auto"/>
              </w:rPr>
            </w:pP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0.27</w:t>
            </w:r>
          </w:p>
        </w:tc>
        <w:tc>
          <w:tcPr>
            <w:tcW w:w="2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0.51</w:t>
            </w:r>
          </w:p>
        </w:tc>
      </w:tr>
      <w:tr>
        <w:trPr>
          <w:trHeight w:val="198"/>
        </w:trPr>
        <w:tc>
          <w:tcPr>
            <w:tcW w:w="6380" w:type="dxa"/>
            <w:vAlign w:val="bottom"/>
          </w:tcPr>
          <w:p>
            <w:pPr>
              <w:ind w:left="420"/>
              <w:spacing w:after="0"/>
              <w:rPr>
                <w:sz w:val="20"/>
                <w:szCs w:val="20"/>
                <w:color w:val="auto"/>
              </w:rPr>
            </w:pPr>
            <w:r>
              <w:rPr>
                <w:rFonts w:ascii="Courier New" w:cs="Courier New" w:eastAsia="Courier New" w:hAnsi="Courier New"/>
                <w:sz w:val="17"/>
                <w:szCs w:val="17"/>
                <w:color w:val="auto"/>
              </w:rPr>
              <w:t>Gain on sale...........................................</w:t>
            </w:r>
          </w:p>
        </w:tc>
        <w:tc>
          <w:tcPr>
            <w:tcW w:w="220" w:type="dxa"/>
            <w:vAlign w:val="bottom"/>
          </w:tcPr>
          <w:p>
            <w:pPr>
              <w:spacing w:after="0"/>
              <w:rPr>
                <w:sz w:val="17"/>
                <w:szCs w:val="17"/>
                <w:color w:val="auto"/>
              </w:rPr>
            </w:pPr>
          </w:p>
        </w:tc>
        <w:tc>
          <w:tcPr>
            <w:tcW w:w="82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7.36</w:t>
            </w:r>
          </w:p>
        </w:tc>
        <w:tc>
          <w:tcPr>
            <w:tcW w:w="400" w:type="dxa"/>
            <w:vAlign w:val="bottom"/>
          </w:tcPr>
          <w:p>
            <w:pPr>
              <w:spacing w:after="0"/>
              <w:rPr>
                <w:sz w:val="17"/>
                <w:szCs w:val="17"/>
                <w:color w:val="auto"/>
              </w:rPr>
            </w:pPr>
          </w:p>
        </w:tc>
        <w:tc>
          <w:tcPr>
            <w:tcW w:w="9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spacing w:after="0"/>
              <w:rPr>
                <w:sz w:val="17"/>
                <w:szCs w:val="17"/>
                <w:color w:val="auto"/>
              </w:rPr>
            </w:pP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7.41</w:t>
            </w:r>
          </w:p>
        </w:tc>
        <w:tc>
          <w:tcPr>
            <w:tcW w:w="2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380" w:type="dxa"/>
            <w:vAlign w:val="bottom"/>
          </w:tcPr>
          <w:p>
            <w:pPr>
              <w:spacing w:after="0"/>
              <w:rPr>
                <w:sz w:val="17"/>
                <w:szCs w:val="17"/>
                <w:color w:val="auto"/>
              </w:rPr>
            </w:pPr>
          </w:p>
        </w:tc>
        <w:tc>
          <w:tcPr>
            <w:tcW w:w="104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w w:val="97"/>
              </w:rPr>
              <w:t>-------</w:t>
            </w:r>
          </w:p>
        </w:tc>
        <w:tc>
          <w:tcPr>
            <w:tcW w:w="138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380" w:type="dxa"/>
            <w:vAlign w:val="bottom"/>
          </w:tcPr>
          <w:p>
            <w:pPr>
              <w:ind w:left="220"/>
              <w:spacing w:after="0"/>
              <w:rPr>
                <w:sz w:val="20"/>
                <w:szCs w:val="20"/>
                <w:color w:val="auto"/>
              </w:rPr>
            </w:pPr>
            <w:r>
              <w:rPr>
                <w:rFonts w:ascii="Courier New" w:cs="Courier New" w:eastAsia="Courier New" w:hAnsi="Courier New"/>
                <w:sz w:val="17"/>
                <w:szCs w:val="17"/>
                <w:color w:val="auto"/>
              </w:rPr>
              <w:t>Net income (loss)........................................</w:t>
            </w:r>
          </w:p>
        </w:tc>
        <w:tc>
          <w:tcPr>
            <w:tcW w:w="2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82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8.56</w:t>
            </w:r>
          </w:p>
        </w:tc>
        <w:tc>
          <w:tcPr>
            <w:tcW w:w="138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 (0.78)</w:t>
            </w:r>
          </w:p>
        </w:tc>
        <w:tc>
          <w:tcPr>
            <w:tcW w:w="144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$ 10.52</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.48</w:t>
            </w:r>
          </w:p>
        </w:tc>
      </w:tr>
      <w:tr>
        <w:trPr>
          <w:trHeight w:val="198"/>
        </w:trPr>
        <w:tc>
          <w:tcPr>
            <w:tcW w:w="6380" w:type="dxa"/>
            <w:vAlign w:val="bottom"/>
          </w:tcPr>
          <w:p>
            <w:pPr>
              <w:spacing w:after="0"/>
              <w:rPr>
                <w:sz w:val="17"/>
                <w:szCs w:val="17"/>
                <w:color w:val="auto"/>
              </w:rPr>
            </w:pPr>
          </w:p>
        </w:tc>
        <w:tc>
          <w:tcPr>
            <w:tcW w:w="104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w w:val="97"/>
              </w:rPr>
              <w:t>=======</w:t>
            </w:r>
          </w:p>
        </w:tc>
        <w:tc>
          <w:tcPr>
            <w:tcW w:w="138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6380" w:type="dxa"/>
            <w:vAlign w:val="bottom"/>
          </w:tcPr>
          <w:p>
            <w:pPr>
              <w:spacing w:after="0"/>
              <w:rPr>
                <w:sz w:val="20"/>
                <w:szCs w:val="20"/>
                <w:color w:val="auto"/>
              </w:rPr>
            </w:pPr>
            <w:r>
              <w:rPr>
                <w:rFonts w:ascii="Courier New" w:cs="Courier New" w:eastAsia="Courier New" w:hAnsi="Courier New"/>
                <w:sz w:val="17"/>
                <w:szCs w:val="17"/>
                <w:color w:val="auto"/>
              </w:rPr>
              <w:t>Cash dividends declared per share of common stock..........</w:t>
            </w:r>
          </w:p>
        </w:tc>
        <w:tc>
          <w:tcPr>
            <w:tcW w:w="2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82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0.17</w:t>
            </w:r>
          </w:p>
        </w:tc>
        <w:tc>
          <w:tcPr>
            <w:tcW w:w="40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474"/>
              <w:spacing w:after="0"/>
              <w:rPr>
                <w:sz w:val="20"/>
                <w:szCs w:val="20"/>
                <w:color w:val="auto"/>
              </w:rPr>
            </w:pPr>
            <w:r>
              <w:rPr>
                <w:rFonts w:ascii="Courier New" w:cs="Courier New" w:eastAsia="Courier New" w:hAnsi="Courier New"/>
                <w:sz w:val="17"/>
                <w:szCs w:val="17"/>
                <w:color w:val="auto"/>
                <w:w w:val="97"/>
              </w:rPr>
              <w:t>0.17</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0.51</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0.51</w:t>
            </w:r>
          </w:p>
        </w:tc>
      </w:tr>
      <w:tr>
        <w:trPr>
          <w:trHeight w:val="396"/>
        </w:trPr>
        <w:tc>
          <w:tcPr>
            <w:tcW w:w="6380" w:type="dxa"/>
            <w:vAlign w:val="bottom"/>
          </w:tcPr>
          <w:p>
            <w:pPr>
              <w:spacing w:after="0"/>
              <w:rPr>
                <w:sz w:val="20"/>
                <w:szCs w:val="20"/>
                <w:color w:val="auto"/>
              </w:rPr>
            </w:pPr>
            <w:r>
              <w:rPr>
                <w:rFonts w:ascii="Courier New" w:cs="Courier New" w:eastAsia="Courier New" w:hAnsi="Courier New"/>
                <w:sz w:val="17"/>
                <w:szCs w:val="17"/>
                <w:color w:val="auto"/>
              </w:rPr>
              <w:t>Cash Flows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8"/>
        </w:trPr>
        <w:tc>
          <w:tcPr>
            <w:tcW w:w="638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8"/>
        </w:trPr>
        <w:tc>
          <w:tcPr>
            <w:tcW w:w="6380" w:type="dxa"/>
            <w:vAlign w:val="bottom"/>
          </w:tcPr>
          <w:p>
            <w:pPr>
              <w:spacing w:after="0"/>
              <w:rPr>
                <w:sz w:val="20"/>
                <w:szCs w:val="20"/>
                <w:color w:val="auto"/>
              </w:rPr>
            </w:pPr>
            <w:r>
              <w:rPr>
                <w:rFonts w:ascii="Courier New" w:cs="Courier New" w:eastAsia="Courier New" w:hAnsi="Courier New"/>
                <w:sz w:val="17"/>
                <w:szCs w:val="17"/>
                <w:color w:val="auto"/>
              </w:rPr>
              <w:t>Continuing Operations: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8"/>
        </w:trPr>
        <w:tc>
          <w:tcPr>
            <w:tcW w:w="6600" w:type="dxa"/>
            <w:vAlign w:val="bottom"/>
            <w:gridSpan w:val="2"/>
          </w:tcPr>
          <w:p>
            <w:pPr>
              <w:ind w:left="220"/>
              <w:spacing w:after="0"/>
              <w:rPr>
                <w:sz w:val="20"/>
                <w:szCs w:val="20"/>
                <w:color w:val="auto"/>
              </w:rPr>
            </w:pPr>
            <w:r>
              <w:rPr>
                <w:rFonts w:ascii="Courier New" w:cs="Courier New" w:eastAsia="Courier New" w:hAnsi="Courier New"/>
                <w:sz w:val="17"/>
                <w:szCs w:val="17"/>
                <w:color w:val="auto"/>
                <w:w w:val="73"/>
              </w:rPr>
              <w:t>Net cash provided by operating activities............................................</w:t>
            </w: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4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$ 1,369</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206</w:t>
            </w:r>
          </w:p>
        </w:tc>
      </w:tr>
      <w:tr>
        <w:trPr>
          <w:trHeight w:val="396"/>
        </w:trPr>
        <w:tc>
          <w:tcPr>
            <w:tcW w:w="6380" w:type="dxa"/>
            <w:vAlign w:val="bottom"/>
          </w:tcPr>
          <w:p>
            <w:pPr>
              <w:ind w:left="220"/>
              <w:spacing w:after="0"/>
              <w:rPr>
                <w:sz w:val="20"/>
                <w:szCs w:val="20"/>
                <w:color w:val="auto"/>
              </w:rPr>
            </w:pPr>
            <w:r>
              <w:rPr>
                <w:rFonts w:ascii="Courier New" w:cs="Courier New" w:eastAsia="Courier New" w:hAnsi="Courier New"/>
                <w:sz w:val="17"/>
                <w:szCs w:val="17"/>
                <w:color w:val="auto"/>
              </w:rPr>
              <w:t>Cash flows from investing activities: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8"/>
        </w:trPr>
        <w:tc>
          <w:tcPr>
            <w:tcW w:w="6600" w:type="dxa"/>
            <w:vAlign w:val="bottom"/>
            <w:gridSpan w:val="2"/>
          </w:tcPr>
          <w:p>
            <w:pPr>
              <w:ind w:left="420"/>
              <w:spacing w:after="0"/>
              <w:rPr>
                <w:sz w:val="20"/>
                <w:szCs w:val="20"/>
                <w:color w:val="auto"/>
              </w:rPr>
            </w:pPr>
            <w:r>
              <w:rPr>
                <w:rFonts w:ascii="Courier New" w:cs="Courier New" w:eastAsia="Courier New" w:hAnsi="Courier New"/>
                <w:sz w:val="17"/>
                <w:szCs w:val="17"/>
                <w:color w:val="auto"/>
                <w:w w:val="72"/>
              </w:rPr>
              <w:t>Additions to property, plant and equipment.........................................</w:t>
            </w: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(914)</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(1,639)</w:t>
            </w:r>
          </w:p>
        </w:tc>
      </w:tr>
      <w:tr>
        <w:trPr>
          <w:trHeight w:val="198"/>
        </w:trPr>
        <w:tc>
          <w:tcPr>
            <w:tcW w:w="6600" w:type="dxa"/>
            <w:vAlign w:val="bottom"/>
            <w:gridSpan w:val="2"/>
          </w:tcPr>
          <w:p>
            <w:pPr>
              <w:ind w:left="420"/>
              <w:spacing w:after="0"/>
              <w:rPr>
                <w:sz w:val="20"/>
                <w:szCs w:val="20"/>
                <w:color w:val="auto"/>
              </w:rPr>
            </w:pPr>
            <w:r>
              <w:rPr>
                <w:rFonts w:ascii="Courier New" w:cs="Courier New" w:eastAsia="Courier New" w:hAnsi="Courier New"/>
                <w:sz w:val="17"/>
                <w:szCs w:val="17"/>
                <w:color w:val="auto"/>
                <w:w w:val="72"/>
              </w:rPr>
              <w:t>Purchases of short-term investments................................................</w:t>
            </w: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(1,662)</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(14)</w:t>
            </w:r>
          </w:p>
        </w:tc>
      </w:tr>
      <w:tr>
        <w:trPr>
          <w:trHeight w:val="198"/>
        </w:trPr>
        <w:tc>
          <w:tcPr>
            <w:tcW w:w="6600" w:type="dxa"/>
            <w:vAlign w:val="bottom"/>
            <w:gridSpan w:val="2"/>
          </w:tcPr>
          <w:p>
            <w:pPr>
              <w:ind w:left="420"/>
              <w:spacing w:after="0"/>
              <w:rPr>
                <w:sz w:val="20"/>
                <w:szCs w:val="20"/>
                <w:color w:val="auto"/>
              </w:rPr>
            </w:pPr>
            <w:r>
              <w:rPr>
                <w:rFonts w:ascii="Courier New" w:cs="Courier New" w:eastAsia="Courier New" w:hAnsi="Courier New"/>
                <w:sz w:val="17"/>
                <w:szCs w:val="17"/>
                <w:color w:val="auto"/>
                <w:w w:val="72"/>
              </w:rPr>
              <w:t>Sales and maturities of short-term investments.....................................</w:t>
            </w: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172</w:t>
            </w:r>
          </w:p>
        </w:tc>
        <w:tc>
          <w:tcPr>
            <w:tcW w:w="2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195</w:t>
            </w:r>
          </w:p>
        </w:tc>
      </w:tr>
      <w:tr>
        <w:trPr>
          <w:trHeight w:val="198"/>
        </w:trPr>
        <w:tc>
          <w:tcPr>
            <w:tcW w:w="6600" w:type="dxa"/>
            <w:vAlign w:val="bottom"/>
            <w:gridSpan w:val="2"/>
          </w:tcPr>
          <w:p>
            <w:pPr>
              <w:ind w:left="420"/>
              <w:spacing w:after="0"/>
              <w:rPr>
                <w:sz w:val="20"/>
                <w:szCs w:val="20"/>
                <w:color w:val="auto"/>
              </w:rPr>
            </w:pPr>
            <w:r>
              <w:rPr>
                <w:rFonts w:ascii="Courier New" w:cs="Courier New" w:eastAsia="Courier New" w:hAnsi="Courier New"/>
                <w:sz w:val="17"/>
                <w:szCs w:val="17"/>
                <w:color w:val="auto"/>
                <w:w w:val="72"/>
              </w:rPr>
              <w:t>Acquisition of business, net.......................................................</w:t>
            </w: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(313)</w:t>
            </w:r>
          </w:p>
        </w:tc>
      </w:tr>
      <w:tr>
        <w:trPr>
          <w:trHeight w:val="198"/>
        </w:trPr>
        <w:tc>
          <w:tcPr>
            <w:tcW w:w="7420" w:type="dxa"/>
            <w:vAlign w:val="bottom"/>
            <w:gridSpan w:val="3"/>
          </w:tcPr>
          <w:p>
            <w:pPr>
              <w:ind w:left="420"/>
              <w:spacing w:after="0"/>
              <w:rPr>
                <w:sz w:val="20"/>
                <w:szCs w:val="20"/>
                <w:color w:val="auto"/>
              </w:rPr>
            </w:pPr>
            <w:r>
              <w:rPr>
                <w:rFonts w:ascii="Courier New" w:cs="Courier New" w:eastAsia="Courier New" w:hAnsi="Courier New"/>
                <w:sz w:val="17"/>
                <w:szCs w:val="17"/>
                <w:color w:val="auto"/>
              </w:rPr>
              <w:t>Proceeds from sale of discontinued operations less transaction costs</w:t>
            </w:r>
          </w:p>
        </w:tc>
        <w:tc>
          <w:tcPr>
            <w:tcW w:w="13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8"/>
              </w:rPr>
              <w:t>...............</w:t>
            </w:r>
          </w:p>
        </w:tc>
        <w:tc>
          <w:tcPr>
            <w:tcW w:w="580" w:type="dxa"/>
            <w:vAlign w:val="bottom"/>
          </w:tcPr>
          <w:p>
            <w:pPr>
              <w:spacing w:after="0"/>
              <w:rPr>
                <w:sz w:val="17"/>
                <w:szCs w:val="17"/>
                <w:color w:val="auto"/>
              </w:rPr>
            </w:pP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2,836</w:t>
            </w:r>
          </w:p>
        </w:tc>
        <w:tc>
          <w:tcPr>
            <w:tcW w:w="2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600" w:type="dxa"/>
            <w:vAlign w:val="bottom"/>
            <w:gridSpan w:val="2"/>
          </w:tcPr>
          <w:p>
            <w:pPr>
              <w:ind w:left="420"/>
              <w:spacing w:after="0"/>
              <w:rPr>
                <w:sz w:val="20"/>
                <w:szCs w:val="20"/>
                <w:color w:val="auto"/>
              </w:rPr>
            </w:pPr>
            <w:r>
              <w:rPr>
                <w:rFonts w:ascii="Courier New" w:cs="Courier New" w:eastAsia="Courier New" w:hAnsi="Courier New"/>
                <w:sz w:val="17"/>
                <w:szCs w:val="17"/>
                <w:color w:val="auto"/>
                <w:w w:val="72"/>
              </w:rPr>
              <w:t>Proceeds from sale of other businesses.............................................</w:t>
            </w: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177</w:t>
            </w:r>
          </w:p>
        </w:tc>
        <w:tc>
          <w:tcPr>
            <w:tcW w:w="2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150</w:t>
            </w:r>
          </w:p>
        </w:tc>
      </w:tr>
      <w:tr>
        <w:trPr>
          <w:trHeight w:val="198"/>
        </w:trPr>
        <w:tc>
          <w:tcPr>
            <w:tcW w:w="6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4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600" w:type="dxa"/>
            <w:vAlign w:val="bottom"/>
            <w:gridSpan w:val="2"/>
          </w:tcPr>
          <w:p>
            <w:pPr>
              <w:ind w:left="220"/>
              <w:spacing w:after="0"/>
              <w:rPr>
                <w:sz w:val="20"/>
                <w:szCs w:val="20"/>
                <w:color w:val="auto"/>
              </w:rPr>
            </w:pPr>
            <w:r>
              <w:rPr>
                <w:rFonts w:ascii="Courier New" w:cs="Courier New" w:eastAsia="Courier New" w:hAnsi="Courier New"/>
                <w:sz w:val="17"/>
                <w:szCs w:val="17"/>
                <w:color w:val="auto"/>
                <w:w w:val="73"/>
              </w:rPr>
              <w:t>Net cash provided by (used in) investing activities..................................</w:t>
            </w: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609</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(1,621)</w:t>
            </w:r>
          </w:p>
        </w:tc>
      </w:tr>
      <w:tr>
        <w:trPr>
          <w:trHeight w:val="396"/>
        </w:trPr>
        <w:tc>
          <w:tcPr>
            <w:tcW w:w="6380" w:type="dxa"/>
            <w:vAlign w:val="bottom"/>
          </w:tcPr>
          <w:p>
            <w:pPr>
              <w:ind w:left="220"/>
              <w:spacing w:after="0"/>
              <w:rPr>
                <w:sz w:val="20"/>
                <w:szCs w:val="20"/>
                <w:color w:val="auto"/>
              </w:rPr>
            </w:pPr>
            <w:r>
              <w:rPr>
                <w:rFonts w:ascii="Courier New" w:cs="Courier New" w:eastAsia="Courier New" w:hAnsi="Courier New"/>
                <w:sz w:val="17"/>
                <w:szCs w:val="17"/>
                <w:color w:val="auto"/>
              </w:rPr>
              <w:t>Cash flows from financing activities: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8"/>
        </w:trPr>
        <w:tc>
          <w:tcPr>
            <w:tcW w:w="6600" w:type="dxa"/>
            <w:vAlign w:val="bottom"/>
            <w:gridSpan w:val="2"/>
          </w:tcPr>
          <w:p>
            <w:pPr>
              <w:ind w:left="420"/>
              <w:spacing w:after="0"/>
              <w:rPr>
                <w:sz w:val="20"/>
                <w:szCs w:val="20"/>
                <w:color w:val="auto"/>
              </w:rPr>
            </w:pPr>
            <w:r>
              <w:rPr>
                <w:rFonts w:ascii="Courier New" w:cs="Courier New" w:eastAsia="Courier New" w:hAnsi="Courier New"/>
                <w:sz w:val="17"/>
                <w:szCs w:val="17"/>
                <w:color w:val="auto"/>
                <w:w w:val="72"/>
              </w:rPr>
              <w:t>Additions to loans payable.........................................................</w:t>
            </w: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162</w:t>
            </w:r>
          </w:p>
        </w:tc>
      </w:tr>
      <w:tr>
        <w:trPr>
          <w:trHeight w:val="198"/>
        </w:trPr>
        <w:tc>
          <w:tcPr>
            <w:tcW w:w="6600" w:type="dxa"/>
            <w:vAlign w:val="bottom"/>
            <w:gridSpan w:val="2"/>
          </w:tcPr>
          <w:p>
            <w:pPr>
              <w:ind w:left="420"/>
              <w:spacing w:after="0"/>
              <w:rPr>
                <w:sz w:val="20"/>
                <w:szCs w:val="20"/>
                <w:color w:val="auto"/>
              </w:rPr>
            </w:pPr>
            <w:r>
              <w:rPr>
                <w:rFonts w:ascii="Courier New" w:cs="Courier New" w:eastAsia="Courier New" w:hAnsi="Courier New"/>
                <w:sz w:val="17"/>
                <w:szCs w:val="17"/>
                <w:color w:val="auto"/>
                <w:w w:val="72"/>
              </w:rPr>
              <w:t>Payments on loans payable..........................................................</w:t>
            </w: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(280)</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r>
      <w:tr>
        <w:trPr>
          <w:trHeight w:val="198"/>
        </w:trPr>
        <w:tc>
          <w:tcPr>
            <w:tcW w:w="6600" w:type="dxa"/>
            <w:vAlign w:val="bottom"/>
            <w:gridSpan w:val="2"/>
          </w:tcPr>
          <w:p>
            <w:pPr>
              <w:ind w:left="420"/>
              <w:spacing w:after="0"/>
              <w:rPr>
                <w:sz w:val="20"/>
                <w:szCs w:val="20"/>
                <w:color w:val="auto"/>
              </w:rPr>
            </w:pPr>
            <w:r>
              <w:rPr>
                <w:rFonts w:ascii="Courier New" w:cs="Courier New" w:eastAsia="Courier New" w:hAnsi="Courier New"/>
                <w:sz w:val="17"/>
                <w:szCs w:val="17"/>
                <w:color w:val="auto"/>
                <w:w w:val="72"/>
              </w:rPr>
              <w:t>Additions to long-term debt........................................................</w:t>
            </w: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27</w:t>
            </w:r>
          </w:p>
        </w:tc>
        <w:tc>
          <w:tcPr>
            <w:tcW w:w="2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841</w:t>
            </w:r>
          </w:p>
        </w:tc>
      </w:tr>
      <w:tr>
        <w:trPr>
          <w:trHeight w:val="198"/>
        </w:trPr>
        <w:tc>
          <w:tcPr>
            <w:tcW w:w="6600" w:type="dxa"/>
            <w:vAlign w:val="bottom"/>
            <w:gridSpan w:val="2"/>
          </w:tcPr>
          <w:p>
            <w:pPr>
              <w:ind w:left="420"/>
              <w:spacing w:after="0"/>
              <w:rPr>
                <w:sz w:val="20"/>
                <w:szCs w:val="20"/>
                <w:color w:val="auto"/>
              </w:rPr>
            </w:pPr>
            <w:r>
              <w:rPr>
                <w:rFonts w:ascii="Courier New" w:cs="Courier New" w:eastAsia="Courier New" w:hAnsi="Courier New"/>
                <w:sz w:val="17"/>
                <w:szCs w:val="17"/>
                <w:color w:val="auto"/>
                <w:w w:val="72"/>
              </w:rPr>
              <w:t>Payments on long-term debt.........................................................</w:t>
            </w: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(172)</w:t>
            </w:r>
          </w:p>
        </w:tc>
      </w:tr>
      <w:tr>
        <w:trPr>
          <w:trHeight w:val="198"/>
        </w:trPr>
        <w:tc>
          <w:tcPr>
            <w:tcW w:w="6600" w:type="dxa"/>
            <w:vAlign w:val="bottom"/>
            <w:gridSpan w:val="2"/>
          </w:tcPr>
          <w:p>
            <w:pPr>
              <w:ind w:left="420"/>
              <w:spacing w:after="0"/>
              <w:rPr>
                <w:sz w:val="20"/>
                <w:szCs w:val="20"/>
                <w:color w:val="auto"/>
              </w:rPr>
            </w:pPr>
            <w:r>
              <w:rPr>
                <w:rFonts w:ascii="Courier New" w:cs="Courier New" w:eastAsia="Courier New" w:hAnsi="Courier New"/>
                <w:sz w:val="17"/>
                <w:szCs w:val="17"/>
                <w:color w:val="auto"/>
                <w:w w:val="72"/>
              </w:rPr>
              <w:t>Dividends paid on common stock.....................................................</w:t>
            </w: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(97)</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(97)</w:t>
            </w:r>
          </w:p>
        </w:tc>
      </w:tr>
      <w:tr>
        <w:trPr>
          <w:trHeight w:val="198"/>
        </w:trPr>
        <w:tc>
          <w:tcPr>
            <w:tcW w:w="6600" w:type="dxa"/>
            <w:vAlign w:val="bottom"/>
            <w:gridSpan w:val="2"/>
          </w:tcPr>
          <w:p>
            <w:pPr>
              <w:ind w:left="420"/>
              <w:spacing w:after="0"/>
              <w:rPr>
                <w:sz w:val="20"/>
                <w:szCs w:val="20"/>
                <w:color w:val="auto"/>
              </w:rPr>
            </w:pPr>
            <w:r>
              <w:rPr>
                <w:rFonts w:ascii="Courier New" w:cs="Courier New" w:eastAsia="Courier New" w:hAnsi="Courier New"/>
                <w:sz w:val="17"/>
                <w:szCs w:val="17"/>
                <w:color w:val="auto"/>
                <w:w w:val="72"/>
              </w:rPr>
              <w:t>Sales and other common stock transactions..........................................</w:t>
            </w: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102</w:t>
            </w:r>
          </w:p>
        </w:tc>
        <w:tc>
          <w:tcPr>
            <w:tcW w:w="2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23</w:t>
            </w:r>
          </w:p>
        </w:tc>
      </w:tr>
      <w:tr>
        <w:trPr>
          <w:trHeight w:val="198"/>
        </w:trPr>
        <w:tc>
          <w:tcPr>
            <w:tcW w:w="6600" w:type="dxa"/>
            <w:vAlign w:val="bottom"/>
            <w:gridSpan w:val="2"/>
          </w:tcPr>
          <w:p>
            <w:pPr>
              <w:ind w:left="420"/>
              <w:spacing w:after="0"/>
              <w:rPr>
                <w:sz w:val="20"/>
                <w:szCs w:val="20"/>
                <w:color w:val="auto"/>
              </w:rPr>
            </w:pPr>
            <w:r>
              <w:rPr>
                <w:rFonts w:ascii="Courier New" w:cs="Courier New" w:eastAsia="Courier New" w:hAnsi="Courier New"/>
                <w:sz w:val="17"/>
                <w:szCs w:val="17"/>
                <w:color w:val="auto"/>
                <w:w w:val="72"/>
              </w:rPr>
              <w:t>Other..............................................................................</w:t>
            </w: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4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600" w:type="dxa"/>
            <w:vAlign w:val="bottom"/>
            <w:gridSpan w:val="2"/>
          </w:tcPr>
          <w:p>
            <w:pPr>
              <w:ind w:left="220"/>
              <w:spacing w:after="0"/>
              <w:rPr>
                <w:sz w:val="20"/>
                <w:szCs w:val="20"/>
                <w:color w:val="auto"/>
              </w:rPr>
            </w:pPr>
            <w:r>
              <w:rPr>
                <w:rFonts w:ascii="Courier New" w:cs="Courier New" w:eastAsia="Courier New" w:hAnsi="Courier New"/>
                <w:sz w:val="17"/>
                <w:szCs w:val="17"/>
                <w:color w:val="auto"/>
                <w:w w:val="73"/>
              </w:rPr>
              <w:t>Net cash provided by (used in) financing activities..................................</w:t>
            </w: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(249)</w:t>
            </w:r>
          </w:p>
        </w:tc>
        <w:tc>
          <w:tcPr>
            <w:tcW w:w="2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755</w:t>
            </w:r>
          </w:p>
        </w:tc>
      </w:tr>
      <w:tr>
        <w:trPr>
          <w:trHeight w:val="396"/>
        </w:trPr>
        <w:tc>
          <w:tcPr>
            <w:tcW w:w="6600" w:type="dxa"/>
            <w:vAlign w:val="bottom"/>
            <w:gridSpan w:val="2"/>
          </w:tcPr>
          <w:p>
            <w:pPr>
              <w:ind w:left="220"/>
              <w:spacing w:after="0"/>
              <w:rPr>
                <w:sz w:val="20"/>
                <w:szCs w:val="20"/>
                <w:color w:val="auto"/>
              </w:rPr>
            </w:pPr>
            <w:r>
              <w:rPr>
                <w:rFonts w:ascii="Courier New" w:cs="Courier New" w:eastAsia="Courier New" w:hAnsi="Courier New"/>
                <w:sz w:val="17"/>
                <w:szCs w:val="17"/>
                <w:color w:val="auto"/>
                <w:w w:val="73"/>
              </w:rPr>
              <w:t>Effect of exchange rate changes on cash..............................................</w:t>
            </w: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(23)</w:t>
            </w: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(11)</w:t>
            </w:r>
          </w:p>
        </w:tc>
      </w:tr>
      <w:tr>
        <w:trPr>
          <w:trHeight w:val="198"/>
        </w:trPr>
        <w:tc>
          <w:tcPr>
            <w:tcW w:w="6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4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600" w:type="dxa"/>
            <w:vAlign w:val="bottom"/>
            <w:gridSpan w:val="2"/>
          </w:tcPr>
          <w:p>
            <w:pPr>
              <w:ind w:left="220"/>
              <w:spacing w:after="0"/>
              <w:rPr>
                <w:sz w:val="20"/>
                <w:szCs w:val="20"/>
                <w:color w:val="auto"/>
              </w:rPr>
            </w:pPr>
            <w:r>
              <w:rPr>
                <w:rFonts w:ascii="Courier New" w:cs="Courier New" w:eastAsia="Courier New" w:hAnsi="Courier New"/>
                <w:sz w:val="17"/>
                <w:szCs w:val="17"/>
                <w:color w:val="auto"/>
                <w:w w:val="73"/>
              </w:rPr>
              <w:t>Cash provided by (used in) continuing operations.....................................</w:t>
            </w: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1,706</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(671)</w:t>
            </w:r>
          </w:p>
        </w:tc>
      </w:tr>
      <w:tr>
        <w:trPr>
          <w:trHeight w:val="198"/>
        </w:trPr>
        <w:tc>
          <w:tcPr>
            <w:tcW w:w="6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4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380" w:type="dxa"/>
            <w:vAlign w:val="bottom"/>
          </w:tcPr>
          <w:p>
            <w:pPr>
              <w:spacing w:after="0"/>
              <w:rPr>
                <w:sz w:val="20"/>
                <w:szCs w:val="20"/>
                <w:color w:val="auto"/>
              </w:rPr>
            </w:pPr>
            <w:r>
              <w:rPr>
                <w:rFonts w:ascii="Courier New" w:cs="Courier New" w:eastAsia="Courier New" w:hAnsi="Courier New"/>
                <w:sz w:val="17"/>
                <w:szCs w:val="17"/>
                <w:color w:val="auto"/>
              </w:rPr>
              <w:t>Discontinued Operations: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8"/>
        </w:trPr>
        <w:tc>
          <w:tcPr>
            <w:tcW w:w="6600" w:type="dxa"/>
            <w:vAlign w:val="bottom"/>
            <w:gridSpan w:val="2"/>
          </w:tcPr>
          <w:p>
            <w:pPr>
              <w:ind w:left="220"/>
              <w:spacing w:after="0"/>
              <w:rPr>
                <w:sz w:val="20"/>
                <w:szCs w:val="20"/>
                <w:color w:val="auto"/>
              </w:rPr>
            </w:pPr>
            <w:r>
              <w:rPr>
                <w:rFonts w:ascii="Courier New" w:cs="Courier New" w:eastAsia="Courier New" w:hAnsi="Courier New"/>
                <w:sz w:val="17"/>
                <w:szCs w:val="17"/>
                <w:color w:val="auto"/>
                <w:w w:val="73"/>
              </w:rPr>
              <w:t>Operating activities.................................................................</w:t>
            </w: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73</w:t>
            </w:r>
          </w:p>
        </w:tc>
        <w:tc>
          <w:tcPr>
            <w:tcW w:w="2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40</w:t>
            </w:r>
          </w:p>
        </w:tc>
      </w:tr>
      <w:tr>
        <w:trPr>
          <w:trHeight w:val="198"/>
        </w:trPr>
        <w:tc>
          <w:tcPr>
            <w:tcW w:w="6600" w:type="dxa"/>
            <w:vAlign w:val="bottom"/>
            <w:gridSpan w:val="2"/>
          </w:tcPr>
          <w:p>
            <w:pPr>
              <w:ind w:left="220"/>
              <w:spacing w:after="0"/>
              <w:rPr>
                <w:sz w:val="20"/>
                <w:szCs w:val="20"/>
                <w:color w:val="auto"/>
              </w:rPr>
            </w:pPr>
            <w:r>
              <w:rPr>
                <w:rFonts w:ascii="Courier New" w:cs="Courier New" w:eastAsia="Courier New" w:hAnsi="Courier New"/>
                <w:sz w:val="17"/>
                <w:szCs w:val="17"/>
                <w:color w:val="auto"/>
                <w:w w:val="73"/>
              </w:rPr>
              <w:t>Investing activities.................................................................</w:t>
            </w: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(16)</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(57)</w:t>
            </w:r>
          </w:p>
        </w:tc>
      </w:tr>
      <w:tr>
        <w:trPr>
          <w:trHeight w:val="198"/>
        </w:trPr>
        <w:tc>
          <w:tcPr>
            <w:tcW w:w="6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4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600" w:type="dxa"/>
            <w:vAlign w:val="bottom"/>
            <w:gridSpan w:val="2"/>
          </w:tcPr>
          <w:p>
            <w:pPr>
              <w:ind w:left="220"/>
              <w:spacing w:after="0"/>
              <w:rPr>
                <w:sz w:val="20"/>
                <w:szCs w:val="20"/>
                <w:color w:val="auto"/>
              </w:rPr>
            </w:pPr>
            <w:r>
              <w:rPr>
                <w:rFonts w:ascii="Courier New" w:cs="Courier New" w:eastAsia="Courier New" w:hAnsi="Courier New"/>
                <w:sz w:val="17"/>
                <w:szCs w:val="17"/>
                <w:color w:val="auto"/>
                <w:w w:val="73"/>
              </w:rPr>
              <w:t>Cash provided by (used in) discontinued operations...................................</w:t>
            </w: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57</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(17)</w:t>
            </w:r>
          </w:p>
        </w:tc>
      </w:tr>
      <w:tr>
        <w:trPr>
          <w:trHeight w:val="198"/>
        </w:trPr>
        <w:tc>
          <w:tcPr>
            <w:tcW w:w="6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4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600" w:type="dxa"/>
            <w:vAlign w:val="bottom"/>
            <w:gridSpan w:val="2"/>
          </w:tcPr>
          <w:p>
            <w:pPr>
              <w:spacing w:after="0"/>
              <w:rPr>
                <w:sz w:val="20"/>
                <w:szCs w:val="20"/>
                <w:color w:val="auto"/>
              </w:rPr>
            </w:pPr>
            <w:r>
              <w:rPr>
                <w:rFonts w:ascii="Courier New" w:cs="Courier New" w:eastAsia="Courier New" w:hAnsi="Courier New"/>
                <w:sz w:val="17"/>
                <w:szCs w:val="17"/>
                <w:color w:val="auto"/>
                <w:w w:val="74"/>
              </w:rPr>
              <w:t>Net increase (decrease) in cash and cash equivalents...................................</w:t>
            </w: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1,763</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(688)</w:t>
            </w:r>
          </w:p>
        </w:tc>
      </w:tr>
      <w:tr>
        <w:trPr>
          <w:trHeight w:val="198"/>
        </w:trPr>
        <w:tc>
          <w:tcPr>
            <w:tcW w:w="6600" w:type="dxa"/>
            <w:vAlign w:val="bottom"/>
            <w:gridSpan w:val="2"/>
          </w:tcPr>
          <w:p>
            <w:pPr>
              <w:spacing w:after="0"/>
              <w:rPr>
                <w:sz w:val="20"/>
                <w:szCs w:val="20"/>
                <w:color w:val="auto"/>
              </w:rPr>
            </w:pPr>
            <w:r>
              <w:rPr>
                <w:rFonts w:ascii="Courier New" w:cs="Courier New" w:eastAsia="Courier New" w:hAnsi="Courier New"/>
                <w:sz w:val="17"/>
                <w:szCs w:val="17"/>
                <w:color w:val="auto"/>
                <w:w w:val="74"/>
              </w:rPr>
              <w:t>Cash and cash equivalents, January 1...................................................</w:t>
            </w: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964</w:t>
            </w:r>
          </w:p>
        </w:tc>
        <w:tc>
          <w:tcPr>
            <w:tcW w:w="2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1,364</w:t>
            </w:r>
          </w:p>
        </w:tc>
      </w:tr>
      <w:tr>
        <w:trPr>
          <w:trHeight w:val="198"/>
        </w:trPr>
        <w:tc>
          <w:tcPr>
            <w:tcW w:w="6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4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600" w:type="dxa"/>
            <w:vAlign w:val="bottom"/>
            <w:gridSpan w:val="2"/>
          </w:tcPr>
          <w:p>
            <w:pPr>
              <w:spacing w:after="0"/>
              <w:rPr>
                <w:sz w:val="20"/>
                <w:szCs w:val="20"/>
                <w:color w:val="auto"/>
              </w:rPr>
            </w:pPr>
            <w:r>
              <w:rPr>
                <w:rFonts w:ascii="Courier New" w:cs="Courier New" w:eastAsia="Courier New" w:hAnsi="Courier New"/>
                <w:sz w:val="17"/>
                <w:szCs w:val="17"/>
                <w:color w:val="auto"/>
                <w:w w:val="74"/>
              </w:rPr>
              <w:t>Cash and cash equivalents, September 30................................................</w:t>
            </w: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4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$ 2,727</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676</w:t>
            </w:r>
          </w:p>
        </w:tc>
      </w:tr>
      <w:tr>
        <w:trPr>
          <w:trHeight w:val="198"/>
        </w:trPr>
        <w:tc>
          <w:tcPr>
            <w:tcW w:w="6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4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6380" w:type="dxa"/>
            <w:vAlign w:val="bottom"/>
          </w:tcPr>
          <w:p>
            <w:pPr>
              <w:ind w:left="5360"/>
              <w:spacing w:after="0"/>
              <w:rPr>
                <w:sz w:val="20"/>
                <w:szCs w:val="20"/>
                <w:color w:val="auto"/>
              </w:rPr>
            </w:pPr>
            <w:r>
              <w:rPr>
                <w:rFonts w:ascii="Courier New" w:cs="Courier New" w:eastAsia="Courier New" w:hAnsi="Courier New"/>
                <w:sz w:val="17"/>
                <w:szCs w:val="17"/>
                <w:color w:val="auto"/>
              </w:rPr>
              <w:t>3</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200" w:lineRule="exact"/>
        <w:rPr>
          <w:sz w:val="20"/>
          <w:szCs w:val="20"/>
          <w:color w:val="auto"/>
        </w:rPr>
      </w:pPr>
    </w:p>
    <w:p>
      <w:pPr>
        <w:spacing w:after="0" w:line="201" w:lineRule="exact"/>
        <w:rPr>
          <w:sz w:val="20"/>
          <w:szCs w:val="20"/>
          <w:color w:val="auto"/>
        </w:rPr>
      </w:pPr>
    </w:p>
    <w:p>
      <w:pPr>
        <w:ind w:left="1440"/>
        <w:spacing w:after="0"/>
        <w:rPr>
          <w:sz w:val="20"/>
          <w:szCs w:val="20"/>
          <w:color w:val="auto"/>
        </w:rPr>
      </w:pPr>
      <w:r>
        <w:rPr>
          <w:rFonts w:ascii="Courier New" w:cs="Courier New" w:eastAsia="Courier New" w:hAnsi="Courier New"/>
          <w:sz w:val="17"/>
          <w:szCs w:val="17"/>
          <w:color w:val="auto"/>
        </w:rPr>
        <w:t>TEXAS INSTRUMENTS INCORPORATED AND SUBSIDIARIES</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Notes to Financial Statements</w:t>
      </w:r>
    </w:p>
    <w:p>
      <w:pPr>
        <w:spacing w:after="0" w:line="203" w:lineRule="exact"/>
        <w:rPr>
          <w:sz w:val="20"/>
          <w:szCs w:val="20"/>
          <w:color w:val="auto"/>
        </w:rPr>
      </w:pPr>
    </w:p>
    <w:p>
      <w:pPr>
        <w:ind w:right="3180"/>
        <w:spacing w:after="0" w:line="246" w:lineRule="auto"/>
        <w:rPr>
          <w:sz w:val="20"/>
          <w:szCs w:val="20"/>
          <w:color w:val="auto"/>
        </w:rPr>
      </w:pPr>
      <w:r>
        <w:rPr>
          <w:rFonts w:ascii="Courier New" w:cs="Courier New" w:eastAsia="Courier New" w:hAnsi="Courier New"/>
          <w:sz w:val="17"/>
          <w:szCs w:val="17"/>
          <w:color w:val="auto"/>
        </w:rPr>
        <w:t>Earnings per common and common equivalent share are based on average common and common equivalent shares outstanding (200.0 and 189.7 million shares for the third quarters of 1997 and 1996, and 198.7 and 191.8 million shares for the nine months ended September 30, 1997 and 1996). Shares issuable upon exercise of dilutive stock options and upon conversion of dilutive convertible debentures are included in average common and common equivalent shares outstanding.</w:t>
      </w:r>
    </w:p>
    <w:p>
      <w:pPr>
        <w:spacing w:after="0" w:line="202" w:lineRule="exact"/>
        <w:rPr>
          <w:sz w:val="20"/>
          <w:szCs w:val="20"/>
          <w:color w:val="auto"/>
        </w:rPr>
      </w:pPr>
    </w:p>
    <w:p>
      <w:pPr>
        <w:ind w:right="3180"/>
        <w:spacing w:after="0" w:line="246" w:lineRule="auto"/>
        <w:rPr>
          <w:sz w:val="20"/>
          <w:szCs w:val="20"/>
          <w:color w:val="auto"/>
        </w:rPr>
      </w:pPr>
      <w:r>
        <w:rPr>
          <w:rFonts w:ascii="Courier New" w:cs="Courier New" w:eastAsia="Courier New" w:hAnsi="Courier New"/>
          <w:sz w:val="17"/>
          <w:szCs w:val="17"/>
          <w:color w:val="auto"/>
        </w:rPr>
        <w:t>Results for the third quarter of 1997 reflect the sale of TI's defense business, which was closed with Raytheon Company on July 11 for $2.95 billion in cash. The net gain from this sale, after income taxes of $876 million, was $1,473 million and was included in discontinued operations.</w:t>
      </w:r>
    </w:p>
    <w:p>
      <w:pPr>
        <w:spacing w:after="0" w:line="200" w:lineRule="exact"/>
        <w:rPr>
          <w:sz w:val="20"/>
          <w:szCs w:val="20"/>
          <w:color w:val="auto"/>
        </w:rPr>
      </w:pPr>
    </w:p>
    <w:p>
      <w:pPr>
        <w:ind w:right="3180"/>
        <w:spacing w:after="0" w:line="246" w:lineRule="auto"/>
        <w:rPr>
          <w:sz w:val="20"/>
          <w:szCs w:val="20"/>
          <w:color w:val="auto"/>
        </w:rPr>
      </w:pPr>
      <w:r>
        <w:rPr>
          <w:rFonts w:ascii="Courier New" w:cs="Courier New" w:eastAsia="Courier New" w:hAnsi="Courier New"/>
          <w:sz w:val="17"/>
          <w:szCs w:val="17"/>
          <w:color w:val="auto"/>
        </w:rPr>
        <w:t>On July 29, 1997, TI gave notice of redemption for the $103.2 million outstanding balance of its 2.75% convertible subordinated debentures due 2002. In response, essentially all of the debenture holders elected to convert their debentures into TI common stock. This resulted in the issuance of 2,488,175 shares of TI common stock in the third quarter.</w:t>
      </w:r>
    </w:p>
    <w:p>
      <w:pPr>
        <w:sectPr>
          <w:pgSz w:w="11900" w:h="16838" w:orient="portrait"/>
          <w:cols w:equalWidth="0" w:num="1">
            <w:col w:w="11220"/>
          </w:cols>
          <w:pgMar w:left="240" w:top="142" w:right="439" w:bottom="0" w:gutter="0" w:footer="0" w:header="0"/>
        </w:sectPr>
      </w:pPr>
    </w:p>
    <w:bookmarkStart w:id="3" w:name="page4"/>
    <w:bookmarkEnd w:id="3"/>
    <w:p>
      <w:pPr>
        <w:ind w:right="2499"/>
        <w:spacing w:after="0" w:line="246" w:lineRule="auto"/>
        <w:rPr>
          <w:sz w:val="20"/>
          <w:szCs w:val="20"/>
          <w:color w:val="auto"/>
        </w:rPr>
      </w:pPr>
      <w:r>
        <w:rPr>
          <w:rFonts w:ascii="Courier New" w:cs="Courier New" w:eastAsia="Courier New" w:hAnsi="Courier New"/>
          <w:sz w:val="17"/>
          <w:szCs w:val="17"/>
          <w:color w:val="auto"/>
        </w:rPr>
        <w:t>On September 18, 1997, TI's Board of Directors declared a two-for-one stock split in the form of a 100 percent stock dividend on the common stock to shareholders of record October 24, 1997. Number of shares and per-share amounts herein do not reflect the two-for-one stock split.</w:t>
      </w:r>
    </w:p>
    <w:p>
      <w:pPr>
        <w:spacing w:after="0" w:line="200"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TI announced on October 14, 1997, a continuous fixed-spread tender offer for any or all of its 9.0% notes due 2001, its 9.25% notes due 2003 and its 8.75% notes due 2007. The offering period extends from October 15 through October 21, with cash settlement on October 24, 1997. Each of the series of notes has $150 million in principal outstanding. There will be an extraordinary charge in the fourth quarter of 1997 depending on the quantity and price of debt tendered.</w:t>
      </w:r>
    </w:p>
    <w:p>
      <w:pPr>
        <w:spacing w:after="0" w:line="202"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Results for the second quarter of 1997 include a pretax operating charge of $44 million for the termination of joint-venture agreements in Thailand and a $66 million pretax gain from the sale of three TI businesses, principally software.</w:t>
      </w:r>
    </w:p>
    <w:p>
      <w:pPr>
        <w:spacing w:after="0" w:line="200"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In the first quarter of 1997, the company sold its mobile computing business and terminated its digital imaging printing development program. As a result, the company took a pretax charge of $56 million in the first quarter, of which $27 million was for severance for involuntary employment reductions worldwide. These severance actions were essentially completed by the end of the quarter and affected approximately 1,045 employees. The balance, $29 million, was for other costs associated with the business sale and program termination, including vendor cancellation and lease charges.</w:t>
      </w:r>
    </w:p>
    <w:p>
      <w:pPr>
        <w:spacing w:after="0" w:line="203"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Accounting policy on derivatives: Net currency exchange gains and losses from forward currency exchange contracts to hedge net balance sheet exposures are charged or credited on a current basis to other income (expense) net. Gains and losses from forward currency exchange contracts to hedge specific transactions are deferred and included in the measurement of the related transactions. Gains and losses from interest rate swaps are included on the accrual basis in interest expense. Gains and losses from terminated forward currency exchange contracts and interest rate swaps are deferred and recognized consistent with the terms of the underlying transaction.</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The statements of income, statements of cash flows and balance sheet at September 30, 1997, are not audited but reflect all adjustments which are of a normal recurring nature and are, in the opinion of management, necessary to a fair statement of the results of the periods shown.</w:t>
      </w:r>
    </w:p>
    <w:p>
      <w:pPr>
        <w:spacing w:after="0" w:line="200"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4</w:t>
      </w:r>
    </w:p>
    <w:p>
      <w:pPr>
        <w:spacing w:after="0" w:line="200" w:lineRule="exact"/>
        <w:rPr>
          <w:sz w:val="20"/>
          <w:szCs w:val="20"/>
          <w:color w:val="auto"/>
        </w:rPr>
      </w:pPr>
    </w:p>
    <w:p>
      <w:pPr>
        <w:spacing w:after="0" w:line="399"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7"/>
          <w:szCs w:val="17"/>
          <w:color w:val="auto"/>
        </w:rPr>
        <w:t>ITEM 2. Management's Discussion and Analysis of Financial Condition andResults of Operations.</w:t>
      </w:r>
    </w:p>
    <w:p>
      <w:pPr>
        <w:spacing w:after="0" w:line="198"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Higher operating margins for semiconductors drove continued improvements in profitability for the Registrant (the "company" or "TI") in the third quarter of 1997, led by ongoing strength in digital signal processing solutions and other differentiated semiconductors.</w:t>
      </w:r>
    </w:p>
    <w:p>
      <w:pPr>
        <w:spacing w:after="0" w:line="200"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TI's operating margin increased to 14.3 percent in the quarter, up from 0.6 percent in the third quarter of 1996, excluding a one-time charge in the year-ago period. Semiconductor margins were up more than 12 points from the year-ago level, and also increased sequentially from the second quarter of 1997.</w:t>
      </w:r>
    </w:p>
    <w:p>
      <w:pPr>
        <w:spacing w:after="0" w:line="200"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The company has announced a number of strategic developments to widen its leadership in the rapidly growing market of digital signal processing solutions. Most recently, TI disclosed a floating-point member of its powerful TMS320C6x digital signal processor (DSP) family. The 'C67x is the first DSP to offer peak performance of 1 billion floating-point calculations per second, and will enable applications requiring powerful analysis such as space exploration equipment, unprecedented virtual reality, next-generation medical imaging, and 3-D graphics and voice recognition for personal computer interfaces.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SUMMARY</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During the quarter TI announced a two-for-one stock split in the form of a 100 percent stock dividend on the common stock, payable on November 21, 1997, to shareholders of record October 24, 1997. In this report, the numbers are pre-split.</w:t>
      </w:r>
    </w:p>
    <w:p>
      <w:pPr>
        <w:spacing w:after="0" w:line="200" w:lineRule="exact"/>
        <w:rPr>
          <w:sz w:val="20"/>
          <w:szCs w:val="20"/>
          <w:color w:val="auto"/>
        </w:rPr>
      </w:pPr>
    </w:p>
    <w:p>
      <w:pPr>
        <w:ind w:right="2499"/>
        <w:spacing w:after="0" w:line="247" w:lineRule="auto"/>
        <w:rPr>
          <w:sz w:val="20"/>
          <w:szCs w:val="20"/>
          <w:color w:val="auto"/>
        </w:rPr>
      </w:pPr>
      <w:r>
        <w:rPr>
          <w:rFonts w:ascii="Courier New" w:cs="Courier New" w:eastAsia="Courier New" w:hAnsi="Courier New"/>
          <w:sz w:val="17"/>
          <w:szCs w:val="17"/>
          <w:color w:val="auto"/>
        </w:rPr>
        <w:t>TI's orders for the third quarter of 1997 were $2449 million, compared with $2284 million in the same period of 1996.</w:t>
      </w:r>
    </w:p>
    <w:p>
      <w:pPr>
        <w:spacing w:after="0" w:line="198"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Revenues for the third quarter of 1997 were $2500 million, up 4 percent from the year-ago period. Financial results in the third quarter of 1996 included revenues from TI businesses that have since been sold, primarily software, mobile computing and printers. Excluding the sold businesses, orders and</w:t>
      </w:r>
    </w:p>
    <w:p>
      <w:pPr>
        <w:sectPr>
          <w:pgSz w:w="11900" w:h="16838" w:orient="portrait"/>
          <w:cols w:equalWidth="0" w:num="1">
            <w:col w:w="10219"/>
          </w:cols>
          <w:pgMar w:left="240" w:top="142" w:right="1440" w:bottom="0" w:gutter="0" w:footer="0" w:header="0"/>
        </w:sectPr>
      </w:pPr>
    </w:p>
    <w:bookmarkStart w:id="4" w:name="page5"/>
    <w:bookmarkEnd w:id="4"/>
    <w:p>
      <w:pPr>
        <w:ind w:right="2499"/>
        <w:spacing w:after="0" w:line="247" w:lineRule="auto"/>
        <w:rPr>
          <w:sz w:val="20"/>
          <w:szCs w:val="20"/>
          <w:color w:val="auto"/>
        </w:rPr>
      </w:pPr>
      <w:r>
        <w:rPr>
          <w:rFonts w:ascii="Courier New" w:cs="Courier New" w:eastAsia="Courier New" w:hAnsi="Courier New"/>
          <w:sz w:val="17"/>
          <w:szCs w:val="17"/>
          <w:color w:val="auto"/>
        </w:rPr>
        <w:t>revenues were up 21 percent and 19 percent, respectively, from the year-ago period.</w:t>
      </w:r>
    </w:p>
    <w:p>
      <w:pPr>
        <w:spacing w:after="0" w:line="198"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Earnings per share (EPS) from continuing operations were $1.20, compared with $0.06 in the year-ago period excluding a one-time charge. The year-ago EPS of $0.06 excludes the one-time charge of $192 million in the third quarter of 1996 for in-process R&amp;D associated with the purchase of Silicon Systems, Inc. (SSi). Including the charge, EPS from continuing operations in the year-ago quarter was a loss of $0.95.</w:t>
      </w:r>
    </w:p>
    <w:p>
      <w:pPr>
        <w:spacing w:after="0" w:line="202"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Profit from operations (PFO) from continuing operations was $358 million versus $15 million, excluding the charge in the year-ago period. Including the charge in the third quarter of 1996, the loss from continuing operations was $177 million.</w:t>
      </w:r>
    </w:p>
    <w:p>
      <w:pPr>
        <w:spacing w:after="0" w:line="200"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Net income from continuing operations was $239 million versus $13 million, excluding the charge in the third quarter of 1996. Including the charge in the year-ago quarter, net loss was $179 million.</w:t>
      </w:r>
    </w:p>
    <w:p>
      <w:pPr>
        <w:spacing w:after="0" w:line="200"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Net income from discontinued operations in the third quarter includes the net gain of $1473 million ($7.36 per share) from the sale of TI's defense business to Raytheon Company, which closed on July 11, 1997. Throughout the report, the defense operation is reported as a discontinued business.</w:t>
      </w:r>
    </w:p>
    <w:p>
      <w:pPr>
        <w:spacing w:after="0" w:line="200"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5</w:t>
      </w:r>
    </w:p>
    <w:p>
      <w:pPr>
        <w:spacing w:after="0" w:line="203"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To reflect the company's operating structure after the recent business divestitures, the financial results discussed below are organized around TI's three principal businesses: Semiconductor (SC), Materials &amp; Controls (M&amp;C), and Educational &amp; Productivity Solutions (E&amp;PS). Operating profits of these businesses include the effects of profit sharing and exclude the effects of special charges and gains. Semiconductor results include the effects of all semiconductor-related royalty revenues. Results for digital imaging, PC-related royalty revenues and divested businesses are excluded from the three principal businesses, but are included in TI's consolidated results.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SEMICONDUCTOR</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Semiconductor orders were up 27 percent from the third quarter of 1996, with particular strength in wireless communications and networking. Although orders for digital signal processing solutions were up strongly, semiconductor orders in total were down slightly from the second quarter of 1997, primarily due to lower memory prices.</w:t>
      </w:r>
    </w:p>
    <w:p>
      <w:pPr>
        <w:spacing w:after="0" w:line="201"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Semiconductor revenues increased 22 percent from the third quarter of 1996, primarily due to strength in digital signal processing and mixed-signal/analog. Revenues were up slightly from the second quarter of 1997, reflecting strength in wireless communications.</w:t>
      </w:r>
    </w:p>
    <w:p>
      <w:pPr>
        <w:spacing w:after="0" w:line="200"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Semiconductor PFO improved substantially from the year-ago quarter, up more than fourfold, due to strength in digital signal processing, mixed-signal/analog and other differentiated semiconductors. In addition, memory improved substantially from a year ago, but continued at a loss. Despite a somewhat larger loss in memory from the second quarter to the third quarter of 1997, semiconductor PFO was up.</w:t>
      </w:r>
    </w:p>
    <w:p>
      <w:pPr>
        <w:spacing w:after="0" w:line="202"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Semiconductor revenues, including royalties from semiconductor licensees, now represent about 84 percent of TI's revenues. Digital signal processors plus mixed-signal/analog represent about 40 percent of semiconductor. Memory, made up primarily of dynamic random access memories (DRAMs), now accounts for about 20 percent of semiconductor. The remainder of semiconductor is made up primarily of a broad range of advanced products, including application specific integrated circuits, reduced-instruction set microprocessors, microcontrollers and standard logic.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MATERIALS &amp; CONTROLS</w:t>
      </w:r>
    </w:p>
    <w:p>
      <w:pPr>
        <w:spacing w:after="0" w:line="203"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Revenues for TI's Materials &amp; Controls business were up 9 percent from the year-ago period, but down slightly from the second quarter of 1997 due to seasonal weakness in the heating, ventilation and air conditioning market. Orders were up slightly from the year-ago period.</w:t>
      </w:r>
    </w:p>
    <w:p>
      <w:pPr>
        <w:spacing w:after="0" w:line="200" w:lineRule="exact"/>
        <w:rPr>
          <w:sz w:val="20"/>
          <w:szCs w:val="20"/>
          <w:color w:val="auto"/>
        </w:rPr>
      </w:pPr>
    </w:p>
    <w:p>
      <w:pPr>
        <w:ind w:right="2399"/>
        <w:spacing w:after="0" w:line="247" w:lineRule="auto"/>
        <w:rPr>
          <w:sz w:val="20"/>
          <w:szCs w:val="20"/>
          <w:color w:val="auto"/>
        </w:rPr>
      </w:pPr>
      <w:r>
        <w:rPr>
          <w:rFonts w:ascii="Courier New" w:cs="Courier New" w:eastAsia="Courier New" w:hAnsi="Courier New"/>
          <w:sz w:val="17"/>
          <w:szCs w:val="17"/>
          <w:color w:val="auto"/>
        </w:rPr>
        <w:t>Operating margins remained at double-digit levels, up from the third quarter of 1996, but down from the prior quarter on lower revenues.</w:t>
      </w:r>
    </w:p>
    <w:p>
      <w:pPr>
        <w:spacing w:after="0" w:line="198"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M&amp;C's next generation TIRIS(TM) vehicle theft deterrent products received strong market reception over the quarter, with European, U.S. and Japanese automobile manufacturers working with the ignition system integrators to greatly expand the number of models using this technology.</w:t>
      </w:r>
    </w:p>
    <w:p>
      <w:pPr>
        <w:spacing w:after="0" w:line="200"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The M&amp;C business has made steady progress in reducing manufacturing costs over the past several months, including recently announced plans for consolidation of some sites in North America. This business will continue to take cost-</w:t>
      </w:r>
    </w:p>
    <w:p>
      <w:pPr>
        <w:sectPr>
          <w:pgSz w:w="11900" w:h="16838" w:orient="portrait"/>
          <w:cols w:equalWidth="0" w:num="1">
            <w:col w:w="10219"/>
          </w:cols>
          <w:pgMar w:left="240" w:top="142" w:right="1440" w:bottom="0" w:gutter="0" w:footer="0" w:header="0"/>
        </w:sectPr>
      </w:pPr>
    </w:p>
    <w:bookmarkStart w:id="5" w:name="page6"/>
    <w:bookmarkEnd w:id="5"/>
    <w:p>
      <w:pPr>
        <w:ind w:right="2399"/>
        <w:spacing w:after="0" w:line="247" w:lineRule="auto"/>
        <w:rPr>
          <w:sz w:val="20"/>
          <w:szCs w:val="20"/>
          <w:color w:val="auto"/>
        </w:rPr>
      </w:pPr>
      <w:r>
        <w:rPr>
          <w:rFonts w:ascii="Courier New" w:cs="Courier New" w:eastAsia="Courier New" w:hAnsi="Courier New"/>
          <w:sz w:val="17"/>
          <w:szCs w:val="17"/>
          <w:color w:val="auto"/>
        </w:rPr>
        <w:t>reduction actions as it focuses on increasing margins and moving into higher growth, electronics-based markets.</w:t>
      </w:r>
    </w:p>
    <w:p>
      <w:pPr>
        <w:spacing w:after="0" w:line="198"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EDUCATIONAL &amp; PRODUCTIVITY SOLUTIONS</w:t>
      </w:r>
    </w:p>
    <w:p>
      <w:pPr>
        <w:spacing w:after="0" w:line="203" w:lineRule="exact"/>
        <w:rPr>
          <w:sz w:val="20"/>
          <w:szCs w:val="20"/>
          <w:color w:val="auto"/>
        </w:rPr>
      </w:pPr>
    </w:p>
    <w:p>
      <w:pPr>
        <w:jc w:val="both"/>
        <w:ind w:right="2599"/>
        <w:spacing w:after="0" w:line="246" w:lineRule="auto"/>
        <w:rPr>
          <w:sz w:val="20"/>
          <w:szCs w:val="20"/>
          <w:color w:val="auto"/>
        </w:rPr>
      </w:pPr>
      <w:r>
        <w:rPr>
          <w:rFonts w:ascii="Courier New" w:cs="Courier New" w:eastAsia="Courier New" w:hAnsi="Courier New"/>
          <w:sz w:val="17"/>
          <w:szCs w:val="17"/>
          <w:color w:val="auto"/>
        </w:rPr>
        <w:t>Orders and revenues for the E&amp;PS business, made up largely of calculators, were up slightly from the year-ago period, but down from the traditionally high second quarter.</w:t>
      </w:r>
    </w:p>
    <w:p>
      <w:pPr>
        <w:spacing w:after="0" w:line="200"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Operating margins continued in the high teens, up from the year-ago period, but down somewhat from the level of the second quarter. Because of the school-year cycle, this business typically delivers peak financial performance in the second and third quarters and operates near break-even in the first and fourth quarters of the year.</w:t>
      </w:r>
    </w:p>
    <w:p>
      <w:pPr>
        <w:spacing w:after="0" w:line="201"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The business further strengthened its relationships with the academic community in the United States and Canada by holding about 300 "Teachers Training with Technology" sessions this summer. E&amp;PS also progressed in its expansion strategy in Europe, winning its first order from the Portugal Ministry of Industry, which endorsed graphing calculators earlier this year.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OUTLOOK</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Based on our recent survey of U.S. end-equipment manufacturers, inventories of semiconductors remain at low levels. The outlook remains positive for continued moderate recovery of the world semiconductor market, although the near-term rate of growth is being restrained by DRAM pricing pressures and weakness in the Japanese economy. TI believes the semiconductor market in 1998 will grow at or above the long-term growth trend of the industry. The company sees particular strength in wireless communications and networking, applications important to digital signal processing and mixed-signal/analog products, where TI is a leader.</w:t>
      </w:r>
    </w:p>
    <w:p>
      <w:pPr>
        <w:spacing w:after="0" w:line="203"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A recent report by market research firm Dataquest forecasts digital signal processing as the fastest growing product area in the semiconductor market. TI estimates the digital signal processing and related mixed-signal/analog market will grow more than tenfold to about $50 billion over the next ten years.</w:t>
      </w:r>
    </w:p>
    <w:p>
      <w:pPr>
        <w:spacing w:after="0" w:line="201"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TI is taking several actions to accelerate the growth of its digital signal processing solutions. Recent announcements include a $100 million venture fund to help seed the growth of new DSP applications, and $25 million for additional university research focused on DSP.</w:t>
      </w:r>
    </w:p>
    <w:p>
      <w:pPr>
        <w:spacing w:after="0" w:line="200"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In early September, TI formally opened the Kilby Center, the world's most advanced research center for silicon manufacturing. The facility will serve as the technology base for the ongoing creation of TI's leading edge DSP solutions.</w:t>
      </w:r>
    </w:p>
    <w:p>
      <w:pPr>
        <w:spacing w:after="0" w:line="200"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Investment also continues in digital imaging, with emphasis on reducing costs in a very competitive market environment. Work continues with customers for development of new products that make full use of the advantages of TI's technology for higher brightness and lower weight in display systems.</w:t>
      </w:r>
    </w:p>
    <w:p>
      <w:pPr>
        <w:spacing w:after="0" w:line="200"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In order to more closely link compensation with company performance and to attract and retain the finest talent, TI also recently announced an extensive restructuring of its total compensation package. TI believes this is one of the most competitive packages in the industry -- one that provides top pay for top performance on both an individual and company level.</w:t>
      </w:r>
    </w:p>
    <w:p>
      <w:pPr>
        <w:spacing w:after="0" w:line="200" w:lineRule="exact"/>
        <w:rPr>
          <w:sz w:val="20"/>
          <w:szCs w:val="20"/>
          <w:color w:val="auto"/>
        </w:rPr>
      </w:pPr>
    </w:p>
    <w:p>
      <w:pPr>
        <w:spacing w:after="0" w:line="397"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ADDITIONAL FINANCIAL INFORMATION</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700" w:type="dxa"/>
            <w:vAlign w:val="bottom"/>
          </w:tcPr>
          <w:p>
            <w:pPr>
              <w:spacing w:after="0"/>
              <w:rPr>
                <w:sz w:val="16"/>
                <w:szCs w:val="16"/>
                <w:color w:val="auto"/>
              </w:rPr>
            </w:pPr>
          </w:p>
        </w:tc>
        <w:tc>
          <w:tcPr>
            <w:tcW w:w="2880" w:type="dxa"/>
            <w:vAlign w:val="bottom"/>
            <w:gridSpan w:val="2"/>
          </w:tcPr>
          <w:p>
            <w:pPr>
              <w:jc w:val="right"/>
              <w:ind w:right="574"/>
              <w:spacing w:after="0"/>
              <w:rPr>
                <w:sz w:val="20"/>
                <w:szCs w:val="20"/>
                <w:color w:val="auto"/>
              </w:rPr>
            </w:pPr>
            <w:r>
              <w:rPr>
                <w:rFonts w:ascii="Courier New" w:cs="Courier New" w:eastAsia="Courier New" w:hAnsi="Courier New"/>
                <w:sz w:val="17"/>
                <w:szCs w:val="17"/>
                <w:color w:val="auto"/>
              </w:rPr>
              <w:t>Change in orders</w:t>
            </w:r>
          </w:p>
        </w:tc>
        <w:tc>
          <w:tcPr>
            <w:tcW w:w="252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Change in revenues,</w:t>
            </w:r>
          </w:p>
        </w:tc>
      </w:tr>
      <w:tr>
        <w:trPr>
          <w:trHeight w:val="198"/>
        </w:trPr>
        <w:tc>
          <w:tcPr>
            <w:tcW w:w="1700" w:type="dxa"/>
            <w:vAlign w:val="bottom"/>
          </w:tcPr>
          <w:p>
            <w:pPr>
              <w:spacing w:after="0"/>
              <w:rPr>
                <w:sz w:val="20"/>
                <w:szCs w:val="20"/>
                <w:color w:val="auto"/>
              </w:rPr>
            </w:pPr>
            <w:r>
              <w:rPr>
                <w:rFonts w:ascii="Courier New" w:cs="Courier New" w:eastAsia="Courier New" w:hAnsi="Courier New"/>
                <w:sz w:val="17"/>
                <w:szCs w:val="17"/>
                <w:color w:val="auto"/>
              </w:rPr>
              <w:t>Business</w:t>
            </w:r>
          </w:p>
        </w:tc>
        <w:tc>
          <w:tcPr>
            <w:tcW w:w="2880" w:type="dxa"/>
            <w:vAlign w:val="bottom"/>
            <w:gridSpan w:val="2"/>
          </w:tcPr>
          <w:p>
            <w:pPr>
              <w:jc w:val="right"/>
              <w:ind w:right="774"/>
              <w:spacing w:after="0"/>
              <w:rPr>
                <w:sz w:val="20"/>
                <w:szCs w:val="20"/>
                <w:color w:val="auto"/>
              </w:rPr>
            </w:pPr>
            <w:r>
              <w:rPr>
                <w:rFonts w:ascii="Courier New" w:cs="Courier New" w:eastAsia="Courier New" w:hAnsi="Courier New"/>
                <w:sz w:val="17"/>
                <w:szCs w:val="17"/>
                <w:color w:val="auto"/>
              </w:rPr>
              <w:t>3Q97 vs. 3Q96</w:t>
            </w:r>
          </w:p>
        </w:tc>
        <w:tc>
          <w:tcPr>
            <w:tcW w:w="2520" w:type="dxa"/>
            <w:vAlign w:val="bottom"/>
            <w:gridSpan w:val="2"/>
          </w:tcPr>
          <w:p>
            <w:pPr>
              <w:jc w:val="right"/>
              <w:ind w:right="734"/>
              <w:spacing w:after="0"/>
              <w:rPr>
                <w:sz w:val="20"/>
                <w:szCs w:val="20"/>
                <w:color w:val="auto"/>
              </w:rPr>
            </w:pPr>
            <w:r>
              <w:rPr>
                <w:rFonts w:ascii="Courier New" w:cs="Courier New" w:eastAsia="Courier New" w:hAnsi="Courier New"/>
                <w:sz w:val="17"/>
                <w:szCs w:val="17"/>
                <w:color w:val="auto"/>
              </w:rPr>
              <w:t>3Q97 vs. 3Q96</w:t>
            </w:r>
          </w:p>
        </w:tc>
      </w:tr>
      <w:tr>
        <w:trPr>
          <w:trHeight w:val="198"/>
        </w:trPr>
        <w:tc>
          <w:tcPr>
            <w:tcW w:w="17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88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252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1700" w:type="dxa"/>
            <w:vAlign w:val="bottom"/>
          </w:tcPr>
          <w:p>
            <w:pPr>
              <w:spacing w:after="0"/>
              <w:rPr>
                <w:sz w:val="20"/>
                <w:szCs w:val="20"/>
                <w:color w:val="auto"/>
              </w:rPr>
            </w:pPr>
            <w:r>
              <w:rPr>
                <w:rFonts w:ascii="Courier New" w:cs="Courier New" w:eastAsia="Courier New" w:hAnsi="Courier New"/>
                <w:sz w:val="17"/>
                <w:szCs w:val="17"/>
                <w:color w:val="auto"/>
              </w:rPr>
              <w:t>SC</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up</w:t>
            </w:r>
          </w:p>
        </w:tc>
        <w:tc>
          <w:tcPr>
            <w:tcW w:w="1540" w:type="dxa"/>
            <w:vAlign w:val="bottom"/>
          </w:tcPr>
          <w:p>
            <w:pPr>
              <w:ind w:left="60"/>
              <w:spacing w:after="0"/>
              <w:rPr>
                <w:sz w:val="20"/>
                <w:szCs w:val="20"/>
                <w:color w:val="auto"/>
              </w:rPr>
            </w:pPr>
            <w:r>
              <w:rPr>
                <w:rFonts w:ascii="Courier New" w:cs="Courier New" w:eastAsia="Courier New" w:hAnsi="Courier New"/>
                <w:sz w:val="17"/>
                <w:szCs w:val="17"/>
                <w:color w:val="auto"/>
              </w:rPr>
              <w:t>27%</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up</w:t>
            </w:r>
          </w:p>
        </w:tc>
        <w:tc>
          <w:tcPr>
            <w:tcW w:w="1380" w:type="dxa"/>
            <w:vAlign w:val="bottom"/>
          </w:tcPr>
          <w:p>
            <w:pPr>
              <w:ind w:left="60"/>
              <w:spacing w:after="0"/>
              <w:rPr>
                <w:sz w:val="20"/>
                <w:szCs w:val="20"/>
                <w:color w:val="auto"/>
              </w:rPr>
            </w:pPr>
            <w:r>
              <w:rPr>
                <w:rFonts w:ascii="Courier New" w:cs="Courier New" w:eastAsia="Courier New" w:hAnsi="Courier New"/>
                <w:sz w:val="17"/>
                <w:szCs w:val="17"/>
                <w:color w:val="auto"/>
              </w:rPr>
              <w:t>22%</w:t>
            </w:r>
          </w:p>
        </w:tc>
      </w:tr>
      <w:tr>
        <w:trPr>
          <w:trHeight w:val="198"/>
        </w:trPr>
        <w:tc>
          <w:tcPr>
            <w:tcW w:w="1700" w:type="dxa"/>
            <w:vAlign w:val="bottom"/>
          </w:tcPr>
          <w:p>
            <w:pPr>
              <w:spacing w:after="0"/>
              <w:rPr>
                <w:sz w:val="20"/>
                <w:szCs w:val="20"/>
                <w:color w:val="auto"/>
              </w:rPr>
            </w:pPr>
            <w:r>
              <w:rPr>
                <w:rFonts w:ascii="Courier New" w:cs="Courier New" w:eastAsia="Courier New" w:hAnsi="Courier New"/>
                <w:sz w:val="17"/>
                <w:szCs w:val="17"/>
                <w:color w:val="auto"/>
              </w:rPr>
              <w:t>M&amp;C</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up</w:t>
            </w:r>
          </w:p>
        </w:tc>
        <w:tc>
          <w:tcPr>
            <w:tcW w:w="1540" w:type="dxa"/>
            <w:vAlign w:val="bottom"/>
          </w:tcPr>
          <w:p>
            <w:pPr>
              <w:ind w:left="60"/>
              <w:spacing w:after="0"/>
              <w:rPr>
                <w:sz w:val="20"/>
                <w:szCs w:val="20"/>
                <w:color w:val="auto"/>
              </w:rPr>
            </w:pPr>
            <w:r>
              <w:rPr>
                <w:rFonts w:ascii="Courier New" w:cs="Courier New" w:eastAsia="Courier New" w:hAnsi="Courier New"/>
                <w:sz w:val="17"/>
                <w:szCs w:val="17"/>
                <w:color w:val="auto"/>
              </w:rPr>
              <w:t>2%</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up</w:t>
            </w:r>
          </w:p>
        </w:tc>
        <w:tc>
          <w:tcPr>
            <w:tcW w:w="1380" w:type="dxa"/>
            <w:vAlign w:val="bottom"/>
          </w:tcPr>
          <w:p>
            <w:pPr>
              <w:ind w:left="60"/>
              <w:spacing w:after="0"/>
              <w:rPr>
                <w:sz w:val="20"/>
                <w:szCs w:val="20"/>
                <w:color w:val="auto"/>
              </w:rPr>
            </w:pPr>
            <w:r>
              <w:rPr>
                <w:rFonts w:ascii="Courier New" w:cs="Courier New" w:eastAsia="Courier New" w:hAnsi="Courier New"/>
                <w:sz w:val="17"/>
                <w:szCs w:val="17"/>
                <w:color w:val="auto"/>
              </w:rPr>
              <w:t>9%</w:t>
            </w:r>
          </w:p>
        </w:tc>
      </w:tr>
      <w:tr>
        <w:trPr>
          <w:trHeight w:val="198"/>
        </w:trPr>
        <w:tc>
          <w:tcPr>
            <w:tcW w:w="1700" w:type="dxa"/>
            <w:vAlign w:val="bottom"/>
          </w:tcPr>
          <w:p>
            <w:pPr>
              <w:spacing w:after="0"/>
              <w:rPr>
                <w:sz w:val="20"/>
                <w:szCs w:val="20"/>
                <w:color w:val="auto"/>
              </w:rPr>
            </w:pPr>
            <w:r>
              <w:rPr>
                <w:rFonts w:ascii="Courier New" w:cs="Courier New" w:eastAsia="Courier New" w:hAnsi="Courier New"/>
                <w:sz w:val="17"/>
                <w:szCs w:val="17"/>
                <w:color w:val="auto"/>
              </w:rPr>
              <w:t>E&amp;PS</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up</w:t>
            </w:r>
          </w:p>
        </w:tc>
        <w:tc>
          <w:tcPr>
            <w:tcW w:w="1540" w:type="dxa"/>
            <w:vAlign w:val="bottom"/>
          </w:tcPr>
          <w:p>
            <w:pPr>
              <w:ind w:left="60"/>
              <w:spacing w:after="0"/>
              <w:rPr>
                <w:sz w:val="20"/>
                <w:szCs w:val="20"/>
                <w:color w:val="auto"/>
              </w:rPr>
            </w:pPr>
            <w:r>
              <w:rPr>
                <w:rFonts w:ascii="Courier New" w:cs="Courier New" w:eastAsia="Courier New" w:hAnsi="Courier New"/>
                <w:sz w:val="17"/>
                <w:szCs w:val="17"/>
                <w:color w:val="auto"/>
              </w:rPr>
              <w:t>6%</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up</w:t>
            </w:r>
          </w:p>
        </w:tc>
        <w:tc>
          <w:tcPr>
            <w:tcW w:w="1380" w:type="dxa"/>
            <w:vAlign w:val="bottom"/>
          </w:tcPr>
          <w:p>
            <w:pPr>
              <w:ind w:left="60"/>
              <w:spacing w:after="0"/>
              <w:rPr>
                <w:sz w:val="20"/>
                <w:szCs w:val="20"/>
                <w:color w:val="auto"/>
              </w:rPr>
            </w:pPr>
            <w:r>
              <w:rPr>
                <w:rFonts w:ascii="Courier New" w:cs="Courier New" w:eastAsia="Courier New" w:hAnsi="Courier New"/>
                <w:sz w:val="17"/>
                <w:szCs w:val="17"/>
                <w:color w:val="auto"/>
              </w:rPr>
              <w:t>3%</w:t>
            </w:r>
          </w:p>
        </w:tc>
      </w:tr>
      <w:tr>
        <w:trPr>
          <w:trHeight w:val="198"/>
        </w:trPr>
        <w:tc>
          <w:tcPr>
            <w:tcW w:w="1700" w:type="dxa"/>
            <w:vAlign w:val="bottom"/>
          </w:tcPr>
          <w:p>
            <w:pPr>
              <w:spacing w:after="0"/>
              <w:rPr>
                <w:sz w:val="20"/>
                <w:szCs w:val="20"/>
                <w:color w:val="auto"/>
              </w:rPr>
            </w:pPr>
            <w:r>
              <w:rPr>
                <w:rFonts w:ascii="Courier New" w:cs="Courier New" w:eastAsia="Courier New" w:hAnsi="Courier New"/>
                <w:sz w:val="17"/>
                <w:szCs w:val="17"/>
                <w:color w:val="auto"/>
              </w:rPr>
              <w:t>Total TI</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up</w:t>
            </w:r>
          </w:p>
        </w:tc>
        <w:tc>
          <w:tcPr>
            <w:tcW w:w="1540" w:type="dxa"/>
            <w:vAlign w:val="bottom"/>
          </w:tcPr>
          <w:p>
            <w:pPr>
              <w:ind w:left="60"/>
              <w:spacing w:after="0"/>
              <w:rPr>
                <w:sz w:val="20"/>
                <w:szCs w:val="20"/>
                <w:color w:val="auto"/>
              </w:rPr>
            </w:pPr>
            <w:r>
              <w:rPr>
                <w:rFonts w:ascii="Courier New" w:cs="Courier New" w:eastAsia="Courier New" w:hAnsi="Courier New"/>
                <w:sz w:val="17"/>
                <w:szCs w:val="17"/>
                <w:color w:val="auto"/>
              </w:rPr>
              <w:t>7%</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up</w:t>
            </w:r>
          </w:p>
        </w:tc>
        <w:tc>
          <w:tcPr>
            <w:tcW w:w="1380" w:type="dxa"/>
            <w:vAlign w:val="bottom"/>
          </w:tcPr>
          <w:p>
            <w:pPr>
              <w:ind w:left="60"/>
              <w:spacing w:after="0"/>
              <w:rPr>
                <w:sz w:val="20"/>
                <w:szCs w:val="20"/>
                <w:color w:val="auto"/>
              </w:rPr>
            </w:pPr>
            <w:r>
              <w:rPr>
                <w:rFonts w:ascii="Courier New" w:cs="Courier New" w:eastAsia="Courier New" w:hAnsi="Courier New"/>
                <w:sz w:val="17"/>
                <w:szCs w:val="17"/>
                <w:color w:val="auto"/>
              </w:rPr>
              <w:t>4%</w:t>
            </w:r>
          </w:p>
        </w:tc>
      </w:tr>
      <w:tr>
        <w:trPr>
          <w:trHeight w:val="396"/>
        </w:trPr>
        <w:tc>
          <w:tcPr>
            <w:tcW w:w="17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Change</w:t>
            </w:r>
          </w:p>
        </w:tc>
        <w:tc>
          <w:tcPr>
            <w:tcW w:w="154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in orders,</w:t>
            </w:r>
          </w:p>
        </w:tc>
        <w:tc>
          <w:tcPr>
            <w:tcW w:w="252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Change in revenues,</w:t>
            </w:r>
          </w:p>
        </w:tc>
      </w:tr>
      <w:tr>
        <w:trPr>
          <w:trHeight w:val="198"/>
        </w:trPr>
        <w:tc>
          <w:tcPr>
            <w:tcW w:w="1700" w:type="dxa"/>
            <w:vAlign w:val="bottom"/>
          </w:tcPr>
          <w:p>
            <w:pPr>
              <w:spacing w:after="0"/>
              <w:rPr>
                <w:sz w:val="20"/>
                <w:szCs w:val="20"/>
                <w:color w:val="auto"/>
              </w:rPr>
            </w:pPr>
            <w:r>
              <w:rPr>
                <w:rFonts w:ascii="Courier New" w:cs="Courier New" w:eastAsia="Courier New" w:hAnsi="Courier New"/>
                <w:sz w:val="17"/>
                <w:szCs w:val="17"/>
                <w:color w:val="auto"/>
              </w:rPr>
              <w:t>Business</w:t>
            </w:r>
          </w:p>
        </w:tc>
        <w:tc>
          <w:tcPr>
            <w:tcW w:w="288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3QYT97 vs. 3QYT96</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3QYTD97</w:t>
            </w:r>
          </w:p>
        </w:tc>
        <w:tc>
          <w:tcPr>
            <w:tcW w:w="13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vs. 3QYTD96</w:t>
            </w:r>
          </w:p>
        </w:tc>
      </w:tr>
      <w:tr>
        <w:trPr>
          <w:trHeight w:val="198"/>
        </w:trPr>
        <w:tc>
          <w:tcPr>
            <w:tcW w:w="17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88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2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1700" w:type="dxa"/>
            <w:vAlign w:val="bottom"/>
          </w:tcPr>
          <w:p>
            <w:pPr>
              <w:spacing w:after="0"/>
              <w:rPr>
                <w:sz w:val="20"/>
                <w:szCs w:val="20"/>
                <w:color w:val="auto"/>
              </w:rPr>
            </w:pPr>
            <w:r>
              <w:rPr>
                <w:rFonts w:ascii="Courier New" w:cs="Courier New" w:eastAsia="Courier New" w:hAnsi="Courier New"/>
                <w:sz w:val="17"/>
                <w:szCs w:val="17"/>
                <w:color w:val="auto"/>
              </w:rPr>
              <w:t>SC</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up</w:t>
            </w:r>
          </w:p>
        </w:tc>
        <w:tc>
          <w:tcPr>
            <w:tcW w:w="1540" w:type="dxa"/>
            <w:vAlign w:val="bottom"/>
          </w:tcPr>
          <w:p>
            <w:pPr>
              <w:ind w:left="60"/>
              <w:spacing w:after="0"/>
              <w:rPr>
                <w:sz w:val="20"/>
                <w:szCs w:val="20"/>
                <w:color w:val="auto"/>
              </w:rPr>
            </w:pPr>
            <w:r>
              <w:rPr>
                <w:rFonts w:ascii="Courier New" w:cs="Courier New" w:eastAsia="Courier New" w:hAnsi="Courier New"/>
                <w:sz w:val="17"/>
                <w:szCs w:val="17"/>
                <w:color w:val="auto"/>
              </w:rPr>
              <w:t>30%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up</w:t>
            </w:r>
          </w:p>
        </w:tc>
        <w:tc>
          <w:tcPr>
            <w:tcW w:w="1380" w:type="dxa"/>
            <w:vAlign w:val="bottom"/>
          </w:tcPr>
          <w:p>
            <w:pPr>
              <w:ind w:left="60"/>
              <w:spacing w:after="0"/>
              <w:rPr>
                <w:sz w:val="20"/>
                <w:szCs w:val="20"/>
                <w:color w:val="auto"/>
              </w:rPr>
            </w:pPr>
            <w:r>
              <w:rPr>
                <w:rFonts w:ascii="Courier New" w:cs="Courier New" w:eastAsia="Courier New" w:hAnsi="Courier New"/>
                <w:sz w:val="17"/>
                <w:szCs w:val="17"/>
                <w:color w:val="auto"/>
              </w:rPr>
              <w:t>11%</w:t>
            </w:r>
          </w:p>
        </w:tc>
      </w:tr>
      <w:tr>
        <w:trPr>
          <w:trHeight w:val="198"/>
        </w:trPr>
        <w:tc>
          <w:tcPr>
            <w:tcW w:w="1700" w:type="dxa"/>
            <w:vAlign w:val="bottom"/>
          </w:tcPr>
          <w:p>
            <w:pPr>
              <w:spacing w:after="0"/>
              <w:rPr>
                <w:sz w:val="20"/>
                <w:szCs w:val="20"/>
                <w:color w:val="auto"/>
              </w:rPr>
            </w:pPr>
            <w:r>
              <w:rPr>
                <w:rFonts w:ascii="Courier New" w:cs="Courier New" w:eastAsia="Courier New" w:hAnsi="Courier New"/>
                <w:sz w:val="17"/>
                <w:szCs w:val="17"/>
                <w:color w:val="auto"/>
              </w:rPr>
              <w:t>M&amp;C</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up</w:t>
            </w:r>
          </w:p>
        </w:tc>
        <w:tc>
          <w:tcPr>
            <w:tcW w:w="1540" w:type="dxa"/>
            <w:vAlign w:val="bottom"/>
          </w:tcPr>
          <w:p>
            <w:pPr>
              <w:ind w:left="60"/>
              <w:spacing w:after="0"/>
              <w:rPr>
                <w:sz w:val="20"/>
                <w:szCs w:val="20"/>
                <w:color w:val="auto"/>
              </w:rPr>
            </w:pPr>
            <w:r>
              <w:rPr>
                <w:rFonts w:ascii="Courier New" w:cs="Courier New" w:eastAsia="Courier New" w:hAnsi="Courier New"/>
                <w:sz w:val="17"/>
                <w:szCs w:val="17"/>
                <w:color w:val="auto"/>
              </w:rPr>
              <w:t>9%</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up</w:t>
            </w:r>
          </w:p>
        </w:tc>
        <w:tc>
          <w:tcPr>
            <w:tcW w:w="1380" w:type="dxa"/>
            <w:vAlign w:val="bottom"/>
          </w:tcPr>
          <w:p>
            <w:pPr>
              <w:ind w:left="60"/>
              <w:spacing w:after="0"/>
              <w:rPr>
                <w:sz w:val="20"/>
                <w:szCs w:val="20"/>
                <w:color w:val="auto"/>
              </w:rPr>
            </w:pPr>
            <w:r>
              <w:rPr>
                <w:rFonts w:ascii="Courier New" w:cs="Courier New" w:eastAsia="Courier New" w:hAnsi="Courier New"/>
                <w:sz w:val="17"/>
                <w:szCs w:val="17"/>
                <w:color w:val="auto"/>
              </w:rPr>
              <w:t>7%</w:t>
            </w:r>
          </w:p>
        </w:tc>
      </w:tr>
      <w:tr>
        <w:trPr>
          <w:trHeight w:val="198"/>
        </w:trPr>
        <w:tc>
          <w:tcPr>
            <w:tcW w:w="1700" w:type="dxa"/>
            <w:vAlign w:val="bottom"/>
          </w:tcPr>
          <w:p>
            <w:pPr>
              <w:spacing w:after="0"/>
              <w:rPr>
                <w:sz w:val="20"/>
                <w:szCs w:val="20"/>
                <w:color w:val="auto"/>
              </w:rPr>
            </w:pPr>
            <w:r>
              <w:rPr>
                <w:rFonts w:ascii="Courier New" w:cs="Courier New" w:eastAsia="Courier New" w:hAnsi="Courier New"/>
                <w:sz w:val="17"/>
                <w:szCs w:val="17"/>
                <w:color w:val="auto"/>
              </w:rPr>
              <w:t>E&amp;PS</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up</w:t>
            </w:r>
          </w:p>
        </w:tc>
        <w:tc>
          <w:tcPr>
            <w:tcW w:w="1540" w:type="dxa"/>
            <w:vAlign w:val="bottom"/>
          </w:tcPr>
          <w:p>
            <w:pPr>
              <w:ind w:left="60"/>
              <w:spacing w:after="0"/>
              <w:rPr>
                <w:sz w:val="20"/>
                <w:szCs w:val="20"/>
                <w:color w:val="auto"/>
              </w:rPr>
            </w:pPr>
            <w:r>
              <w:rPr>
                <w:rFonts w:ascii="Courier New" w:cs="Courier New" w:eastAsia="Courier New" w:hAnsi="Courier New"/>
                <w:sz w:val="17"/>
                <w:szCs w:val="17"/>
                <w:color w:val="auto"/>
              </w:rPr>
              <w:t>4%</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up</w:t>
            </w:r>
          </w:p>
        </w:tc>
        <w:tc>
          <w:tcPr>
            <w:tcW w:w="1380" w:type="dxa"/>
            <w:vAlign w:val="bottom"/>
          </w:tcPr>
          <w:p>
            <w:pPr>
              <w:ind w:left="60"/>
              <w:spacing w:after="0"/>
              <w:rPr>
                <w:sz w:val="20"/>
                <w:szCs w:val="20"/>
                <w:color w:val="auto"/>
              </w:rPr>
            </w:pPr>
            <w:r>
              <w:rPr>
                <w:rFonts w:ascii="Courier New" w:cs="Courier New" w:eastAsia="Courier New" w:hAnsi="Courier New"/>
                <w:sz w:val="17"/>
                <w:szCs w:val="17"/>
                <w:color w:val="auto"/>
              </w:rPr>
              <w:t>4%</w:t>
            </w:r>
          </w:p>
        </w:tc>
      </w:tr>
    </w:tbl>
    <w:p>
      <w:pPr>
        <w:sectPr>
          <w:pgSz w:w="11900" w:h="16838" w:orient="portrait"/>
          <w:cols w:equalWidth="0" w:num="1">
            <w:col w:w="10219"/>
          </w:cols>
          <w:pgMar w:left="240" w:top="142" w:right="1440" w:bottom="0" w:gutter="0" w:footer="0" w:header="0"/>
        </w:sectPr>
      </w:pPr>
    </w:p>
    <w:bookmarkStart w:id="6" w:name="page7"/>
    <w:bookmarkEnd w:id="6"/>
    <w:p>
      <w:pPr>
        <w:spacing w:after="0"/>
        <w:tabs>
          <w:tab w:leader="none" w:pos="2760" w:val="left"/>
          <w:tab w:leader="none" w:pos="5440" w:val="left"/>
        </w:tabs>
        <w:rPr>
          <w:sz w:val="20"/>
          <w:szCs w:val="20"/>
          <w:color w:val="auto"/>
        </w:rPr>
      </w:pPr>
      <w:r>
        <w:rPr>
          <w:rFonts w:ascii="Courier New" w:cs="Courier New" w:eastAsia="Courier New" w:hAnsi="Courier New"/>
          <w:sz w:val="17"/>
          <w:szCs w:val="17"/>
          <w:color w:val="auto"/>
        </w:rPr>
        <w:t>Total TI</w:t>
      </w:r>
      <w:r>
        <w:rPr>
          <w:sz w:val="20"/>
          <w:szCs w:val="20"/>
          <w:color w:val="auto"/>
        </w:rPr>
        <w:tab/>
      </w:r>
      <w:r>
        <w:rPr>
          <w:rFonts w:ascii="Courier New" w:cs="Courier New" w:eastAsia="Courier New" w:hAnsi="Courier New"/>
          <w:sz w:val="17"/>
          <w:szCs w:val="17"/>
          <w:color w:val="auto"/>
        </w:rPr>
        <w:t>up 11%</w:t>
      </w:r>
      <w:r>
        <w:rPr>
          <w:sz w:val="20"/>
          <w:szCs w:val="20"/>
          <w:color w:val="auto"/>
        </w:rPr>
        <w:tab/>
      </w:r>
      <w:r>
        <w:rPr>
          <w:rFonts w:ascii="Courier New" w:cs="Courier New" w:eastAsia="Courier New" w:hAnsi="Courier New"/>
          <w:sz w:val="17"/>
          <w:szCs w:val="17"/>
          <w:color w:val="auto"/>
        </w:rPr>
        <w:t>down 2%</w:t>
      </w:r>
    </w:p>
    <w:p>
      <w:pPr>
        <w:spacing w:after="0" w:line="200" w:lineRule="exact"/>
        <w:rPr>
          <w:sz w:val="20"/>
          <w:szCs w:val="20"/>
          <w:color w:val="auto"/>
        </w:rPr>
      </w:pPr>
    </w:p>
    <w:p>
      <w:pPr>
        <w:spacing w:after="0" w:line="399"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For the first nine months of 1997, TI's orders were $7605 million, compared with $6847 million for the first nine months of 1996. Excluding the sold businesses, TI orders were up 26 percent. The increase in SC orders resulted from strong demand for digital signal processing solutions. The M&amp;C orders were up due to TIRIS and electronic-based sensors and the E&amp;PS orders were up as a result of increased instructional calculator volume.</w:t>
      </w:r>
    </w:p>
    <w:p>
      <w:pPr>
        <w:spacing w:after="0" w:line="202"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Revenues for the first nine months of 1997 were $7322 million, compared with $7481 million in the first nine months of 1996. Excluding the sold businesses, TI revenues were up 11 percent versus down 2 percent as reported. The increase in SC resulted from higher DSPS revenues and higher royalties. The increase in M&amp;C revenue was due primarily to TIRIS and electronic-based sensors and the increase in E&amp;PS was the result of increased instructional calculator volume.</w:t>
      </w:r>
    </w:p>
    <w:p>
      <w:pPr>
        <w:spacing w:after="0" w:line="202"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TI's PFO from continuing operations for the first nine months of 1997 was $815 million, compared with $9 million in the first nine months of 1996. The increase was primarily from higher semiconductor profits due to improved margins, increased revenues and higher semiconductor royalties, the absence of losses in mobile computing, and the absence of the $192 million charge in third quarter 1996.</w:t>
      </w:r>
    </w:p>
    <w:p>
      <w:pPr>
        <w:spacing w:after="0" w:line="202"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Net income from continuing operations for the first nine months of 1997 was $565 million, compared with a loss of $6 million in the first nine months of 1996. Earnings per share were $2.84, compared with a loss of $0.03.</w:t>
      </w:r>
    </w:p>
    <w:p>
      <w:pPr>
        <w:spacing w:after="0" w:line="200"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Interest income in the quarter was up $42 million from the year-ago period, primarily as a result of investment of net proceeds from the sale of the defense business to Raytheon.</w:t>
      </w:r>
    </w:p>
    <w:p>
      <w:pPr>
        <w:spacing w:after="0" w:line="200" w:lineRule="exact"/>
        <w:rPr>
          <w:sz w:val="20"/>
          <w:szCs w:val="20"/>
          <w:color w:val="auto"/>
        </w:rPr>
      </w:pPr>
    </w:p>
    <w:p>
      <w:pPr>
        <w:ind w:right="2179"/>
        <w:spacing w:after="0" w:line="247" w:lineRule="auto"/>
        <w:rPr>
          <w:sz w:val="20"/>
          <w:szCs w:val="20"/>
          <w:color w:val="auto"/>
        </w:rPr>
      </w:pPr>
      <w:r>
        <w:rPr>
          <w:rFonts w:ascii="Courier New" w:cs="Courier New" w:eastAsia="Courier New" w:hAnsi="Courier New"/>
          <w:sz w:val="17"/>
          <w:szCs w:val="17"/>
          <w:color w:val="auto"/>
        </w:rPr>
        <w:t>The income tax rate for the first nine months of 1997 was 35 percent, which is the current estimate of the rate for the full year.</w:t>
      </w:r>
    </w:p>
    <w:p>
      <w:pPr>
        <w:spacing w:after="0" w:line="198" w:lineRule="exact"/>
        <w:rPr>
          <w:sz w:val="20"/>
          <w:szCs w:val="20"/>
          <w:color w:val="auto"/>
        </w:rPr>
      </w:pPr>
    </w:p>
    <w:p>
      <w:pPr>
        <w:ind w:right="2499"/>
        <w:spacing w:after="0" w:line="247" w:lineRule="auto"/>
        <w:rPr>
          <w:sz w:val="20"/>
          <w:szCs w:val="20"/>
          <w:color w:val="auto"/>
        </w:rPr>
      </w:pPr>
      <w:r>
        <w:rPr>
          <w:rFonts w:ascii="Courier New" w:cs="Courier New" w:eastAsia="Courier New" w:hAnsi="Courier New"/>
          <w:sz w:val="17"/>
          <w:szCs w:val="17"/>
          <w:color w:val="auto"/>
        </w:rPr>
        <w:t>During the first nine months of 1997, cash and cash equivalents plus short-term investments increased by $3258 million to $4236 million. The cash</w:t>
      </w:r>
    </w:p>
    <w:p>
      <w:pPr>
        <w:spacing w:after="0" w:line="396"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8</w:t>
      </w:r>
    </w:p>
    <w:p>
      <w:pPr>
        <w:spacing w:after="0" w:line="203"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sale of TI's defense operations to Raytheon on July 11, 1997, accounts for most of the increase. In addition, the sale of three other TI businesses generated $177 million of cash in the second quarter. Year-to-date cash flow from operating activities net of additions to property, plant, and equipment was $455 million. In the fourth quarter, TI anticipates using approximately $700 million of cash to pay taxes on the gain from the sale of TI's defense operations.</w:t>
      </w:r>
    </w:p>
    <w:p>
      <w:pPr>
        <w:spacing w:after="0" w:line="202" w:lineRule="exact"/>
        <w:rPr>
          <w:sz w:val="20"/>
          <w:szCs w:val="20"/>
          <w:color w:val="auto"/>
        </w:rPr>
      </w:pPr>
    </w:p>
    <w:p>
      <w:pPr>
        <w:jc w:val="both"/>
        <w:ind w:right="3119"/>
        <w:spacing w:after="0" w:line="246" w:lineRule="auto"/>
        <w:rPr>
          <w:sz w:val="20"/>
          <w:szCs w:val="20"/>
          <w:color w:val="auto"/>
        </w:rPr>
      </w:pPr>
      <w:r>
        <w:rPr>
          <w:rFonts w:ascii="Courier New" w:cs="Courier New" w:eastAsia="Courier New" w:hAnsi="Courier New"/>
          <w:sz w:val="17"/>
          <w:szCs w:val="17"/>
          <w:color w:val="auto"/>
        </w:rPr>
        <w:t>In announcing the stock split, referenced earlier in this report, TI indicated that its Board had elected to hold the cash dividend at its current rate (8.5 cents per share when adjusted for the split).</w:t>
      </w:r>
    </w:p>
    <w:p>
      <w:pPr>
        <w:spacing w:after="0" w:line="200"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During the third quarter TI began a stock repurchase plan with the goal of neutralizing the dilutive effect of shares to be issued upon the exercise of stock options under the new employee stock purchase plan and stock option/incentive plans. In September, TI purchased $27 million of its common stock.</w:t>
      </w:r>
    </w:p>
    <w:p>
      <w:pPr>
        <w:spacing w:after="0" w:line="201" w:lineRule="exact"/>
        <w:rPr>
          <w:sz w:val="20"/>
          <w:szCs w:val="20"/>
          <w:color w:val="auto"/>
        </w:rPr>
      </w:pPr>
    </w:p>
    <w:p>
      <w:pPr>
        <w:jc w:val="both"/>
        <w:ind w:right="2699"/>
        <w:spacing w:after="0" w:line="246" w:lineRule="auto"/>
        <w:rPr>
          <w:sz w:val="20"/>
          <w:szCs w:val="20"/>
          <w:color w:val="auto"/>
        </w:rPr>
      </w:pPr>
      <w:r>
        <w:rPr>
          <w:rFonts w:ascii="Courier New" w:cs="Courier New" w:eastAsia="Courier New" w:hAnsi="Courier New"/>
          <w:sz w:val="17"/>
          <w:szCs w:val="17"/>
          <w:color w:val="auto"/>
        </w:rPr>
        <w:t>In connection with the restructuring of the performance package discussed earlier in this report, and in accordance with pension accounting rules, the company expects to record a non-cash pension curtailment gain in the fourth quarter of 1997.</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outstanding balance of commercial paper was reduced from $300 million</w:t>
      </w:r>
    </w:p>
    <w:p>
      <w:pPr>
        <w:spacing w:after="0" w:line="5" w:lineRule="exact"/>
        <w:rPr>
          <w:sz w:val="20"/>
          <w:szCs w:val="20"/>
          <w:color w:val="auto"/>
        </w:rPr>
      </w:pPr>
    </w:p>
    <w:p>
      <w:pPr>
        <w:spacing w:after="0"/>
        <w:tabs>
          <w:tab w:leader="none" w:pos="4520" w:val="left"/>
        </w:tabs>
        <w:rPr>
          <w:sz w:val="20"/>
          <w:szCs w:val="20"/>
          <w:color w:val="auto"/>
        </w:rPr>
      </w:pPr>
      <w:r>
        <w:rPr>
          <w:rFonts w:ascii="Courier New" w:cs="Courier New" w:eastAsia="Courier New" w:hAnsi="Courier New"/>
          <w:sz w:val="17"/>
          <w:szCs w:val="17"/>
          <w:color w:val="auto"/>
        </w:rPr>
        <w:t>to zero during the second quarter of 1997.</w:t>
        <w:tab/>
        <w:t>The company's outstanding 2.75%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Convertible Subordinated Debentures due 2002 in the principal amount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$103 million were called for redemption and converted to TI common stock in</w:t>
      </w:r>
    </w:p>
    <w:p>
      <w:pPr>
        <w:spacing w:after="0" w:line="5" w:lineRule="exact"/>
        <w:rPr>
          <w:sz w:val="20"/>
          <w:szCs w:val="20"/>
          <w:color w:val="auto"/>
        </w:rPr>
      </w:pPr>
    </w:p>
    <w:p>
      <w:pPr>
        <w:spacing w:after="0"/>
        <w:tabs>
          <w:tab w:leader="none" w:pos="2860" w:val="left"/>
        </w:tabs>
        <w:rPr>
          <w:sz w:val="20"/>
          <w:szCs w:val="20"/>
          <w:color w:val="auto"/>
        </w:rPr>
      </w:pPr>
      <w:r>
        <w:rPr>
          <w:rFonts w:ascii="Courier New" w:cs="Courier New" w:eastAsia="Courier New" w:hAnsi="Courier New"/>
          <w:sz w:val="17"/>
          <w:szCs w:val="17"/>
          <w:color w:val="auto"/>
        </w:rPr>
        <w:t>the third quarter of 1997.</w:t>
        <w:tab/>
        <w:t>The debt-to-total-capital ratio was .20 at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end of the third quarter, down from the year-end 1996 level of .33.</w:t>
      </w:r>
    </w:p>
    <w:p>
      <w:pPr>
        <w:spacing w:after="0" w:line="203"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TI announced on October 14, 1997 a continuous, fixed-spread tender offer for any or all of its 9.0% notes due 2001, its 9.25% notes due 2003 and its 8.75% notes due 2007. The offering period extends from October 15 through October 21, 1997, unless extended. Each of the series of notes has $150 million in principal outstanding. While there will be an extraordinary charge in the fourth quarter of 1997 depending on the quantity tendered, the debt repurchase is expected to be slightly accretive to future period earnings.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TI's backlog of unfilled orders as of September 30, 1997, was $1861</w:t>
      </w:r>
    </w:p>
    <w:p>
      <w:pPr>
        <w:sectPr>
          <w:pgSz w:w="11900" w:h="16838" w:orient="portrait"/>
          <w:cols w:equalWidth="0" w:num="1">
            <w:col w:w="10219"/>
          </w:cols>
          <w:pgMar w:left="240" w:top="142" w:right="1440" w:bottom="0" w:gutter="0" w:footer="0" w:header="0"/>
        </w:sectPr>
      </w:pPr>
    </w:p>
    <w:bookmarkStart w:id="7" w:name="page8"/>
    <w:bookmarkEnd w:id="7"/>
    <w:p>
      <w:pPr>
        <w:ind w:right="3219"/>
        <w:spacing w:after="0" w:line="247" w:lineRule="auto"/>
        <w:rPr>
          <w:sz w:val="20"/>
          <w:szCs w:val="20"/>
          <w:color w:val="auto"/>
        </w:rPr>
      </w:pPr>
      <w:r>
        <w:rPr>
          <w:rFonts w:ascii="Courier New" w:cs="Courier New" w:eastAsia="Courier New" w:hAnsi="Courier New"/>
          <w:sz w:val="17"/>
          <w:szCs w:val="17"/>
          <w:color w:val="auto"/>
        </w:rPr>
        <w:t>million, up $153 million from the third quarter of 1996 and down $56 million from the second quarter of 1997.</w:t>
      </w:r>
    </w:p>
    <w:p>
      <w:pPr>
        <w:spacing w:after="0" w:line="198"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TI's R&amp;D was $275 million in the third quarter of 1997, compared with $256 million in the third quarter of 1996, excluding the one-time $192 million charge for in-process R&amp;D associated with the SSi acquisition. R&amp;D for the first nine months of 1997 was $795 million, compared with $734 million in the first nine months of 1996, excluding the charge. R&amp;D for the full year is expected to be $1.1 billion.</w:t>
      </w:r>
    </w:p>
    <w:p>
      <w:pPr>
        <w:spacing w:after="0" w:line="202" w:lineRule="exact"/>
        <w:rPr>
          <w:sz w:val="20"/>
          <w:szCs w:val="20"/>
          <w:color w:val="auto"/>
        </w:rPr>
      </w:pPr>
    </w:p>
    <w:p>
      <w:pPr>
        <w:ind w:right="2699"/>
        <w:spacing w:after="0" w:line="246" w:lineRule="auto"/>
        <w:rPr>
          <w:sz w:val="20"/>
          <w:szCs w:val="20"/>
          <w:color w:val="auto"/>
        </w:rPr>
      </w:pPr>
      <w:r>
        <w:rPr>
          <w:rFonts w:ascii="Courier New" w:cs="Courier New" w:eastAsia="Courier New" w:hAnsi="Courier New"/>
          <w:sz w:val="17"/>
          <w:szCs w:val="17"/>
          <w:color w:val="auto"/>
        </w:rPr>
        <w:t>Capital expenditures in the third quarter of this year were $351 million, compared with $517 million in the third quarter of 1996, and $914 million for the first nine months of 1997, compared with $1639 million for the first nine months of 1996. Capital spending for 1997 is now projected at $1.2 billion, up slightly from the previous projection for the year.</w:t>
      </w:r>
    </w:p>
    <w:p>
      <w:pPr>
        <w:spacing w:after="0" w:line="201" w:lineRule="exact"/>
        <w:rPr>
          <w:sz w:val="20"/>
          <w:szCs w:val="20"/>
          <w:color w:val="auto"/>
        </w:rPr>
      </w:pPr>
    </w:p>
    <w:p>
      <w:pPr>
        <w:ind w:right="2699"/>
        <w:spacing w:after="0" w:line="247" w:lineRule="auto"/>
        <w:rPr>
          <w:sz w:val="20"/>
          <w:szCs w:val="20"/>
          <w:color w:val="auto"/>
        </w:rPr>
      </w:pPr>
      <w:r>
        <w:rPr>
          <w:rFonts w:ascii="Courier New" w:cs="Courier New" w:eastAsia="Courier New" w:hAnsi="Courier New"/>
          <w:sz w:val="17"/>
          <w:szCs w:val="17"/>
          <w:color w:val="auto"/>
        </w:rPr>
        <w:t>Depreciation in the third quarter of 1997 was $287 million, compared with $244 million in the third quarter of 1996, and $806 million for the first</w:t>
      </w:r>
    </w:p>
    <w:p>
      <w:pPr>
        <w:spacing w:after="0" w:line="3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9</w:t>
      </w:r>
    </w:p>
    <w:p>
      <w:pPr>
        <w:spacing w:after="0" w:line="5" w:lineRule="exact"/>
        <w:rPr>
          <w:sz w:val="20"/>
          <w:szCs w:val="20"/>
          <w:color w:val="auto"/>
        </w:rPr>
      </w:pPr>
    </w:p>
    <w:p>
      <w:pPr>
        <w:ind w:right="2999"/>
        <w:spacing w:after="0" w:line="247" w:lineRule="auto"/>
        <w:rPr>
          <w:sz w:val="20"/>
          <w:szCs w:val="20"/>
          <w:color w:val="auto"/>
        </w:rPr>
      </w:pPr>
      <w:r>
        <w:rPr>
          <w:rFonts w:ascii="Courier New" w:cs="Courier New" w:eastAsia="Courier New" w:hAnsi="Courier New"/>
          <w:sz w:val="17"/>
          <w:szCs w:val="17"/>
          <w:color w:val="auto"/>
        </w:rPr>
        <w:t>nine months of 1997, compared with $629 million for the same period of 1996. Depreciation for the total year is projected at $1.1 billion.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 II - OTHER INFORMATION</w:t>
      </w:r>
    </w:p>
    <w:p>
      <w:pPr>
        <w:spacing w:after="0" w:line="20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1.</w:t>
        <w:tab/>
        <w:t>Legal Proceedings.</w:t>
      </w:r>
    </w:p>
    <w:p>
      <w:pPr>
        <w:spacing w:after="0" w:line="203"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In connection with the Registrant's litigation with Fujitsu Limited ("Fujitsu") discussed in Item 3 of the Registrant's Annual Report on Form 10-K for the year ended December 31, 1996, the Tokyo High Court on September 10, 1997 upheld the ruling that Fujitsu's production of 1-megabit and 4-megabit DRAM and 32K EPROMs does not infringe the Registrant's Japanese patent on the invention of the integrated circuit (the "Kilby" patent). The Registrant is appealing the court's decision to the Supreme Court of Japan.</w:t>
      </w:r>
    </w:p>
    <w:p>
      <w:pPr>
        <w:spacing w:after="0" w:line="20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6.</w:t>
        <w:tab/>
        <w:t>Exhibits and Reports on Form 8-K.</w:t>
      </w:r>
    </w:p>
    <w:p>
      <w:pPr>
        <w:spacing w:after="0" w:line="203" w:lineRule="exact"/>
        <w:rPr>
          <w:sz w:val="20"/>
          <w:szCs w:val="20"/>
          <w:color w:val="auto"/>
        </w:rPr>
      </w:pPr>
    </w:p>
    <w:p>
      <w:pPr>
        <w:ind w:left="1040"/>
        <w:spacing w:after="0"/>
        <w:tabs>
          <w:tab w:leader="none" w:pos="1520" w:val="left"/>
        </w:tabs>
        <w:rPr>
          <w:sz w:val="20"/>
          <w:szCs w:val="20"/>
          <w:color w:val="auto"/>
        </w:rPr>
      </w:pPr>
      <w:r>
        <w:rPr>
          <w:rFonts w:ascii="Courier New" w:cs="Courier New" w:eastAsia="Courier New" w:hAnsi="Courier New"/>
          <w:sz w:val="17"/>
          <w:szCs w:val="17"/>
          <w:color w:val="auto"/>
        </w:rPr>
        <w:t>(a)</w:t>
        <w:tab/>
        <w:t>Exhibits</w:t>
      </w:r>
    </w:p>
    <w:p>
      <w:pPr>
        <w:sectPr>
          <w:pgSz w:w="11900" w:h="16838" w:orient="portrait"/>
          <w:cols w:equalWidth="0" w:num="1">
            <w:col w:w="10219"/>
          </w:cols>
          <w:pgMar w:left="240" w:top="142" w:right="1440" w:bottom="0" w:gutter="0" w:footer="0" w:header="0"/>
        </w:sectPr>
      </w:pPr>
    </w:p>
    <w:p>
      <w:pPr>
        <w:spacing w:after="0" w:line="203"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Designation of</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Exhibits in</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this Report</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Description of Exhibit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3000" w:space="600"/>
            <w:col w:w="6619"/>
          </w:cols>
          <w:pgMar w:left="240" w:top="142" w:right="1440" w:bottom="0" w:gutter="0" w:footer="0" w:header="0"/>
          <w:type w:val="continuous"/>
        </w:sectPr>
      </w:pP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10(b)(iii)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Amendment No. 3 to TI Deferred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Plan</w:t>
      </w:r>
    </w:p>
    <w:p>
      <w:pPr>
        <w:spacing w:after="0" w:line="200" w:lineRule="exact"/>
        <w:rPr>
          <w:sz w:val="20"/>
          <w:szCs w:val="20"/>
          <w:color w:val="auto"/>
        </w:rPr>
      </w:pPr>
    </w:p>
    <w:p>
      <w:pPr>
        <w:sectPr>
          <w:pgSz w:w="11900" w:h="16838" w:orient="portrait"/>
          <w:cols w:equalWidth="0" w:num="2">
            <w:col w:w="3100" w:space="500"/>
            <w:col w:w="6619"/>
          </w:cols>
          <w:pgMar w:left="240" w:top="142" w:right="1440" w:bottom="0" w:gutter="0" w:footer="0" w:header="0"/>
          <w:type w:val="continuous"/>
        </w:sectPr>
      </w:pP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10(g)</w:t>
      </w:r>
    </w:p>
    <w:p>
      <w:pPr>
        <w:spacing w:after="0" w:line="20" w:lineRule="exact"/>
        <w:rPr>
          <w:sz w:val="20"/>
          <w:szCs w:val="20"/>
          <w:color w:val="auto"/>
        </w:rPr>
      </w:pPr>
      <w:r>
        <w:rPr>
          <w:sz w:val="20"/>
          <w:szCs w:val="20"/>
          <w:color w:val="auto"/>
        </w:rPr>
        <w:br w:type="column"/>
      </w:r>
    </w:p>
    <w:p>
      <w:pPr>
        <w:jc w:val="right"/>
        <w:ind w:right="3839"/>
        <w:spacing w:after="0"/>
        <w:rPr>
          <w:sz w:val="20"/>
          <w:szCs w:val="20"/>
          <w:color w:val="auto"/>
        </w:rPr>
      </w:pPr>
      <w:r>
        <w:rPr>
          <w:rFonts w:ascii="Courier New" w:cs="Courier New" w:eastAsia="Courier New" w:hAnsi="Courier New"/>
          <w:sz w:val="17"/>
          <w:szCs w:val="17"/>
          <w:color w:val="auto"/>
        </w:rPr>
        <w:t>Texas Instruments Directors</w:t>
      </w:r>
    </w:p>
    <w:p>
      <w:pPr>
        <w:spacing w:after="0" w:line="5" w:lineRule="exact"/>
        <w:rPr>
          <w:sz w:val="20"/>
          <w:szCs w:val="20"/>
          <w:color w:val="auto"/>
        </w:rPr>
      </w:pPr>
    </w:p>
    <w:p>
      <w:pPr>
        <w:jc w:val="right"/>
        <w:ind w:right="3839"/>
        <w:spacing w:after="0"/>
        <w:rPr>
          <w:sz w:val="20"/>
          <w:szCs w:val="20"/>
          <w:color w:val="auto"/>
        </w:rPr>
      </w:pPr>
      <w:r>
        <w:rPr>
          <w:rFonts w:ascii="Courier New" w:cs="Courier New" w:eastAsia="Courier New" w:hAnsi="Courier New"/>
          <w:sz w:val="17"/>
          <w:szCs w:val="17"/>
          <w:color w:val="auto"/>
        </w:rPr>
        <w:t>Deferred Compensation Plan</w:t>
      </w:r>
    </w:p>
    <w:p>
      <w:pPr>
        <w:spacing w:after="0" w:line="200" w:lineRule="exact"/>
        <w:rPr>
          <w:sz w:val="20"/>
          <w:szCs w:val="20"/>
          <w:color w:val="auto"/>
        </w:rPr>
      </w:pPr>
    </w:p>
    <w:p>
      <w:pPr>
        <w:sectPr>
          <w:pgSz w:w="11900" w:h="16838" w:orient="portrait"/>
          <w:cols w:equalWidth="0" w:num="2">
            <w:col w:w="2880" w:space="720"/>
            <w:col w:w="6619"/>
          </w:cols>
          <w:pgMar w:left="240" w:top="142" w:right="1440" w:bottom="0" w:gutter="0" w:footer="0" w:header="0"/>
          <w:type w:val="continuous"/>
        </w:sectPr>
      </w:pP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Computation of primary and fully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diluted earnings per common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common equivalent share.</w:t>
      </w:r>
    </w:p>
    <w:p>
      <w:pPr>
        <w:spacing w:after="0" w:line="200" w:lineRule="exact"/>
        <w:rPr>
          <w:sz w:val="20"/>
          <w:szCs w:val="20"/>
          <w:color w:val="auto"/>
        </w:rPr>
      </w:pPr>
    </w:p>
    <w:p>
      <w:pPr>
        <w:sectPr>
          <w:pgSz w:w="11900" w:h="16838" w:orient="portrait"/>
          <w:cols w:equalWidth="0" w:num="2">
            <w:col w:w="2880" w:space="720"/>
            <w:col w:w="6619"/>
          </w:cols>
          <w:pgMar w:left="240" w:top="142" w:right="1440" w:bottom="0" w:gutter="0" w:footer="0" w:header="0"/>
          <w:type w:val="continuous"/>
        </w:sectPr>
      </w:pP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Computation of Ratio of Earnings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Fixed Charges and Ratio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Earnings to Combined Fixed Charges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Preferred Stock Dividends.</w:t>
      </w:r>
    </w:p>
    <w:p>
      <w:pPr>
        <w:spacing w:after="0" w:line="200" w:lineRule="exact"/>
        <w:rPr>
          <w:sz w:val="20"/>
          <w:szCs w:val="20"/>
          <w:color w:val="auto"/>
        </w:rPr>
      </w:pPr>
    </w:p>
    <w:p>
      <w:pPr>
        <w:sectPr>
          <w:pgSz w:w="11900" w:h="16838" w:orient="portrait"/>
          <w:cols w:equalWidth="0" w:num="2">
            <w:col w:w="2880" w:space="720"/>
            <w:col w:w="6619"/>
          </w:cols>
          <w:pgMar w:left="240" w:top="142" w:right="1440" w:bottom="0" w:gutter="0" w:footer="0" w:header="0"/>
          <w:type w:val="continuous"/>
        </w:sectPr>
      </w:pPr>
    </w:p>
    <w:p>
      <w:pPr>
        <w:spacing w:after="0" w:line="3" w:lineRule="exact"/>
        <w:rPr>
          <w:sz w:val="20"/>
          <w:szCs w:val="20"/>
          <w:color w:val="auto"/>
        </w:rPr>
      </w:pPr>
    </w:p>
    <w:p>
      <w:pPr>
        <w:ind w:left="3600" w:hanging="1535"/>
        <w:spacing w:after="0"/>
        <w:tabs>
          <w:tab w:leader="none" w:pos="360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Data Schedule.</w:t>
      </w:r>
    </w:p>
    <w:p>
      <w:pPr>
        <w:spacing w:after="0" w:line="200" w:lineRule="exact"/>
        <w:rPr>
          <w:rFonts w:ascii="Courier New" w:cs="Courier New" w:eastAsia="Courier New" w:hAnsi="Courier New"/>
          <w:sz w:val="17"/>
          <w:szCs w:val="17"/>
          <w:color w:val="auto"/>
        </w:rPr>
      </w:pPr>
    </w:p>
    <w:p>
      <w:pPr>
        <w:spacing w:after="0" w:line="399" w:lineRule="exact"/>
        <w:rPr>
          <w:rFonts w:ascii="Courier New" w:cs="Courier New" w:eastAsia="Courier New" w:hAnsi="Courier New"/>
          <w:sz w:val="17"/>
          <w:szCs w:val="17"/>
          <w:color w:val="auto"/>
        </w:rPr>
      </w:pPr>
    </w:p>
    <w:p>
      <w:pPr>
        <w:ind w:left="1540" w:right="6719" w:hanging="505"/>
        <w:spacing w:after="0" w:line="493" w:lineRule="auto"/>
        <w:tabs>
          <w:tab w:leader="none" w:pos="15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142" w:right="1440" w:bottom="0" w:gutter="0" w:footer="0" w:header="0"/>
          <w:type w:val="continuous"/>
        </w:sectPr>
      </w:pPr>
    </w:p>
    <w:bookmarkStart w:id="8" w:name="page9"/>
    <w:bookmarkEnd w:id="8"/>
    <w:p>
      <w:pPr>
        <w:ind w:right="2599"/>
        <w:spacing w:after="0" w:line="247" w:lineRule="auto"/>
        <w:rPr>
          <w:sz w:val="20"/>
          <w:szCs w:val="20"/>
          <w:color w:val="auto"/>
        </w:rPr>
      </w:pPr>
      <w:r>
        <w:rPr>
          <w:rFonts w:ascii="Courier New" w:cs="Courier New" w:eastAsia="Courier New" w:hAnsi="Courier New"/>
          <w:sz w:val="17"/>
          <w:szCs w:val="17"/>
          <w:color w:val="auto"/>
        </w:rPr>
        <w:t>"Safe Harbor" Statement under the Private Securities Litigation Reform Act of 1995:</w:t>
      </w:r>
    </w:p>
    <w:p>
      <w:pPr>
        <w:spacing w:after="0" w:line="198"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With the exception of historical information, the matters discussed in this Form 10-Q are forward-looking statements that involve risks and uncertainties including, but not limited to, economic conditions, product demand and industry capacity, competitive products and pricing, manufacturing efficiencies, new product development, ability to enforce patents, availability of raw materials and critical manufacturing equipment, new plant startups, the regulatory and trade environment, and other risks indicated in filings with the Securities and Exchange Commission.</w:t>
      </w:r>
    </w:p>
    <w:p>
      <w:pPr>
        <w:spacing w:after="0" w:line="203"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7"/>
          <w:szCs w:val="17"/>
          <w:color w:val="auto"/>
        </w:rPr>
        <w:t>Trademarks:</w:t>
        <w:tab/>
        <w:t>TIRIS is a trademark of Texas Instruments Incorporated.</w:t>
      </w:r>
    </w:p>
    <w:p>
      <w:pPr>
        <w:spacing w:after="0" w:line="200" w:lineRule="exact"/>
        <w:rPr>
          <w:sz w:val="20"/>
          <w:szCs w:val="20"/>
          <w:color w:val="auto"/>
        </w:rPr>
      </w:pPr>
    </w:p>
    <w:p>
      <w:pPr>
        <w:spacing w:after="0" w:line="399"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7"/>
          <w:szCs w:val="17"/>
          <w:color w:val="auto"/>
        </w:rPr>
        <w:t>SIGNATURE</w:t>
      </w:r>
    </w:p>
    <w:p>
      <w:pPr>
        <w:spacing w:after="0" w:line="203" w:lineRule="exact"/>
        <w:rPr>
          <w:sz w:val="20"/>
          <w:szCs w:val="20"/>
          <w:color w:val="auto"/>
        </w:rPr>
      </w:pPr>
    </w:p>
    <w:p>
      <w:pPr>
        <w:jc w:val="both"/>
        <w:ind w:right="2799"/>
        <w:spacing w:after="0" w:line="246"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TEXAS INSTRUMENTS INCORPORATED</w:t>
      </w:r>
    </w:p>
    <w:p>
      <w:pPr>
        <w:spacing w:after="0" w:line="200" w:lineRule="exact"/>
        <w:rPr>
          <w:sz w:val="20"/>
          <w:szCs w:val="20"/>
          <w:color w:val="auto"/>
        </w:rPr>
      </w:pPr>
    </w:p>
    <w:p>
      <w:pPr>
        <w:spacing w:after="0" w:line="399"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7"/>
          <w:szCs w:val="17"/>
          <w:color w:val="auto"/>
        </w:rPr>
        <w:t>BY: /s/ William A. Aylesworth</w:t>
      </w:r>
    </w:p>
    <w:p>
      <w:pPr>
        <w:spacing w:after="0" w:line="5"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7"/>
          <w:szCs w:val="17"/>
          <w:color w:val="auto"/>
        </w:rPr>
        <w:t>William A. Aylesworth</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Senior Vice President, Treasurer</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and Chief Financial Officer</w:t>
      </w:r>
    </w:p>
    <w:p>
      <w:pPr>
        <w:spacing w:after="0" w:line="203"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7"/>
          <w:szCs w:val="17"/>
          <w:color w:val="auto"/>
        </w:rPr>
        <w:t>Date:</w:t>
        <w:tab/>
        <w:t>October 16,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820" w:type="dxa"/>
            <w:vAlign w:val="bottom"/>
            <w:gridSpan w:val="2"/>
          </w:tcPr>
          <w:p>
            <w:pPr>
              <w:ind w:left="1540"/>
              <w:spacing w:after="0"/>
              <w:rPr>
                <w:sz w:val="20"/>
                <w:szCs w:val="20"/>
                <w:color w:val="auto"/>
              </w:rPr>
            </w:pPr>
            <w:r>
              <w:rPr>
                <w:rFonts w:ascii="Courier New" w:cs="Courier New" w:eastAsia="Courier New" w:hAnsi="Courier New"/>
                <w:sz w:val="17"/>
                <w:szCs w:val="17"/>
                <w:color w:val="auto"/>
              </w:rPr>
              <w:t>Exhibit Index</w:t>
            </w:r>
          </w:p>
        </w:tc>
        <w:tc>
          <w:tcPr>
            <w:tcW w:w="1800" w:type="dxa"/>
            <w:vAlign w:val="bottom"/>
          </w:tcPr>
          <w:p>
            <w:pPr>
              <w:spacing w:after="0"/>
              <w:rPr>
                <w:sz w:val="16"/>
                <w:szCs w:val="16"/>
                <w:color w:val="auto"/>
              </w:rPr>
            </w:pPr>
          </w:p>
        </w:tc>
      </w:tr>
      <w:tr>
        <w:trPr>
          <w:trHeight w:val="396"/>
        </w:trPr>
        <w:tc>
          <w:tcPr>
            <w:tcW w:w="2220" w:type="dxa"/>
            <w:vAlign w:val="bottom"/>
          </w:tcPr>
          <w:p>
            <w:pPr>
              <w:spacing w:after="0"/>
              <w:rPr>
                <w:sz w:val="20"/>
                <w:szCs w:val="20"/>
                <w:color w:val="auto"/>
              </w:rPr>
            </w:pPr>
            <w:r>
              <w:rPr>
                <w:rFonts w:ascii="Courier New" w:cs="Courier New" w:eastAsia="Courier New" w:hAnsi="Courier New"/>
                <w:sz w:val="17"/>
                <w:szCs w:val="17"/>
                <w:color w:val="auto"/>
              </w:rPr>
              <w:t>Designation of</w:t>
            </w:r>
          </w:p>
        </w:tc>
        <w:tc>
          <w:tcPr>
            <w:tcW w:w="3600" w:type="dxa"/>
            <w:vAlign w:val="bottom"/>
          </w:tcPr>
          <w:p>
            <w:pPr>
              <w:spacing w:after="0"/>
              <w:rPr>
                <w:sz w:val="24"/>
                <w:szCs w:val="24"/>
                <w:color w:val="auto"/>
              </w:rPr>
            </w:pPr>
          </w:p>
        </w:tc>
        <w:tc>
          <w:tcPr>
            <w:tcW w:w="1800" w:type="dxa"/>
            <w:vAlign w:val="bottom"/>
          </w:tcPr>
          <w:p>
            <w:pPr>
              <w:ind w:left="360"/>
              <w:spacing w:after="0"/>
              <w:rPr>
                <w:sz w:val="20"/>
                <w:szCs w:val="20"/>
                <w:color w:val="auto"/>
              </w:rPr>
            </w:pPr>
            <w:r>
              <w:rPr>
                <w:rFonts w:ascii="Courier New" w:cs="Courier New" w:eastAsia="Courier New" w:hAnsi="Courier New"/>
                <w:sz w:val="17"/>
                <w:szCs w:val="17"/>
                <w:color w:val="auto"/>
              </w:rPr>
              <w:t>Paper (P)</w:t>
            </w:r>
          </w:p>
        </w:tc>
      </w:tr>
      <w:tr>
        <w:trPr>
          <w:trHeight w:val="198"/>
        </w:trPr>
        <w:tc>
          <w:tcPr>
            <w:tcW w:w="2220" w:type="dxa"/>
            <w:vAlign w:val="bottom"/>
          </w:tcPr>
          <w:p>
            <w:pPr>
              <w:ind w:left="100"/>
              <w:spacing w:after="0"/>
              <w:rPr>
                <w:sz w:val="20"/>
                <w:szCs w:val="20"/>
                <w:color w:val="auto"/>
              </w:rPr>
            </w:pPr>
            <w:r>
              <w:rPr>
                <w:rFonts w:ascii="Courier New" w:cs="Courier New" w:eastAsia="Courier New" w:hAnsi="Courier New"/>
                <w:sz w:val="17"/>
                <w:szCs w:val="17"/>
                <w:color w:val="auto"/>
              </w:rPr>
              <w:t>Exhibits in</w:t>
            </w:r>
          </w:p>
        </w:tc>
        <w:tc>
          <w:tcPr>
            <w:tcW w:w="3600" w:type="dxa"/>
            <w:vAlign w:val="bottom"/>
          </w:tcPr>
          <w:p>
            <w:pPr>
              <w:spacing w:after="0"/>
              <w:rPr>
                <w:sz w:val="17"/>
                <w:szCs w:val="17"/>
                <w:color w:val="auto"/>
              </w:rPr>
            </w:pPr>
          </w:p>
        </w:tc>
        <w:tc>
          <w:tcPr>
            <w:tcW w:w="1800" w:type="dxa"/>
            <w:vAlign w:val="bottom"/>
          </w:tcPr>
          <w:p>
            <w:pPr>
              <w:jc w:val="right"/>
              <w:ind w:right="834"/>
              <w:spacing w:after="0"/>
              <w:rPr>
                <w:sz w:val="20"/>
                <w:szCs w:val="20"/>
                <w:color w:val="auto"/>
              </w:rPr>
            </w:pPr>
            <w:r>
              <w:rPr>
                <w:rFonts w:ascii="Courier New" w:cs="Courier New" w:eastAsia="Courier New" w:hAnsi="Courier New"/>
                <w:sz w:val="17"/>
                <w:szCs w:val="17"/>
                <w:color w:val="auto"/>
              </w:rPr>
              <w:t>or</w:t>
            </w:r>
          </w:p>
        </w:tc>
      </w:tr>
      <w:tr>
        <w:trPr>
          <w:trHeight w:val="198"/>
        </w:trPr>
        <w:tc>
          <w:tcPr>
            <w:tcW w:w="2220" w:type="dxa"/>
            <w:vAlign w:val="bottom"/>
          </w:tcPr>
          <w:p>
            <w:pPr>
              <w:ind w:left="100"/>
              <w:spacing w:after="0"/>
              <w:rPr>
                <w:sz w:val="20"/>
                <w:szCs w:val="20"/>
                <w:color w:val="auto"/>
              </w:rPr>
            </w:pPr>
            <w:r>
              <w:rPr>
                <w:rFonts w:ascii="Courier New" w:cs="Courier New" w:eastAsia="Courier New" w:hAnsi="Courier New"/>
                <w:sz w:val="17"/>
                <w:szCs w:val="17"/>
                <w:color w:val="auto"/>
              </w:rPr>
              <w:t>this Report</w:t>
            </w:r>
          </w:p>
        </w:tc>
        <w:tc>
          <w:tcPr>
            <w:tcW w:w="3600" w:type="dxa"/>
            <w:vAlign w:val="bottom"/>
          </w:tcPr>
          <w:p>
            <w:pPr>
              <w:ind w:left="360"/>
              <w:spacing w:after="0"/>
              <w:rPr>
                <w:sz w:val="20"/>
                <w:szCs w:val="20"/>
                <w:color w:val="auto"/>
              </w:rPr>
            </w:pPr>
            <w:r>
              <w:rPr>
                <w:rFonts w:ascii="Courier New" w:cs="Courier New" w:eastAsia="Courier New" w:hAnsi="Courier New"/>
                <w:sz w:val="17"/>
                <w:szCs w:val="17"/>
                <w:color w:val="auto"/>
              </w:rPr>
              <w:t>Description of Exhibit</w:t>
            </w:r>
          </w:p>
        </w:tc>
        <w:tc>
          <w:tcPr>
            <w:tcW w:w="18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Electronic (E)</w:t>
            </w:r>
          </w:p>
        </w:tc>
      </w:tr>
      <w:tr>
        <w:trPr>
          <w:trHeight w:val="198"/>
        </w:trPr>
        <w:tc>
          <w:tcPr>
            <w:tcW w:w="22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600" w:type="dxa"/>
            <w:vAlign w:val="bottom"/>
          </w:tcPr>
          <w:p>
            <w:pPr>
              <w:ind w:left="560"/>
              <w:spacing w:after="0"/>
              <w:rPr>
                <w:sz w:val="20"/>
                <w:szCs w:val="20"/>
                <w:color w:val="auto"/>
              </w:rPr>
            </w:pPr>
            <w:r>
              <w:rPr>
                <w:rFonts w:ascii="Courier New" w:cs="Courier New" w:eastAsia="Courier New" w:hAnsi="Courier New"/>
                <w:sz w:val="17"/>
                <w:szCs w:val="17"/>
                <w:color w:val="auto"/>
              </w:rPr>
              <w:t>-----------------------</w:t>
            </w:r>
          </w:p>
        </w:tc>
        <w:tc>
          <w:tcPr>
            <w:tcW w:w="1800" w:type="dxa"/>
            <w:vAlign w:val="bottom"/>
          </w:tcPr>
          <w:p>
            <w:pPr>
              <w:ind w:left="360"/>
              <w:spacing w:after="0"/>
              <w:rPr>
                <w:sz w:val="20"/>
                <w:szCs w:val="20"/>
                <w:color w:val="auto"/>
              </w:rPr>
            </w:pPr>
            <w:r>
              <w:rPr>
                <w:rFonts w:ascii="Courier New" w:cs="Courier New" w:eastAsia="Courier New" w:hAnsi="Courier New"/>
                <w:sz w:val="17"/>
                <w:szCs w:val="17"/>
                <w:color w:val="auto"/>
                <w:w w:val="99"/>
              </w:rPr>
              <w:t>--------------</w:t>
            </w:r>
          </w:p>
        </w:tc>
      </w:tr>
      <w:tr>
        <w:trPr>
          <w:trHeight w:val="594"/>
        </w:trPr>
        <w:tc>
          <w:tcPr>
            <w:tcW w:w="2220" w:type="dxa"/>
            <w:vAlign w:val="bottom"/>
          </w:tcPr>
          <w:p>
            <w:pPr>
              <w:ind w:left="420"/>
              <w:spacing w:after="0"/>
              <w:rPr>
                <w:sz w:val="20"/>
                <w:szCs w:val="20"/>
                <w:color w:val="auto"/>
              </w:rPr>
            </w:pPr>
            <w:r>
              <w:rPr>
                <w:rFonts w:ascii="Courier New" w:cs="Courier New" w:eastAsia="Courier New" w:hAnsi="Courier New"/>
                <w:sz w:val="17"/>
                <w:szCs w:val="17"/>
                <w:color w:val="auto"/>
              </w:rPr>
              <w:t>10(b)(iii)</w:t>
            </w:r>
          </w:p>
        </w:tc>
        <w:tc>
          <w:tcPr>
            <w:tcW w:w="3600" w:type="dxa"/>
            <w:vAlign w:val="bottom"/>
          </w:tcPr>
          <w:p>
            <w:pPr>
              <w:ind w:left="360"/>
              <w:spacing w:after="0"/>
              <w:rPr>
                <w:sz w:val="20"/>
                <w:szCs w:val="20"/>
                <w:color w:val="auto"/>
              </w:rPr>
            </w:pPr>
            <w:r>
              <w:rPr>
                <w:rFonts w:ascii="Courier New" w:cs="Courier New" w:eastAsia="Courier New" w:hAnsi="Courier New"/>
                <w:sz w:val="17"/>
                <w:szCs w:val="17"/>
                <w:color w:val="auto"/>
              </w:rPr>
              <w:t>Amendment No. 3 to TI</w:t>
            </w:r>
          </w:p>
        </w:tc>
        <w:tc>
          <w:tcPr>
            <w:tcW w:w="1800" w:type="dxa"/>
            <w:vAlign w:val="bottom"/>
          </w:tcPr>
          <w:p>
            <w:pPr>
              <w:jc w:val="right"/>
              <w:ind w:right="834"/>
              <w:spacing w:after="0"/>
              <w:rPr>
                <w:sz w:val="20"/>
                <w:szCs w:val="20"/>
                <w:color w:val="auto"/>
              </w:rPr>
            </w:pPr>
            <w:r>
              <w:rPr>
                <w:rFonts w:ascii="Courier New" w:cs="Courier New" w:eastAsia="Courier New" w:hAnsi="Courier New"/>
                <w:sz w:val="17"/>
                <w:szCs w:val="17"/>
                <w:color w:val="auto"/>
              </w:rPr>
              <w:t>E</w:t>
            </w:r>
          </w:p>
        </w:tc>
      </w:tr>
      <w:tr>
        <w:trPr>
          <w:trHeight w:val="198"/>
        </w:trPr>
        <w:tc>
          <w:tcPr>
            <w:tcW w:w="2220" w:type="dxa"/>
            <w:vAlign w:val="bottom"/>
          </w:tcPr>
          <w:p>
            <w:pPr>
              <w:spacing w:after="0"/>
              <w:rPr>
                <w:sz w:val="17"/>
                <w:szCs w:val="17"/>
                <w:color w:val="auto"/>
              </w:rPr>
            </w:pPr>
          </w:p>
        </w:tc>
        <w:tc>
          <w:tcPr>
            <w:tcW w:w="3600" w:type="dxa"/>
            <w:vAlign w:val="bottom"/>
          </w:tcPr>
          <w:p>
            <w:pPr>
              <w:ind w:left="360"/>
              <w:spacing w:after="0"/>
              <w:rPr>
                <w:sz w:val="20"/>
                <w:szCs w:val="20"/>
                <w:color w:val="auto"/>
              </w:rPr>
            </w:pPr>
            <w:r>
              <w:rPr>
                <w:rFonts w:ascii="Courier New" w:cs="Courier New" w:eastAsia="Courier New" w:hAnsi="Courier New"/>
                <w:sz w:val="17"/>
                <w:szCs w:val="17"/>
                <w:color w:val="auto"/>
              </w:rPr>
              <w:t>Deferred Compensation Plan</w:t>
            </w:r>
          </w:p>
        </w:tc>
        <w:tc>
          <w:tcPr>
            <w:tcW w:w="1800" w:type="dxa"/>
            <w:vAlign w:val="bottom"/>
          </w:tcPr>
          <w:p>
            <w:pPr>
              <w:spacing w:after="0"/>
              <w:rPr>
                <w:sz w:val="17"/>
                <w:szCs w:val="17"/>
                <w:color w:val="auto"/>
              </w:rPr>
            </w:pPr>
          </w:p>
        </w:tc>
      </w:tr>
      <w:tr>
        <w:trPr>
          <w:trHeight w:val="396"/>
        </w:trPr>
        <w:tc>
          <w:tcPr>
            <w:tcW w:w="2220" w:type="dxa"/>
            <w:vAlign w:val="bottom"/>
          </w:tcPr>
          <w:p>
            <w:pPr>
              <w:ind w:left="420"/>
              <w:spacing w:after="0"/>
              <w:rPr>
                <w:sz w:val="20"/>
                <w:szCs w:val="20"/>
                <w:color w:val="auto"/>
              </w:rPr>
            </w:pPr>
            <w:r>
              <w:rPr>
                <w:rFonts w:ascii="Courier New" w:cs="Courier New" w:eastAsia="Courier New" w:hAnsi="Courier New"/>
                <w:sz w:val="17"/>
                <w:szCs w:val="17"/>
                <w:color w:val="auto"/>
              </w:rPr>
              <w:t>10(g)</w:t>
            </w:r>
          </w:p>
        </w:tc>
        <w:tc>
          <w:tcPr>
            <w:tcW w:w="3600" w:type="dxa"/>
            <w:vAlign w:val="bottom"/>
          </w:tcPr>
          <w:p>
            <w:pPr>
              <w:ind w:left="360"/>
              <w:spacing w:after="0"/>
              <w:rPr>
                <w:sz w:val="20"/>
                <w:szCs w:val="20"/>
                <w:color w:val="auto"/>
              </w:rPr>
            </w:pPr>
            <w:r>
              <w:rPr>
                <w:rFonts w:ascii="Courier New" w:cs="Courier New" w:eastAsia="Courier New" w:hAnsi="Courier New"/>
                <w:sz w:val="17"/>
                <w:szCs w:val="17"/>
                <w:color w:val="auto"/>
              </w:rPr>
              <w:t>Texas Instruments Directors</w:t>
            </w:r>
          </w:p>
        </w:tc>
        <w:tc>
          <w:tcPr>
            <w:tcW w:w="1800" w:type="dxa"/>
            <w:vAlign w:val="bottom"/>
          </w:tcPr>
          <w:p>
            <w:pPr>
              <w:jc w:val="right"/>
              <w:ind w:right="834"/>
              <w:spacing w:after="0"/>
              <w:rPr>
                <w:sz w:val="20"/>
                <w:szCs w:val="20"/>
                <w:color w:val="auto"/>
              </w:rPr>
            </w:pPr>
            <w:r>
              <w:rPr>
                <w:rFonts w:ascii="Courier New" w:cs="Courier New" w:eastAsia="Courier New" w:hAnsi="Courier New"/>
                <w:sz w:val="17"/>
                <w:szCs w:val="17"/>
                <w:color w:val="auto"/>
              </w:rPr>
              <w:t>E</w:t>
            </w:r>
          </w:p>
        </w:tc>
      </w:tr>
      <w:tr>
        <w:trPr>
          <w:trHeight w:val="198"/>
        </w:trPr>
        <w:tc>
          <w:tcPr>
            <w:tcW w:w="2220" w:type="dxa"/>
            <w:vAlign w:val="bottom"/>
          </w:tcPr>
          <w:p>
            <w:pPr>
              <w:spacing w:after="0"/>
              <w:rPr>
                <w:sz w:val="17"/>
                <w:szCs w:val="17"/>
                <w:color w:val="auto"/>
              </w:rPr>
            </w:pPr>
          </w:p>
        </w:tc>
        <w:tc>
          <w:tcPr>
            <w:tcW w:w="3600" w:type="dxa"/>
            <w:vAlign w:val="bottom"/>
          </w:tcPr>
          <w:p>
            <w:pPr>
              <w:ind w:left="360"/>
              <w:spacing w:after="0"/>
              <w:rPr>
                <w:sz w:val="20"/>
                <w:szCs w:val="20"/>
                <w:color w:val="auto"/>
              </w:rPr>
            </w:pPr>
            <w:r>
              <w:rPr>
                <w:rFonts w:ascii="Courier New" w:cs="Courier New" w:eastAsia="Courier New" w:hAnsi="Courier New"/>
                <w:sz w:val="17"/>
                <w:szCs w:val="17"/>
                <w:color w:val="auto"/>
              </w:rPr>
              <w:t>Deferred Compensation Plan</w:t>
            </w:r>
          </w:p>
        </w:tc>
        <w:tc>
          <w:tcPr>
            <w:tcW w:w="1800" w:type="dxa"/>
            <w:vAlign w:val="bottom"/>
          </w:tcPr>
          <w:p>
            <w:pPr>
              <w:spacing w:after="0"/>
              <w:rPr>
                <w:sz w:val="17"/>
                <w:szCs w:val="17"/>
                <w:color w:val="auto"/>
              </w:rPr>
            </w:pPr>
          </w:p>
        </w:tc>
      </w:tr>
      <w:tr>
        <w:trPr>
          <w:trHeight w:val="396"/>
        </w:trPr>
        <w:tc>
          <w:tcPr>
            <w:tcW w:w="2220" w:type="dxa"/>
            <w:vAlign w:val="bottom"/>
          </w:tcPr>
          <w:p>
            <w:pPr>
              <w:ind w:left="420"/>
              <w:spacing w:after="0"/>
              <w:rPr>
                <w:sz w:val="20"/>
                <w:szCs w:val="20"/>
                <w:color w:val="auto"/>
              </w:rPr>
            </w:pPr>
            <w:r>
              <w:rPr>
                <w:rFonts w:ascii="Courier New" w:cs="Courier New" w:eastAsia="Courier New" w:hAnsi="Courier New"/>
                <w:sz w:val="17"/>
                <w:szCs w:val="17"/>
                <w:color w:val="auto"/>
              </w:rPr>
              <w:t>11</w:t>
            </w:r>
          </w:p>
        </w:tc>
        <w:tc>
          <w:tcPr>
            <w:tcW w:w="3600" w:type="dxa"/>
            <w:vAlign w:val="bottom"/>
          </w:tcPr>
          <w:p>
            <w:pPr>
              <w:ind w:left="360"/>
              <w:spacing w:after="0"/>
              <w:rPr>
                <w:sz w:val="20"/>
                <w:szCs w:val="20"/>
                <w:color w:val="auto"/>
              </w:rPr>
            </w:pPr>
            <w:r>
              <w:rPr>
                <w:rFonts w:ascii="Courier New" w:cs="Courier New" w:eastAsia="Courier New" w:hAnsi="Courier New"/>
                <w:sz w:val="17"/>
                <w:szCs w:val="17"/>
                <w:color w:val="auto"/>
              </w:rPr>
              <w:t>Computation of Primary and</w:t>
            </w:r>
          </w:p>
        </w:tc>
        <w:tc>
          <w:tcPr>
            <w:tcW w:w="1800" w:type="dxa"/>
            <w:vAlign w:val="bottom"/>
          </w:tcPr>
          <w:p>
            <w:pPr>
              <w:jc w:val="right"/>
              <w:ind w:right="834"/>
              <w:spacing w:after="0"/>
              <w:rPr>
                <w:sz w:val="20"/>
                <w:szCs w:val="20"/>
                <w:color w:val="auto"/>
              </w:rPr>
            </w:pPr>
            <w:r>
              <w:rPr>
                <w:rFonts w:ascii="Courier New" w:cs="Courier New" w:eastAsia="Courier New" w:hAnsi="Courier New"/>
                <w:sz w:val="17"/>
                <w:szCs w:val="17"/>
                <w:color w:val="auto"/>
              </w:rPr>
              <w:t>E</w:t>
            </w:r>
          </w:p>
        </w:tc>
      </w:tr>
      <w:tr>
        <w:trPr>
          <w:trHeight w:val="198"/>
        </w:trPr>
        <w:tc>
          <w:tcPr>
            <w:tcW w:w="2220" w:type="dxa"/>
            <w:vAlign w:val="bottom"/>
          </w:tcPr>
          <w:p>
            <w:pPr>
              <w:spacing w:after="0"/>
              <w:rPr>
                <w:sz w:val="17"/>
                <w:szCs w:val="17"/>
                <w:color w:val="auto"/>
              </w:rPr>
            </w:pPr>
          </w:p>
        </w:tc>
        <w:tc>
          <w:tcPr>
            <w:tcW w:w="3600" w:type="dxa"/>
            <w:vAlign w:val="bottom"/>
          </w:tcPr>
          <w:p>
            <w:pPr>
              <w:ind w:left="360"/>
              <w:spacing w:after="0"/>
              <w:rPr>
                <w:sz w:val="20"/>
                <w:szCs w:val="20"/>
                <w:color w:val="auto"/>
              </w:rPr>
            </w:pPr>
            <w:r>
              <w:rPr>
                <w:rFonts w:ascii="Courier New" w:cs="Courier New" w:eastAsia="Courier New" w:hAnsi="Courier New"/>
                <w:sz w:val="17"/>
                <w:szCs w:val="17"/>
                <w:color w:val="auto"/>
              </w:rPr>
              <w:t>Fully Diluted Earnings Per</w:t>
            </w:r>
          </w:p>
        </w:tc>
        <w:tc>
          <w:tcPr>
            <w:tcW w:w="1800" w:type="dxa"/>
            <w:vAlign w:val="bottom"/>
          </w:tcPr>
          <w:p>
            <w:pPr>
              <w:spacing w:after="0"/>
              <w:rPr>
                <w:sz w:val="17"/>
                <w:szCs w:val="17"/>
                <w:color w:val="auto"/>
              </w:rPr>
            </w:pPr>
          </w:p>
        </w:tc>
      </w:tr>
      <w:tr>
        <w:trPr>
          <w:trHeight w:val="198"/>
        </w:trPr>
        <w:tc>
          <w:tcPr>
            <w:tcW w:w="2220" w:type="dxa"/>
            <w:vAlign w:val="bottom"/>
          </w:tcPr>
          <w:p>
            <w:pPr>
              <w:spacing w:after="0"/>
              <w:rPr>
                <w:sz w:val="17"/>
                <w:szCs w:val="17"/>
                <w:color w:val="auto"/>
              </w:rPr>
            </w:pPr>
          </w:p>
        </w:tc>
        <w:tc>
          <w:tcPr>
            <w:tcW w:w="3600" w:type="dxa"/>
            <w:vAlign w:val="bottom"/>
          </w:tcPr>
          <w:p>
            <w:pPr>
              <w:ind w:left="360"/>
              <w:spacing w:after="0"/>
              <w:rPr>
                <w:sz w:val="20"/>
                <w:szCs w:val="20"/>
                <w:color w:val="auto"/>
              </w:rPr>
            </w:pPr>
            <w:r>
              <w:rPr>
                <w:rFonts w:ascii="Courier New" w:cs="Courier New" w:eastAsia="Courier New" w:hAnsi="Courier New"/>
                <w:sz w:val="17"/>
                <w:szCs w:val="17"/>
                <w:color w:val="auto"/>
              </w:rPr>
              <w:t>Common and Common Equivalent</w:t>
            </w:r>
          </w:p>
        </w:tc>
        <w:tc>
          <w:tcPr>
            <w:tcW w:w="1800" w:type="dxa"/>
            <w:vAlign w:val="bottom"/>
          </w:tcPr>
          <w:p>
            <w:pPr>
              <w:spacing w:after="0"/>
              <w:rPr>
                <w:sz w:val="17"/>
                <w:szCs w:val="17"/>
                <w:color w:val="auto"/>
              </w:rPr>
            </w:pPr>
          </w:p>
        </w:tc>
      </w:tr>
      <w:tr>
        <w:trPr>
          <w:trHeight w:val="198"/>
        </w:trPr>
        <w:tc>
          <w:tcPr>
            <w:tcW w:w="2220" w:type="dxa"/>
            <w:vAlign w:val="bottom"/>
          </w:tcPr>
          <w:p>
            <w:pPr>
              <w:spacing w:after="0"/>
              <w:rPr>
                <w:sz w:val="17"/>
                <w:szCs w:val="17"/>
                <w:color w:val="auto"/>
              </w:rPr>
            </w:pPr>
          </w:p>
        </w:tc>
        <w:tc>
          <w:tcPr>
            <w:tcW w:w="3600" w:type="dxa"/>
            <w:vAlign w:val="bottom"/>
          </w:tcPr>
          <w:p>
            <w:pPr>
              <w:ind w:left="360"/>
              <w:spacing w:after="0"/>
              <w:rPr>
                <w:sz w:val="20"/>
                <w:szCs w:val="20"/>
                <w:color w:val="auto"/>
              </w:rPr>
            </w:pPr>
            <w:r>
              <w:rPr>
                <w:rFonts w:ascii="Courier New" w:cs="Courier New" w:eastAsia="Courier New" w:hAnsi="Courier New"/>
                <w:sz w:val="17"/>
                <w:szCs w:val="17"/>
                <w:color w:val="auto"/>
              </w:rPr>
              <w:t>Share.</w:t>
            </w:r>
          </w:p>
        </w:tc>
        <w:tc>
          <w:tcPr>
            <w:tcW w:w="1800" w:type="dxa"/>
            <w:vAlign w:val="bottom"/>
          </w:tcPr>
          <w:p>
            <w:pPr>
              <w:spacing w:after="0"/>
              <w:rPr>
                <w:sz w:val="17"/>
                <w:szCs w:val="17"/>
                <w:color w:val="auto"/>
              </w:rPr>
            </w:pPr>
          </w:p>
        </w:tc>
      </w:tr>
      <w:tr>
        <w:trPr>
          <w:trHeight w:val="396"/>
        </w:trPr>
        <w:tc>
          <w:tcPr>
            <w:tcW w:w="2220" w:type="dxa"/>
            <w:vAlign w:val="bottom"/>
          </w:tcPr>
          <w:p>
            <w:pPr>
              <w:ind w:left="420"/>
              <w:spacing w:after="0"/>
              <w:rPr>
                <w:sz w:val="20"/>
                <w:szCs w:val="20"/>
                <w:color w:val="auto"/>
              </w:rPr>
            </w:pPr>
            <w:r>
              <w:rPr>
                <w:rFonts w:ascii="Courier New" w:cs="Courier New" w:eastAsia="Courier New" w:hAnsi="Courier New"/>
                <w:sz w:val="17"/>
                <w:szCs w:val="17"/>
                <w:color w:val="auto"/>
              </w:rPr>
              <w:t>12</w:t>
            </w:r>
          </w:p>
        </w:tc>
        <w:tc>
          <w:tcPr>
            <w:tcW w:w="3600" w:type="dxa"/>
            <w:vAlign w:val="bottom"/>
          </w:tcPr>
          <w:p>
            <w:pPr>
              <w:ind w:left="360"/>
              <w:spacing w:after="0"/>
              <w:rPr>
                <w:sz w:val="20"/>
                <w:szCs w:val="20"/>
                <w:color w:val="auto"/>
              </w:rPr>
            </w:pPr>
            <w:r>
              <w:rPr>
                <w:rFonts w:ascii="Courier New" w:cs="Courier New" w:eastAsia="Courier New" w:hAnsi="Courier New"/>
                <w:sz w:val="17"/>
                <w:szCs w:val="17"/>
                <w:color w:val="auto"/>
              </w:rPr>
              <w:t>Computation of Ratio of</w:t>
            </w:r>
          </w:p>
        </w:tc>
        <w:tc>
          <w:tcPr>
            <w:tcW w:w="1800" w:type="dxa"/>
            <w:vAlign w:val="bottom"/>
          </w:tcPr>
          <w:p>
            <w:pPr>
              <w:jc w:val="right"/>
              <w:ind w:right="834"/>
              <w:spacing w:after="0"/>
              <w:rPr>
                <w:sz w:val="20"/>
                <w:szCs w:val="20"/>
                <w:color w:val="auto"/>
              </w:rPr>
            </w:pPr>
            <w:r>
              <w:rPr>
                <w:rFonts w:ascii="Courier New" w:cs="Courier New" w:eastAsia="Courier New" w:hAnsi="Courier New"/>
                <w:sz w:val="17"/>
                <w:szCs w:val="17"/>
                <w:color w:val="auto"/>
              </w:rPr>
              <w:t>E</w:t>
            </w:r>
          </w:p>
        </w:tc>
      </w:tr>
      <w:tr>
        <w:trPr>
          <w:trHeight w:val="198"/>
        </w:trPr>
        <w:tc>
          <w:tcPr>
            <w:tcW w:w="2220" w:type="dxa"/>
            <w:vAlign w:val="bottom"/>
          </w:tcPr>
          <w:p>
            <w:pPr>
              <w:spacing w:after="0"/>
              <w:rPr>
                <w:sz w:val="17"/>
                <w:szCs w:val="17"/>
                <w:color w:val="auto"/>
              </w:rPr>
            </w:pPr>
          </w:p>
        </w:tc>
        <w:tc>
          <w:tcPr>
            <w:tcW w:w="3600" w:type="dxa"/>
            <w:vAlign w:val="bottom"/>
          </w:tcPr>
          <w:p>
            <w:pPr>
              <w:ind w:left="360"/>
              <w:spacing w:after="0"/>
              <w:rPr>
                <w:sz w:val="20"/>
                <w:szCs w:val="20"/>
                <w:color w:val="auto"/>
              </w:rPr>
            </w:pPr>
            <w:r>
              <w:rPr>
                <w:rFonts w:ascii="Courier New" w:cs="Courier New" w:eastAsia="Courier New" w:hAnsi="Courier New"/>
                <w:sz w:val="17"/>
                <w:szCs w:val="17"/>
                <w:color w:val="auto"/>
              </w:rPr>
              <w:t>Earnings to Fixed Charges and</w:t>
            </w:r>
          </w:p>
        </w:tc>
        <w:tc>
          <w:tcPr>
            <w:tcW w:w="1800" w:type="dxa"/>
            <w:vAlign w:val="bottom"/>
          </w:tcPr>
          <w:p>
            <w:pPr>
              <w:spacing w:after="0"/>
              <w:rPr>
                <w:sz w:val="17"/>
                <w:szCs w:val="17"/>
                <w:color w:val="auto"/>
              </w:rPr>
            </w:pPr>
          </w:p>
        </w:tc>
      </w:tr>
      <w:tr>
        <w:trPr>
          <w:trHeight w:val="198"/>
        </w:trPr>
        <w:tc>
          <w:tcPr>
            <w:tcW w:w="2220" w:type="dxa"/>
            <w:vAlign w:val="bottom"/>
          </w:tcPr>
          <w:p>
            <w:pPr>
              <w:spacing w:after="0"/>
              <w:rPr>
                <w:sz w:val="17"/>
                <w:szCs w:val="17"/>
                <w:color w:val="auto"/>
              </w:rPr>
            </w:pPr>
          </w:p>
        </w:tc>
        <w:tc>
          <w:tcPr>
            <w:tcW w:w="3600" w:type="dxa"/>
            <w:vAlign w:val="bottom"/>
          </w:tcPr>
          <w:p>
            <w:pPr>
              <w:ind w:left="360"/>
              <w:spacing w:after="0"/>
              <w:rPr>
                <w:sz w:val="20"/>
                <w:szCs w:val="20"/>
                <w:color w:val="auto"/>
              </w:rPr>
            </w:pPr>
            <w:r>
              <w:rPr>
                <w:rFonts w:ascii="Courier New" w:cs="Courier New" w:eastAsia="Courier New" w:hAnsi="Courier New"/>
                <w:sz w:val="17"/>
                <w:szCs w:val="17"/>
                <w:color w:val="auto"/>
              </w:rPr>
              <w:t>Ratio of Earnings to Combined</w:t>
            </w:r>
          </w:p>
        </w:tc>
        <w:tc>
          <w:tcPr>
            <w:tcW w:w="1800" w:type="dxa"/>
            <w:vAlign w:val="bottom"/>
          </w:tcPr>
          <w:p>
            <w:pPr>
              <w:spacing w:after="0"/>
              <w:rPr>
                <w:sz w:val="17"/>
                <w:szCs w:val="17"/>
                <w:color w:val="auto"/>
              </w:rPr>
            </w:pPr>
          </w:p>
        </w:tc>
      </w:tr>
    </w:tbl>
    <w:p>
      <w:pPr>
        <w:sectPr>
          <w:pgSz w:w="11900" w:h="16838" w:orient="portrait"/>
          <w:cols w:equalWidth="0" w:num="1">
            <w:col w:w="10219"/>
          </w:cols>
          <w:pgMar w:left="240" w:top="142" w:right="1440" w:bottom="0" w:gutter="0" w:footer="0" w:header="0"/>
        </w:sectPr>
      </w:pPr>
    </w:p>
    <w:bookmarkStart w:id="9" w:name="page10"/>
    <w:bookmarkEnd w:id="9"/>
    <w:p>
      <w:pPr>
        <w:ind w:left="2160"/>
        <w:spacing w:after="0"/>
        <w:rPr>
          <w:sz w:val="20"/>
          <w:szCs w:val="20"/>
          <w:color w:val="auto"/>
        </w:rPr>
      </w:pPr>
      <w:r>
        <w:rPr>
          <w:rFonts w:ascii="Courier New" w:cs="Courier New" w:eastAsia="Courier New" w:hAnsi="Courier New"/>
          <w:sz w:val="17"/>
          <w:szCs w:val="17"/>
          <w:color w:val="auto"/>
        </w:rPr>
        <w:t>Fixed Charges and Preferred</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Stock Dividends.</w:t>
      </w:r>
    </w:p>
    <w:p>
      <w:pPr>
        <w:spacing w:after="0" w:line="203" w:lineRule="exact"/>
        <w:rPr>
          <w:sz w:val="20"/>
          <w:szCs w:val="20"/>
          <w:color w:val="auto"/>
        </w:rPr>
      </w:pPr>
    </w:p>
    <w:p>
      <w:pPr>
        <w:spacing w:after="0"/>
        <w:tabs>
          <w:tab w:leader="none" w:pos="2140" w:val="left"/>
          <w:tab w:leader="none" w:pos="6160" w:val="left"/>
        </w:tabs>
        <w:rPr>
          <w:sz w:val="20"/>
          <w:szCs w:val="20"/>
          <w:color w:val="auto"/>
        </w:rPr>
      </w:pPr>
      <w:r>
        <w:rPr>
          <w:rFonts w:ascii="Courier New" w:cs="Courier New" w:eastAsia="Courier New" w:hAnsi="Courier New"/>
          <w:sz w:val="17"/>
          <w:szCs w:val="17"/>
          <w:color w:val="auto"/>
        </w:rPr>
        <w:t>27</w:t>
      </w:r>
      <w:r>
        <w:rPr>
          <w:sz w:val="20"/>
          <w:szCs w:val="20"/>
          <w:color w:val="auto"/>
        </w:rPr>
        <w:tab/>
      </w:r>
      <w:r>
        <w:rPr>
          <w:rFonts w:ascii="Courier New" w:cs="Courier New" w:eastAsia="Courier New" w:hAnsi="Courier New"/>
          <w:sz w:val="17"/>
          <w:szCs w:val="17"/>
          <w:color w:val="auto"/>
        </w:rPr>
        <w:t>Financial Data Schedule</w:t>
      </w:r>
      <w:r>
        <w:rPr>
          <w:sz w:val="20"/>
          <w:szCs w:val="20"/>
          <w:color w:val="auto"/>
        </w:rPr>
        <w:tab/>
      </w:r>
      <w:r>
        <w:rPr>
          <w:rFonts w:ascii="Courier New" w:cs="Courier New" w:eastAsia="Courier New" w:hAnsi="Courier New"/>
          <w:sz w:val="16"/>
          <w:szCs w:val="16"/>
          <w:color w:val="auto"/>
        </w:rPr>
        <w: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9799"/>
          </w:cols>
          <w:pgMar w:left="660" w:top="142"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7"/>
          <w:szCs w:val="17"/>
          <w:color w:val="auto"/>
        </w:rPr>
        <w:t>[DESCRIPTION] EXHIBIT 10(b)(iii)</w:t>
      </w:r>
    </w:p>
    <w:p>
      <w:pPr>
        <w:spacing w:after="0" w:line="203" w:lineRule="exact"/>
        <w:rPr>
          <w:sz w:val="20"/>
          <w:szCs w:val="20"/>
          <w:color w:val="auto"/>
        </w:rPr>
      </w:pPr>
    </w:p>
    <w:p>
      <w:pPr>
        <w:ind w:left="5880"/>
        <w:spacing w:after="0"/>
        <w:rPr>
          <w:sz w:val="20"/>
          <w:szCs w:val="20"/>
          <w:color w:val="auto"/>
        </w:rPr>
      </w:pPr>
      <w:r>
        <w:rPr>
          <w:rFonts w:ascii="Courier New" w:cs="Courier New" w:eastAsia="Courier New" w:hAnsi="Courier New"/>
          <w:sz w:val="17"/>
          <w:szCs w:val="17"/>
          <w:color w:val="auto"/>
        </w:rPr>
        <w:t>EXHIBIT 10(b)(iii)</w:t>
      </w:r>
    </w:p>
    <w:p>
      <w:pPr>
        <w:spacing w:after="0" w:line="5" w:lineRule="exact"/>
        <w:rPr>
          <w:sz w:val="20"/>
          <w:szCs w:val="20"/>
          <w:color w:val="auto"/>
        </w:rPr>
      </w:pPr>
    </w:p>
    <w:p>
      <w:pPr>
        <w:ind w:left="588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AMENDMENT NO. 3</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TO</w:t>
      </w:r>
    </w:p>
    <w:p>
      <w:pPr>
        <w:spacing w:after="0" w:line="203"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TI DEFERRED COMPENSATION PLAN</w:t>
      </w:r>
    </w:p>
    <w:p>
      <w:pPr>
        <w:spacing w:after="0" w:line="200" w:lineRule="exact"/>
        <w:rPr>
          <w:sz w:val="20"/>
          <w:szCs w:val="20"/>
          <w:color w:val="auto"/>
        </w:rPr>
      </w:pPr>
    </w:p>
    <w:p>
      <w:pPr>
        <w:spacing w:after="0" w:line="201"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TEXAS INSTRUMENTS INCORPORATED, a Delaware Corporation with its principal offices in Dallas, Texas (hereafter "TI") hereby amends the TI Deferred Compensation Plan (hereafter the "Plan") established by the Company as of October 19, 1994, in the respects set forth below:</w:t>
      </w:r>
    </w:p>
    <w:p>
      <w:pPr>
        <w:spacing w:after="0" w:line="2" w:lineRule="exact"/>
        <w:rPr>
          <w:sz w:val="20"/>
          <w:szCs w:val="20"/>
          <w:color w:val="auto"/>
        </w:rPr>
      </w:pPr>
    </w:p>
    <w:p>
      <w:pPr>
        <w:ind w:left="420" w:hanging="414"/>
        <w:spacing w:after="0"/>
        <w:tabs>
          <w:tab w:leader="none" w:pos="4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1-4 of the Plan hereby is amended so as to read as follows:</w:t>
      </w:r>
    </w:p>
    <w:p>
      <w:pPr>
        <w:spacing w:after="0" w:line="203" w:lineRule="exact"/>
        <w:rPr>
          <w:rFonts w:ascii="Courier New" w:cs="Courier New" w:eastAsia="Courier New" w:hAnsi="Courier New"/>
          <w:sz w:val="17"/>
          <w:szCs w:val="17"/>
          <w:color w:val="auto"/>
        </w:rPr>
      </w:pPr>
    </w:p>
    <w:p>
      <w:pPr>
        <w:ind w:left="420" w:right="23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"Sec. 1-4. Compensation. "Compensation" means, with respect to a Plan Year, a Participant's annual award under the Texas Instruments Executive Officer Performance Plan and a Participant's annual cash incentive award approved by the Chief Executive Officer or his delegate.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Amendment shall be effective as of January 1, 1998.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EXECUTED as of this 15th day of October, 1997.</w:t>
      </w:r>
    </w:p>
    <w:p>
      <w:pPr>
        <w:spacing w:after="0" w:line="20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TEXAS INSTRUMENTS INCORPORATED</w:t>
      </w:r>
    </w:p>
    <w:p>
      <w:pPr>
        <w:spacing w:after="0" w:line="200" w:lineRule="exact"/>
        <w:rPr>
          <w:sz w:val="20"/>
          <w:szCs w:val="20"/>
          <w:color w:val="auto"/>
        </w:rPr>
      </w:pPr>
    </w:p>
    <w:p>
      <w:pPr>
        <w:spacing w:after="0" w:line="399" w:lineRule="exact"/>
        <w:rPr>
          <w:sz w:val="20"/>
          <w:szCs w:val="20"/>
          <w:color w:val="auto"/>
        </w:rPr>
      </w:pPr>
    </w:p>
    <w:p>
      <w:pPr>
        <w:jc w:val="center"/>
        <w:ind w:right="-100"/>
        <w:spacing w:after="0"/>
        <w:tabs>
          <w:tab w:leader="none" w:pos="180" w:val="left"/>
        </w:tabs>
        <w:rPr>
          <w:sz w:val="20"/>
          <w:szCs w:val="20"/>
          <w:color w:val="auto"/>
        </w:rPr>
      </w:pPr>
      <w:r>
        <w:rPr>
          <w:rFonts w:ascii="Courier New" w:cs="Courier New" w:eastAsia="Courier New" w:hAnsi="Courier New"/>
          <w:sz w:val="17"/>
          <w:szCs w:val="17"/>
          <w:color w:val="auto"/>
        </w:rPr>
        <w:t>BY: /s/</w:t>
        <w:tab/>
        <w:t>RICHARD J. AGNICH</w:t>
      </w:r>
    </w:p>
    <w:p>
      <w:pPr>
        <w:sectPr>
          <w:pgSz w:w="11900" w:h="16838" w:orient="portrait"/>
          <w:cols w:equalWidth="0" w:num="1">
            <w:col w:w="10219"/>
          </w:cols>
          <w:pgMar w:left="240" w:top="142"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7"/>
          <w:szCs w:val="17"/>
          <w:color w:val="auto"/>
        </w:rPr>
        <w:t>[DESCRIPTION] EXHIBIT 10(g)</w:t>
      </w:r>
    </w:p>
    <w:p>
      <w:pPr>
        <w:spacing w:after="0" w:line="203" w:lineRule="exact"/>
        <w:rPr>
          <w:sz w:val="20"/>
          <w:szCs w:val="20"/>
          <w:color w:val="auto"/>
        </w:rPr>
      </w:pPr>
    </w:p>
    <w:p>
      <w:pPr>
        <w:ind w:left="6380"/>
        <w:spacing w:after="0"/>
        <w:rPr>
          <w:sz w:val="20"/>
          <w:szCs w:val="20"/>
          <w:color w:val="auto"/>
        </w:rPr>
      </w:pPr>
      <w:r>
        <w:rPr>
          <w:rFonts w:ascii="Courier New" w:cs="Courier New" w:eastAsia="Courier New" w:hAnsi="Courier New"/>
          <w:sz w:val="17"/>
          <w:szCs w:val="17"/>
          <w:color w:val="auto"/>
        </w:rPr>
        <w:t>EXHIBIT 10(g)</w:t>
      </w:r>
    </w:p>
    <w:p>
      <w:pPr>
        <w:spacing w:after="0" w:line="5" w:lineRule="exact"/>
        <w:rPr>
          <w:sz w:val="20"/>
          <w:szCs w:val="20"/>
          <w:color w:val="auto"/>
        </w:rPr>
      </w:pPr>
    </w:p>
    <w:p>
      <w:pPr>
        <w:ind w:left="638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TEXAS INSTRUMENTS DIRECTORS</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DEFERRED COMPENSATION PLAN</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As Adopted September 18, 1997</w:t>
      </w:r>
    </w:p>
    <w:p>
      <w:pPr>
        <w:spacing w:after="0" w:line="200" w:lineRule="exact"/>
        <w:rPr>
          <w:sz w:val="20"/>
          <w:szCs w:val="20"/>
          <w:color w:val="auto"/>
        </w:rPr>
      </w:pPr>
    </w:p>
    <w:p>
      <w:pPr>
        <w:spacing w:after="0" w:line="201"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The purpose of this plan (the "Plan") is to provide Directors (as herein defined) of Texas Instruments Incorporated ("TI" or the "Company") with the opportunity to defer certain portions of the compensation paid to them as Directors and to select from among investment alternatives with respect to such deferred compensation.</w:t>
      </w:r>
    </w:p>
    <w:p>
      <w:pPr>
        <w:spacing w:after="0" w:line="20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7"/>
          <w:szCs w:val="17"/>
          <w:color w:val="auto"/>
        </w:rPr>
        <w:t>Section 1.</w:t>
        <w:tab/>
        <w:t>Definitions.</w:t>
      </w:r>
    </w:p>
    <w:p>
      <w:pPr>
        <w:spacing w:after="0" w:line="203" w:lineRule="exact"/>
        <w:rPr>
          <w:sz w:val="20"/>
          <w:szCs w:val="20"/>
          <w:color w:val="auto"/>
        </w:rPr>
      </w:pPr>
    </w:p>
    <w:p>
      <w:pPr>
        <w:ind w:right="2399" w:firstLine="417"/>
        <w:spacing w:after="0" w:line="247" w:lineRule="auto"/>
        <w:tabs>
          <w:tab w:leader="none" w:pos="927"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"Board" means the Board of Directors of the Company, as constituted from time to time.</w:t>
      </w:r>
    </w:p>
    <w:p>
      <w:pPr>
        <w:spacing w:after="0" w:line="197" w:lineRule="exact"/>
        <w:rPr>
          <w:rFonts w:ascii="Courier New" w:cs="Courier New" w:eastAsia="Courier New" w:hAnsi="Courier New"/>
          <w:sz w:val="17"/>
          <w:szCs w:val="17"/>
          <w:color w:val="auto"/>
        </w:rPr>
      </w:pPr>
    </w:p>
    <w:p>
      <w:pPr>
        <w:jc w:val="both"/>
        <w:ind w:right="2279" w:firstLine="417"/>
        <w:spacing w:after="0" w:line="246" w:lineRule="auto"/>
        <w:tabs>
          <w:tab w:leader="none" w:pos="927"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"Cash Account" means the bookkeeping account established pursuant to Section 4 on behalf of each Director who elects pursuant to Section 3 to have any of his or her Deferred Compensation credited to a cash account.</w:t>
      </w:r>
    </w:p>
    <w:p>
      <w:pPr>
        <w:spacing w:after="0" w:line="199" w:lineRule="exact"/>
        <w:rPr>
          <w:rFonts w:ascii="Courier New" w:cs="Courier New" w:eastAsia="Courier New" w:hAnsi="Courier New"/>
          <w:sz w:val="17"/>
          <w:szCs w:val="17"/>
          <w:color w:val="auto"/>
        </w:rPr>
      </w:pPr>
    </w:p>
    <w:p>
      <w:pPr>
        <w:ind w:right="2179" w:firstLine="417"/>
        <w:spacing w:after="0" w:line="246" w:lineRule="auto"/>
        <w:tabs>
          <w:tab w:leader="none" w:pos="927"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"Deferred Compensation" means that portion of any Director's Eligible Compensation that he or she elects pursuant to Section 2 to be deferred in accordance with this Plan.</w:t>
      </w:r>
    </w:p>
    <w:p>
      <w:pPr>
        <w:spacing w:after="0" w:line="199" w:lineRule="exact"/>
        <w:rPr>
          <w:rFonts w:ascii="Courier New" w:cs="Courier New" w:eastAsia="Courier New" w:hAnsi="Courier New"/>
          <w:sz w:val="17"/>
          <w:szCs w:val="17"/>
          <w:color w:val="auto"/>
        </w:rPr>
      </w:pPr>
    </w:p>
    <w:p>
      <w:pPr>
        <w:ind w:right="2279" w:firstLine="417"/>
        <w:spacing w:after="0" w:line="247" w:lineRule="auto"/>
        <w:tabs>
          <w:tab w:leader="none" w:pos="927"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"Director" means a member of the Board who is not an employee of the Company or any subsidiary thereof.</w:t>
      </w:r>
    </w:p>
    <w:p>
      <w:pPr>
        <w:spacing w:after="0" w:line="197" w:lineRule="exact"/>
        <w:rPr>
          <w:rFonts w:ascii="Courier New" w:cs="Courier New" w:eastAsia="Courier New" w:hAnsi="Courier New"/>
          <w:sz w:val="17"/>
          <w:szCs w:val="17"/>
          <w:color w:val="auto"/>
        </w:rPr>
      </w:pPr>
    </w:p>
    <w:p>
      <w:pPr>
        <w:ind w:right="2179" w:firstLine="417"/>
        <w:spacing w:after="0" w:line="246" w:lineRule="auto"/>
        <w:tabs>
          <w:tab w:leader="none" w:pos="927"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"Eligible Compensation" means the cash portion of any compensation payable by the Company to a Director for his or her services as a Director but shall not include any reimbursement by the Company of expenses incurred by a Director incidental to attendance at a meeting of the Company's stockholders, the Board, or any committee of the Board, or of any other expense incurred on behalf of the Company.</w:t>
      </w:r>
    </w:p>
    <w:p>
      <w:pPr>
        <w:spacing w:after="0" w:line="201" w:lineRule="exact"/>
        <w:rPr>
          <w:rFonts w:ascii="Courier New" w:cs="Courier New" w:eastAsia="Courier New" w:hAnsi="Courier New"/>
          <w:sz w:val="17"/>
          <w:szCs w:val="17"/>
          <w:color w:val="auto"/>
        </w:rPr>
      </w:pPr>
    </w:p>
    <w:p>
      <w:pPr>
        <w:ind w:right="2399" w:firstLine="417"/>
        <w:spacing w:after="0" w:line="246" w:lineRule="auto"/>
        <w:tabs>
          <w:tab w:leader="none" w:pos="927"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"Fair Market Value" means the average of the high and low prices of TI common stock on the date the determination is made (or, if there is no trading on the New York Stock Exchange on such date, then on the first previous date on which there is such trading) as reported in "New York Stock Exchange Composite Transactions" in The Wall Street Journal.</w:t>
      </w:r>
    </w:p>
    <w:p>
      <w:pPr>
        <w:spacing w:after="0" w:line="200" w:lineRule="exact"/>
        <w:rPr>
          <w:rFonts w:ascii="Courier New" w:cs="Courier New" w:eastAsia="Courier New" w:hAnsi="Courier New"/>
          <w:sz w:val="17"/>
          <w:szCs w:val="17"/>
          <w:color w:val="auto"/>
        </w:rPr>
      </w:pPr>
    </w:p>
    <w:p>
      <w:pPr>
        <w:ind w:left="940" w:hanging="523"/>
        <w:spacing w:after="0"/>
        <w:tabs>
          <w:tab w:leader="none" w:pos="94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"Secretary" means the Secretary of the Company.</w:t>
      </w:r>
    </w:p>
    <w:p>
      <w:pPr>
        <w:spacing w:after="0" w:line="203" w:lineRule="exact"/>
        <w:rPr>
          <w:rFonts w:ascii="Courier New" w:cs="Courier New" w:eastAsia="Courier New" w:hAnsi="Courier New"/>
          <w:sz w:val="17"/>
          <w:szCs w:val="17"/>
          <w:color w:val="auto"/>
        </w:rPr>
      </w:pPr>
    </w:p>
    <w:p>
      <w:pPr>
        <w:ind w:right="2179" w:firstLine="417"/>
        <w:spacing w:after="0" w:line="246" w:lineRule="auto"/>
        <w:tabs>
          <w:tab w:leader="none" w:pos="927"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Unit Account" means the bookkeeping account established, pursuant to Section 5, on behalf of each Director who elects, pursuant to Section 3, to have any of his or her Deferred Compensation credited to a stock unit account.</w:t>
      </w:r>
    </w:p>
    <w:p>
      <w:pPr>
        <w:spacing w:after="0" w:line="200" w:lineRule="exact"/>
        <w:rPr>
          <w:rFonts w:ascii="Courier New" w:cs="Courier New" w:eastAsia="Courier New" w:hAnsi="Courier New"/>
          <w:sz w:val="17"/>
          <w:szCs w:val="17"/>
          <w:color w:val="auto"/>
        </w:rPr>
      </w:pPr>
    </w:p>
    <w:p>
      <w:pPr>
        <w:ind w:left="940" w:hanging="523"/>
        <w:spacing w:after="0"/>
        <w:tabs>
          <w:tab w:leader="none" w:pos="94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"Year" means a calendar year.</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1</w:t>
      </w:r>
    </w:p>
    <w:p>
      <w:pPr>
        <w:spacing w:after="0" w:line="203"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7"/>
          <w:szCs w:val="17"/>
          <w:color w:val="auto"/>
        </w:rPr>
        <w:t>Section 2.</w:t>
        <w:tab/>
        <w:t>Deferral Election.</w:t>
      </w:r>
    </w:p>
    <w:p>
      <w:pPr>
        <w:spacing w:after="0" w:line="203" w:lineRule="exact"/>
        <w:rPr>
          <w:sz w:val="20"/>
          <w:szCs w:val="20"/>
          <w:color w:val="auto"/>
        </w:rPr>
      </w:pPr>
    </w:p>
    <w:p>
      <w:pPr>
        <w:jc w:val="both"/>
        <w:ind w:right="2279"/>
        <w:spacing w:after="0" w:line="246" w:lineRule="auto"/>
        <w:rPr>
          <w:sz w:val="20"/>
          <w:szCs w:val="20"/>
          <w:color w:val="auto"/>
        </w:rPr>
      </w:pPr>
      <w:r>
        <w:rPr>
          <w:rFonts w:ascii="Courier New" w:cs="Courier New" w:eastAsia="Courier New" w:hAnsi="Courier New"/>
          <w:sz w:val="17"/>
          <w:szCs w:val="17"/>
          <w:color w:val="auto"/>
        </w:rPr>
        <w:t>Each Director may elect, with respect to any Year, that all or any portion of his or her Eligible Compensation be deferred in accordance with the terms of this Plan.</w:t>
      </w:r>
    </w:p>
    <w:p>
      <w:pPr>
        <w:spacing w:after="0" w:line="200"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7"/>
          <w:szCs w:val="17"/>
          <w:color w:val="auto"/>
        </w:rPr>
        <w:t>Section 3.</w:t>
        <w:tab/>
        <w:t>Investment Alternatives.</w:t>
      </w:r>
    </w:p>
    <w:p>
      <w:pPr>
        <w:spacing w:after="0" w:line="203"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Each Director may elect that his or her Deferred Compensation for any Year be credited to a cash account or a stock unit account or to any combination thereof.</w:t>
      </w:r>
    </w:p>
    <w:p>
      <w:pPr>
        <w:spacing w:after="0" w:line="200"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7"/>
          <w:szCs w:val="17"/>
          <w:color w:val="auto"/>
        </w:rPr>
        <w:t>Section 4.</w:t>
        <w:tab/>
        <w:t>Cash Accounts.</w:t>
      </w:r>
    </w:p>
    <w:p>
      <w:pPr>
        <w:spacing w:after="0" w:line="203" w:lineRule="exact"/>
        <w:rPr>
          <w:sz w:val="20"/>
          <w:szCs w:val="20"/>
          <w:color w:val="auto"/>
        </w:rPr>
      </w:pPr>
    </w:p>
    <w:p>
      <w:pPr>
        <w:ind w:right="2279" w:firstLine="417"/>
        <w:spacing w:after="0" w:line="246" w:lineRule="auto"/>
        <w:tabs>
          <w:tab w:leader="none" w:pos="927"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 shall establish and maintain a separate unfunded Cash Account for each Director who has elected that any portion of his or her Deferred Compensation be credited to a cash account.</w:t>
      </w:r>
    </w:p>
    <w:p>
      <w:pPr>
        <w:spacing w:after="0" w:line="199" w:lineRule="exact"/>
        <w:rPr>
          <w:rFonts w:ascii="Courier New" w:cs="Courier New" w:eastAsia="Courier New" w:hAnsi="Courier New"/>
          <w:sz w:val="17"/>
          <w:szCs w:val="17"/>
          <w:color w:val="auto"/>
        </w:rPr>
      </w:pPr>
    </w:p>
    <w:p>
      <w:pPr>
        <w:ind w:right="2179" w:firstLine="417"/>
        <w:spacing w:after="0" w:line="246" w:lineRule="auto"/>
        <w:tabs>
          <w:tab w:leader="none" w:pos="927"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of the date on which any amount of a Director's Deferred Compensation becomes payable, his or her Cash Account shall be credited with an amount equal to that portion of such Deferred Compensation as such Director has elected be credited to his or her Cash Account.</w:t>
      </w:r>
    </w:p>
    <w:p>
      <w:pPr>
        <w:sectPr>
          <w:pgSz w:w="11900" w:h="16838" w:orient="portrait"/>
          <w:cols w:equalWidth="0" w:num="1">
            <w:col w:w="10219"/>
          </w:cols>
          <w:pgMar w:left="240" w:top="142" w:right="1440" w:bottom="0" w:gutter="0" w:footer="0" w:header="0"/>
        </w:sectPr>
      </w:pPr>
    </w:p>
    <w:bookmarkStart w:id="12" w:name="page13"/>
    <w:bookmarkEnd w:id="12"/>
    <w:p>
      <w:pPr>
        <w:ind w:right="2179" w:firstLine="417"/>
        <w:spacing w:after="0" w:line="246" w:lineRule="auto"/>
        <w:tabs>
          <w:tab w:leader="none" w:pos="927"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of the last day of each month, interest on each Cash Account shall be credited on the average of the balances on the first and last day of such month. Interest shall be credited at a rate equivalent to the average yield on corporate bonds rated Aaa by Moody's Investors Service on September 30 of the preceding Year (or if there is no such yield reported for such date, then on the next preceding date for which such a yield is reported) as published in Federal Reserve Statistical Release H.15, or at such other rate as may be determined by the Board Organization and Nominating Committee for each Year.</w:t>
      </w:r>
    </w:p>
    <w:p>
      <w:pPr>
        <w:spacing w:after="0" w:line="203"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7"/>
          <w:szCs w:val="17"/>
          <w:color w:val="auto"/>
        </w:rPr>
        <w:t>Section 5.</w:t>
        <w:tab/>
        <w:t>Stock Unit Accounts.</w:t>
      </w:r>
    </w:p>
    <w:p>
      <w:pPr>
        <w:spacing w:after="0" w:line="203" w:lineRule="exact"/>
        <w:rPr>
          <w:sz w:val="20"/>
          <w:szCs w:val="20"/>
          <w:color w:val="auto"/>
        </w:rPr>
      </w:pPr>
    </w:p>
    <w:p>
      <w:pPr>
        <w:ind w:right="2599" w:firstLine="417"/>
        <w:spacing w:after="0" w:line="246" w:lineRule="auto"/>
        <w:tabs>
          <w:tab w:leader="none" w:pos="927"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 shall establish and maintain a separate unfunded Stock Unit Account for each director who has elected that any portion of his Deferred Compensation be credited to a stock unit account.</w:t>
      </w:r>
    </w:p>
    <w:p>
      <w:pPr>
        <w:spacing w:after="0" w:line="199" w:lineRule="exact"/>
        <w:rPr>
          <w:rFonts w:ascii="Courier New" w:cs="Courier New" w:eastAsia="Courier New" w:hAnsi="Courier New"/>
          <w:sz w:val="17"/>
          <w:szCs w:val="17"/>
          <w:color w:val="auto"/>
        </w:rPr>
      </w:pPr>
    </w:p>
    <w:p>
      <w:pPr>
        <w:ind w:right="2279" w:firstLine="417"/>
        <w:spacing w:after="0" w:line="246" w:lineRule="auto"/>
        <w:tabs>
          <w:tab w:leader="none" w:pos="927"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of each date on which any amount of a Director's Deferred Compensation becomes payable, his or her Stock Unit Account shall be credited with that number of units as are equal to the number of full or fractional shares of TI common stock as could be purchased at the Fair Market Value with the portion of such Deferred Compensation as such Director has elected be credited to his or her Stock Unit Account.</w:t>
      </w:r>
    </w:p>
    <w:p>
      <w:pPr>
        <w:spacing w:after="0" w:line="201" w:lineRule="exact"/>
        <w:rPr>
          <w:rFonts w:ascii="Courier New" w:cs="Courier New" w:eastAsia="Courier New" w:hAnsi="Courier New"/>
          <w:sz w:val="17"/>
          <w:szCs w:val="17"/>
          <w:color w:val="auto"/>
        </w:rPr>
      </w:pPr>
    </w:p>
    <w:p>
      <w:pPr>
        <w:ind w:right="2279" w:firstLine="417"/>
        <w:spacing w:after="0" w:line="246" w:lineRule="auto"/>
        <w:tabs>
          <w:tab w:leader="none" w:pos="927"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of the payment date for each dividend on TI common stock declared by the Board, there shall be credited to each Stock Unit Account that number of units as are equal to the number of full or fractional shares of TI common stock as could be purchased at the Fair Market Value on the payment date for such dividend with an amount equal to the product of: (i) the dividend per share, and (ii) the number of units in such account immediately prior to the record date for such dividend.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2</w:t>
      </w:r>
    </w:p>
    <w:p>
      <w:pPr>
        <w:spacing w:after="0" w:line="203" w:lineRule="exact"/>
        <w:rPr>
          <w:sz w:val="20"/>
          <w:szCs w:val="20"/>
          <w:color w:val="auto"/>
        </w:rPr>
      </w:pPr>
    </w:p>
    <w:p>
      <w:pPr>
        <w:ind w:right="2179" w:firstLine="417"/>
        <w:spacing w:after="0" w:line="246" w:lineRule="auto"/>
        <w:tabs>
          <w:tab w:leader="none" w:pos="927"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the Secretary shall determine that any dividend or other distribution (whether in the form of cash, stock or other securities or property), recapitalization, stock split, reverse stock split, reorganization, merger, consolidation, split-up, spin-off, combination, repurchase or exchange of stock or other securities of the Company, issuance of warrants or other rights to purchase stock or other securities of the Company, or other similar corporate transaction or event affects the Stock Unit Accounts such that an adjustment is determined by the Secretary to be appropriate in order to prevent dilution or enlargement of the benefits or potential benefits intended to be made available under the Plan, then the Secretary shall, in such manner as he or she may deem equitable, adjust the number of units in the Stock Unit Accounts.</w:t>
      </w:r>
    </w:p>
    <w:p>
      <w:pPr>
        <w:spacing w:after="0" w:line="205"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7"/>
          <w:szCs w:val="17"/>
          <w:color w:val="auto"/>
        </w:rPr>
        <w:t>Section 6.</w:t>
        <w:tab/>
        <w:t>Form and Time of Election.</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A Director's election to defer all or any portion of his or her Eligible Compensation for any Year shall be irrevocable. The election shall be made in writing in the form ("Election Form") prescribed by the Secretary. Except as hereinafter provided, to be effective, an Election Form for any Year shall be required to be received by the Secretary on or before December 31 of the preceding Year. In the case of a Director's initial election to the Board, the Election Form for the year of election shall be received not more than 30 days following his or her election and, unless received on the date of election, shall be effective only for Eligible Compensation earned after receipt of the Election Form.</w:t>
      </w:r>
    </w:p>
    <w:p>
      <w:pPr>
        <w:spacing w:after="0" w:line="204"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7"/>
          <w:szCs w:val="17"/>
          <w:color w:val="auto"/>
        </w:rPr>
        <w:t>Section 7.</w:t>
        <w:tab/>
        <w:t>Allocation of Balances in Previously Established Accounts.</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At such time (on or before December 31, 1997) as the Secretary shall determine, each Director with a cash account established on his or her behalf under the Company's previous deferred compensation program for directors may elect, in such manner as may be prescribed by the Secretary, to have the balance in such previously established account credited to a cash account or a stock unit account or to any combination thereof. Any such election shall be irrevocable, and any cash account or stock unit account credited pursuant to such election shall for all purposes be deemed to have been established under this Plan.</w:t>
      </w:r>
    </w:p>
    <w:p>
      <w:pPr>
        <w:spacing w:after="0" w:line="203"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7"/>
          <w:szCs w:val="17"/>
          <w:color w:val="auto"/>
        </w:rPr>
        <w:t>Section 8.</w:t>
        <w:tab/>
        <w:t>Form and Time of Distributions.</w:t>
      </w:r>
    </w:p>
    <w:p>
      <w:pPr>
        <w:spacing w:after="0" w:line="203"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Distributions of amounts credited to each Director's Cash Account shall be made in cash. Distribution of units credited to each director's Stock Unit Account shall be made by issuing to such Director an equivalent number of shares of TI common stock; provided, however, that no fractional shares will be issued and any fractional unit will be distributed by payment of cash in the amount represented by such fractional unit based on the Fair Market Value on the date preceding the date of payment. Any shares of TI common stock</w:t>
      </w:r>
    </w:p>
    <w:p>
      <w:pPr>
        <w:sectPr>
          <w:pgSz w:w="11900" w:h="16838" w:orient="portrait"/>
          <w:cols w:equalWidth="0" w:num="1">
            <w:col w:w="10219"/>
          </w:cols>
          <w:pgMar w:left="240" w:top="142" w:right="1440" w:bottom="0" w:gutter="0" w:footer="0" w:header="0"/>
        </w:sectPr>
      </w:pPr>
    </w:p>
    <w:bookmarkStart w:id="13" w:name="page14"/>
    <w:bookmarkEnd w:id="13"/>
    <w:p>
      <w:pPr>
        <w:ind w:right="2179"/>
        <w:spacing w:after="0" w:line="246" w:lineRule="auto"/>
        <w:rPr>
          <w:sz w:val="20"/>
          <w:szCs w:val="20"/>
          <w:color w:val="auto"/>
        </w:rPr>
      </w:pPr>
      <w:r>
        <w:rPr>
          <w:rFonts w:ascii="Courier New" w:cs="Courier New" w:eastAsia="Courier New" w:hAnsi="Courier New"/>
          <w:sz w:val="17"/>
          <w:szCs w:val="17"/>
          <w:color w:val="auto"/>
        </w:rPr>
        <w:t>distributed under the Plan shall consist of treasury shares. Except as otherwise hereinafter provided, distributions shall be made (a) on the first day of the month following such Director's termination of service on the Board for any reason other than death, or (b) at such later time as the Director has elected in accordance with the terms of this Plan. Notwithstanding the foregoing, an earlier distribution may be made, at the discretion of the Secretary, upon a finding that a Director is suffering a significant financial hardship caused by a recent event or events not within such Director's control; provided, however, that in such event, the cash or shares distributed shall be limited to those amounts necessary to accommodate the financial hardship, as determined by the Secretary.</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3</w:t>
      </w:r>
    </w:p>
    <w:p>
      <w:pPr>
        <w:spacing w:after="0" w:line="203"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7"/>
          <w:szCs w:val="17"/>
          <w:color w:val="auto"/>
        </w:rPr>
        <w:t>Section 9.</w:t>
        <w:tab/>
        <w:t>Death of Director.</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Notwithstanding the foregoing, in the event of the death of a Director prior to receipt by such Director of the full amount of cash and number of shares to be distributed to the Director, all such cash and/or shares will be distributed to the beneficiary or beneficiaries designated by the Director, or if no beneficiary has been designated, to the Director's estate as soon as practicable following the month in which the death occurred.</w:t>
      </w:r>
    </w:p>
    <w:p>
      <w:pPr>
        <w:spacing w:after="0" w:line="20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7"/>
          <w:szCs w:val="17"/>
          <w:color w:val="auto"/>
        </w:rPr>
        <w:t>Section 10.</w:t>
        <w:tab/>
        <w:t>Accounts Unsecured.</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Until distributed, all amounts credited to any Cash Accounts or represented by units credited to any Stock Unit Account shall be property of TI, available for TI's use, and subject to the claims of TI's general creditors. The rights of any Director or beneficiary to distributions under this Plan are not subject to anticipation, alienation, sale, transfer, assignment, or encumbrance, and shall not be subject to the debts or liabilities of any Director or beneficiary.</w:t>
      </w:r>
    </w:p>
    <w:p>
      <w:pPr>
        <w:spacing w:after="0" w:line="20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7"/>
          <w:szCs w:val="17"/>
          <w:color w:val="auto"/>
        </w:rPr>
        <w:t>Section 11.</w:t>
        <w:tab/>
        <w:t>Certain Rights Reserved by TI.</w:t>
      </w:r>
    </w:p>
    <w:p>
      <w:pPr>
        <w:spacing w:after="0" w:line="203"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TI reserves the right to suspend, modify or terminate this Plan at any time, and, in such event, shall have the right to distribute to each Director all amounts in such Director's Cash Account or shares of TI common stock equivalent to units in such Director's Stock Unit Account, including, in the case of Stock Unit Accounts, the right to distribute cash equivalent to the units in such Accounts.</w:t>
      </w:r>
    </w:p>
    <w:p>
      <w:pPr>
        <w:spacing w:after="0" w:line="20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7"/>
          <w:szCs w:val="17"/>
          <w:color w:val="auto"/>
        </w:rPr>
        <w:t>Section 12.</w:t>
        <w:tab/>
        <w:t>Certain Affiliations.</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In the event that any Director terminates his or her membership on the Board and becomes affiliated with a government agency or with any private company or firm that the Board Organization and Nominating Committee believes to be in competition with TI, the Board may, at its discretion, require a distribution of all amounts in any Director's Cash Account or shares equivalent to units in such Director's Stock Unit Account.</w:t>
      </w:r>
    </w:p>
    <w:p>
      <w:pPr>
        <w:spacing w:after="0" w:line="20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7"/>
          <w:szCs w:val="17"/>
          <w:color w:val="auto"/>
        </w:rPr>
        <w:t>Section 13.</w:t>
        <w:tab/>
        <w:t>Administration and Interpretation of Plan.</w:t>
      </w:r>
    </w:p>
    <w:p>
      <w:pPr>
        <w:spacing w:after="0" w:line="203"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The Secretary shall have full power and authority to construe, interpret and administer this Plan. The Secretary may issue rules and regulations for administration of the Plan. All decisions of the Secretary shall be final, conclusive and binding upon all parties, including the Company, the stockholders and the directors. In the event of the absence or inability to act of the Secretary, any Assistant Secretary shall have the authority to act in his place.</w:t>
      </w:r>
    </w:p>
    <w:p>
      <w:pPr>
        <w:spacing w:after="0" w:line="202"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Subject to the terms of the Plan and applicable law, the Secretary shall have full power and authority to: (i) interpret and administer the Plan and any instrument or agreement relating thereto; (ii) establish, amend, suspend or waive such rules and regulations and appoint such agents as the Secretary shall deem appropriate for the proper administration of the Plan; and</w:t>
      </w:r>
    </w:p>
    <w:p>
      <w:pPr>
        <w:spacing w:after="0" w:line="3" w:lineRule="exact"/>
        <w:rPr>
          <w:sz w:val="20"/>
          <w:szCs w:val="20"/>
          <w:color w:val="auto"/>
        </w:rPr>
      </w:pPr>
    </w:p>
    <w:p>
      <w:pPr>
        <w:ind w:left="620" w:hanging="614"/>
        <w:spacing w:after="0"/>
        <w:tabs>
          <w:tab w:leader="none" w:pos="6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make any other determination and take any other action that the</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Secretary deems necessary or desirable for the administration of this Plan.</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142" w:right="1440"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193"/>
        </w:trPr>
        <w:tc>
          <w:tcPr>
            <w:tcW w:w="6180" w:type="dxa"/>
            <w:vAlign w:val="bottom"/>
          </w:tcPr>
          <w:p>
            <w:pPr>
              <w:spacing w:after="0"/>
              <w:rPr>
                <w:sz w:val="20"/>
                <w:szCs w:val="20"/>
                <w:color w:val="auto"/>
              </w:rPr>
            </w:pPr>
            <w:r>
              <w:rPr>
                <w:rFonts w:ascii="Courier New" w:cs="Courier New" w:eastAsia="Courier New" w:hAnsi="Courier New"/>
                <w:sz w:val="17"/>
                <w:szCs w:val="17"/>
                <w:color w:val="auto"/>
              </w:rPr>
              <w:t>[DESCRIPTION] Exhibit 11</w:t>
            </w: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594"/>
        </w:trPr>
        <w:tc>
          <w:tcPr>
            <w:tcW w:w="6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gridSpan w:val="2"/>
          </w:tcPr>
          <w:p>
            <w:pPr>
              <w:jc w:val="right"/>
              <w:ind w:right="34"/>
              <w:spacing w:after="0"/>
              <w:rPr>
                <w:sz w:val="20"/>
                <w:szCs w:val="20"/>
                <w:color w:val="auto"/>
              </w:rPr>
            </w:pPr>
            <w:r>
              <w:rPr>
                <w:rFonts w:ascii="Courier New" w:cs="Courier New" w:eastAsia="Courier New" w:hAnsi="Courier New"/>
                <w:sz w:val="17"/>
                <w:szCs w:val="17"/>
                <w:color w:val="auto"/>
              </w:rPr>
              <w:t>EXHIBIT 11</w:t>
            </w:r>
          </w:p>
        </w:tc>
      </w:tr>
      <w:tr>
        <w:trPr>
          <w:trHeight w:val="198"/>
        </w:trPr>
        <w:tc>
          <w:tcPr>
            <w:tcW w:w="6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gridSpan w:val="2"/>
          </w:tcPr>
          <w:p>
            <w:pPr>
              <w:jc w:val="right"/>
              <w:ind w:right="34"/>
              <w:spacing w:after="0"/>
              <w:rPr>
                <w:sz w:val="20"/>
                <w:szCs w:val="20"/>
                <w:color w:val="auto"/>
              </w:rPr>
            </w:pPr>
            <w:r>
              <w:rPr>
                <w:rFonts w:ascii="Courier New" w:cs="Courier New" w:eastAsia="Courier New" w:hAnsi="Courier New"/>
                <w:sz w:val="17"/>
                <w:szCs w:val="17"/>
                <w:color w:val="auto"/>
              </w:rPr>
              <w:t>----------</w:t>
            </w:r>
          </w:p>
        </w:tc>
      </w:tr>
      <w:tr>
        <w:trPr>
          <w:trHeight w:val="396"/>
        </w:trPr>
        <w:tc>
          <w:tcPr>
            <w:tcW w:w="7460" w:type="dxa"/>
            <w:vAlign w:val="bottom"/>
            <w:gridSpan w:val="3"/>
          </w:tcPr>
          <w:p>
            <w:pPr>
              <w:jc w:val="right"/>
              <w:ind w:right="54"/>
              <w:spacing w:after="0"/>
              <w:rPr>
                <w:sz w:val="20"/>
                <w:szCs w:val="20"/>
                <w:color w:val="auto"/>
              </w:rPr>
            </w:pPr>
            <w:r>
              <w:rPr>
                <w:rFonts w:ascii="Courier New" w:cs="Courier New" w:eastAsia="Courier New" w:hAnsi="Courier New"/>
                <w:sz w:val="17"/>
                <w:szCs w:val="17"/>
                <w:color w:val="auto"/>
              </w:rPr>
              <w:t>TEXAS INSTRUMENTS INCORPORATED AND SUBSIDIARIES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8"/>
        </w:trPr>
        <w:tc>
          <w:tcPr>
            <w:tcW w:w="892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PRIMARY AND FULLY DILUTED EARNINGS PER COMMON AND COMMON EQUIVALENT SHARE</w:t>
            </w: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8"/>
        </w:trPr>
        <w:tc>
          <w:tcPr>
            <w:tcW w:w="7460" w:type="dxa"/>
            <w:vAlign w:val="bottom"/>
            <w:gridSpan w:val="3"/>
          </w:tcPr>
          <w:p>
            <w:pPr>
              <w:jc w:val="right"/>
              <w:ind w:right="154"/>
              <w:spacing w:after="0"/>
              <w:rPr>
                <w:sz w:val="20"/>
                <w:szCs w:val="20"/>
                <w:color w:val="auto"/>
              </w:rPr>
            </w:pPr>
            <w:r>
              <w:rPr>
                <w:rFonts w:ascii="Courier New" w:cs="Courier New" w:eastAsia="Courier New" w:hAnsi="Courier New"/>
                <w:sz w:val="17"/>
                <w:szCs w:val="17"/>
                <w:color w:val="auto"/>
              </w:rPr>
              <w:t>(In thousands, except per-share amounts.)</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594"/>
        </w:trPr>
        <w:tc>
          <w:tcPr>
            <w:tcW w:w="6180" w:type="dxa"/>
            <w:vAlign w:val="bottom"/>
          </w:tcPr>
          <w:p>
            <w:pPr>
              <w:spacing w:after="0"/>
              <w:rPr>
                <w:sz w:val="24"/>
                <w:szCs w:val="24"/>
                <w:color w:val="auto"/>
              </w:rPr>
            </w:pPr>
          </w:p>
        </w:tc>
        <w:tc>
          <w:tcPr>
            <w:tcW w:w="2740" w:type="dxa"/>
            <w:vAlign w:val="bottom"/>
            <w:gridSpan w:val="4"/>
          </w:tcPr>
          <w:p>
            <w:pPr>
              <w:ind w:left="200"/>
              <w:spacing w:after="0"/>
              <w:rPr>
                <w:sz w:val="20"/>
                <w:szCs w:val="20"/>
                <w:color w:val="auto"/>
              </w:rPr>
            </w:pPr>
            <w:r>
              <w:rPr>
                <w:rFonts w:ascii="Courier New" w:cs="Courier New" w:eastAsia="Courier New" w:hAnsi="Courier New"/>
                <w:sz w:val="17"/>
                <w:szCs w:val="17"/>
                <w:color w:val="auto"/>
              </w:rPr>
              <w:t>For Three Months Ended</w:t>
            </w:r>
          </w:p>
        </w:tc>
        <w:tc>
          <w:tcPr>
            <w:tcW w:w="2420" w:type="dxa"/>
            <w:vAlign w:val="bottom"/>
            <w:gridSpan w:val="4"/>
          </w:tcPr>
          <w:p>
            <w:pPr>
              <w:jc w:val="right"/>
              <w:ind w:right="34"/>
              <w:spacing w:after="0"/>
              <w:rPr>
                <w:sz w:val="20"/>
                <w:szCs w:val="20"/>
                <w:color w:val="auto"/>
              </w:rPr>
            </w:pPr>
            <w:r>
              <w:rPr>
                <w:rFonts w:ascii="Courier New" w:cs="Courier New" w:eastAsia="Courier New" w:hAnsi="Courier New"/>
                <w:sz w:val="17"/>
                <w:szCs w:val="17"/>
                <w:color w:val="auto"/>
              </w:rPr>
              <w:t>For Nine Months Ended</w:t>
            </w:r>
          </w:p>
        </w:tc>
      </w:tr>
      <w:tr>
        <w:trPr>
          <w:trHeight w:val="198"/>
        </w:trPr>
        <w:tc>
          <w:tcPr>
            <w:tcW w:w="6180" w:type="dxa"/>
            <w:vAlign w:val="bottom"/>
          </w:tcPr>
          <w:p>
            <w:pPr>
              <w:spacing w:after="0"/>
              <w:rPr>
                <w:sz w:val="17"/>
                <w:szCs w:val="17"/>
                <w:color w:val="auto"/>
              </w:rPr>
            </w:pPr>
          </w:p>
        </w:tc>
        <w:tc>
          <w:tcPr>
            <w:tcW w:w="128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2"/>
              </w:rPr>
              <w:t>----------------------</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20" w:type="dxa"/>
            <w:vAlign w:val="bottom"/>
            <w:gridSpan w:val="4"/>
          </w:tcPr>
          <w:p>
            <w:pPr>
              <w:jc w:val="right"/>
              <w:ind w:right="34"/>
              <w:spacing w:after="0"/>
              <w:rPr>
                <w:sz w:val="20"/>
                <w:szCs w:val="20"/>
                <w:color w:val="auto"/>
              </w:rPr>
            </w:pPr>
            <w:r>
              <w:rPr>
                <w:rFonts w:ascii="Courier New" w:cs="Courier New" w:eastAsia="Courier New" w:hAnsi="Courier New"/>
                <w:sz w:val="17"/>
                <w:szCs w:val="17"/>
                <w:color w:val="auto"/>
              </w:rPr>
              <w:t>---------------------</w:t>
            </w:r>
          </w:p>
        </w:tc>
      </w:tr>
      <w:tr>
        <w:trPr>
          <w:trHeight w:val="198"/>
        </w:trPr>
        <w:tc>
          <w:tcPr>
            <w:tcW w:w="6180" w:type="dxa"/>
            <w:vAlign w:val="bottom"/>
          </w:tcPr>
          <w:p>
            <w:pPr>
              <w:spacing w:after="0"/>
              <w:rPr>
                <w:sz w:val="17"/>
                <w:szCs w:val="17"/>
                <w:color w:val="auto"/>
              </w:rPr>
            </w:pPr>
          </w:p>
        </w:tc>
        <w:tc>
          <w:tcPr>
            <w:tcW w:w="128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Sept 30</w:t>
            </w:r>
          </w:p>
        </w:tc>
        <w:tc>
          <w:tcPr>
            <w:tcW w:w="360" w:type="dxa"/>
            <w:vAlign w:val="bottom"/>
          </w:tcPr>
          <w:p>
            <w:pPr>
              <w:spacing w:after="0"/>
              <w:rPr>
                <w:sz w:val="17"/>
                <w:szCs w:val="17"/>
                <w:color w:val="auto"/>
              </w:rPr>
            </w:pPr>
          </w:p>
        </w:tc>
        <w:tc>
          <w:tcPr>
            <w:tcW w:w="11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Sept 30</w:t>
            </w:r>
          </w:p>
        </w:tc>
        <w:tc>
          <w:tcPr>
            <w:tcW w:w="1180" w:type="dxa"/>
            <w:vAlign w:val="bottom"/>
            <w:gridSpan w:val="2"/>
          </w:tcPr>
          <w:p>
            <w:pPr>
              <w:ind w:left="240"/>
              <w:spacing w:after="0"/>
              <w:rPr>
                <w:sz w:val="20"/>
                <w:szCs w:val="20"/>
                <w:color w:val="auto"/>
              </w:rPr>
            </w:pPr>
            <w:r>
              <w:rPr>
                <w:rFonts w:ascii="Courier New" w:cs="Courier New" w:eastAsia="Courier New" w:hAnsi="Courier New"/>
                <w:sz w:val="17"/>
                <w:szCs w:val="17"/>
                <w:color w:val="auto"/>
              </w:rPr>
              <w:t>Sept 30</w:t>
            </w:r>
          </w:p>
        </w:tc>
        <w:tc>
          <w:tcPr>
            <w:tcW w:w="400" w:type="dxa"/>
            <w:vAlign w:val="bottom"/>
          </w:tcPr>
          <w:p>
            <w:pPr>
              <w:spacing w:after="0"/>
              <w:rPr>
                <w:sz w:val="17"/>
                <w:szCs w:val="17"/>
                <w:color w:val="auto"/>
              </w:rPr>
            </w:pPr>
          </w:p>
        </w:tc>
        <w:tc>
          <w:tcPr>
            <w:tcW w:w="84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7"/>
              </w:rPr>
              <w:t>Sept 30</w:t>
            </w:r>
          </w:p>
        </w:tc>
      </w:tr>
      <w:tr>
        <w:trPr>
          <w:trHeight w:val="198"/>
        </w:trPr>
        <w:tc>
          <w:tcPr>
            <w:tcW w:w="6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1997</w:t>
            </w:r>
          </w:p>
        </w:tc>
        <w:tc>
          <w:tcPr>
            <w:tcW w:w="360" w:type="dxa"/>
            <w:vAlign w:val="bottom"/>
          </w:tcPr>
          <w:p>
            <w:pPr>
              <w:spacing w:after="0"/>
              <w:rPr>
                <w:sz w:val="17"/>
                <w:szCs w:val="17"/>
                <w:color w:val="auto"/>
              </w:rPr>
            </w:pPr>
          </w:p>
        </w:tc>
        <w:tc>
          <w:tcPr>
            <w:tcW w:w="110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1996</w:t>
            </w:r>
          </w:p>
        </w:tc>
        <w:tc>
          <w:tcPr>
            <w:tcW w:w="360" w:type="dxa"/>
            <w:vAlign w:val="bottom"/>
          </w:tcPr>
          <w:p>
            <w:pPr>
              <w:spacing w:after="0"/>
              <w:rPr>
                <w:sz w:val="17"/>
                <w:szCs w:val="17"/>
                <w:color w:val="auto"/>
              </w:rPr>
            </w:pPr>
          </w:p>
        </w:tc>
        <w:tc>
          <w:tcPr>
            <w:tcW w:w="82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1997</w:t>
            </w:r>
          </w:p>
        </w:tc>
        <w:tc>
          <w:tcPr>
            <w:tcW w:w="400" w:type="dxa"/>
            <w:vAlign w:val="bottom"/>
          </w:tcPr>
          <w:p>
            <w:pPr>
              <w:spacing w:after="0"/>
              <w:rPr>
                <w:sz w:val="17"/>
                <w:szCs w:val="17"/>
                <w:color w:val="auto"/>
              </w:rPr>
            </w:pPr>
          </w:p>
        </w:tc>
        <w:tc>
          <w:tcPr>
            <w:tcW w:w="8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1996</w:t>
            </w:r>
          </w:p>
        </w:tc>
      </w:tr>
      <w:tr>
        <w:trPr>
          <w:trHeight w:val="198"/>
        </w:trPr>
        <w:tc>
          <w:tcPr>
            <w:tcW w:w="6180" w:type="dxa"/>
            <w:vAlign w:val="bottom"/>
          </w:tcPr>
          <w:p>
            <w:pPr>
              <w:spacing w:after="0"/>
              <w:rPr>
                <w:sz w:val="17"/>
                <w:szCs w:val="17"/>
                <w:color w:val="auto"/>
              </w:rPr>
            </w:pPr>
          </w:p>
        </w:tc>
        <w:tc>
          <w:tcPr>
            <w:tcW w:w="128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84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7"/>
              </w:rPr>
              <w:t>-------</w:t>
            </w:r>
          </w:p>
        </w:tc>
      </w:tr>
      <w:tr>
        <w:trPr>
          <w:trHeight w:val="396"/>
        </w:trPr>
        <w:tc>
          <w:tcPr>
            <w:tcW w:w="6180" w:type="dxa"/>
            <w:vAlign w:val="bottom"/>
          </w:tcPr>
          <w:p>
            <w:pPr>
              <w:spacing w:after="0"/>
              <w:rPr>
                <w:sz w:val="20"/>
                <w:szCs w:val="20"/>
                <w:color w:val="auto"/>
              </w:rPr>
            </w:pPr>
            <w:r>
              <w:rPr>
                <w:rFonts w:ascii="Courier New" w:cs="Courier New" w:eastAsia="Courier New" w:hAnsi="Courier New"/>
                <w:sz w:val="17"/>
                <w:szCs w:val="17"/>
                <w:color w:val="auto"/>
              </w:rPr>
              <w:t>Income (loss) from continuing operations...................</w:t>
            </w:r>
          </w:p>
        </w:tc>
        <w:tc>
          <w:tcPr>
            <w:tcW w:w="42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239,301</w:t>
            </w:r>
          </w:p>
        </w:tc>
        <w:tc>
          <w:tcPr>
            <w:tcW w:w="146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$(179,585)</w:t>
            </w:r>
          </w:p>
        </w:tc>
        <w:tc>
          <w:tcPr>
            <w:tcW w:w="36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564,840</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(6,538)</w:t>
            </w:r>
          </w:p>
        </w:tc>
      </w:tr>
      <w:tr>
        <w:trPr>
          <w:trHeight w:val="198"/>
        </w:trPr>
        <w:tc>
          <w:tcPr>
            <w:tcW w:w="6180" w:type="dxa"/>
            <w:vAlign w:val="bottom"/>
          </w:tcPr>
          <w:p>
            <w:pPr>
              <w:ind w:left="220"/>
              <w:spacing w:after="0"/>
              <w:rPr>
                <w:sz w:val="20"/>
                <w:szCs w:val="20"/>
                <w:color w:val="auto"/>
              </w:rPr>
            </w:pPr>
            <w:r>
              <w:rPr>
                <w:rFonts w:ascii="Courier New" w:cs="Courier New" w:eastAsia="Courier New" w:hAnsi="Courier New"/>
                <w:sz w:val="17"/>
                <w:szCs w:val="17"/>
                <w:color w:val="auto"/>
              </w:rPr>
              <w:t>Add:</w:t>
            </w: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8"/>
        </w:trPr>
        <w:tc>
          <w:tcPr>
            <w:tcW w:w="618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Interest, net of tax and profit sharing effect, on</w:t>
            </w: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8"/>
        </w:trPr>
        <w:tc>
          <w:tcPr>
            <w:tcW w:w="6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convertible debentures assumed converted.............</w:t>
            </w:r>
          </w:p>
        </w:tc>
        <w:tc>
          <w:tcPr>
            <w:tcW w:w="42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1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8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w:t>
            </w:r>
          </w:p>
        </w:tc>
      </w:tr>
      <w:tr>
        <w:trPr>
          <w:trHeight w:val="198"/>
        </w:trPr>
        <w:tc>
          <w:tcPr>
            <w:tcW w:w="6180" w:type="dxa"/>
            <w:vAlign w:val="bottom"/>
          </w:tcPr>
          <w:p>
            <w:pPr>
              <w:spacing w:after="0"/>
              <w:rPr>
                <w:sz w:val="17"/>
                <w:szCs w:val="17"/>
                <w:color w:val="auto"/>
              </w:rPr>
            </w:pPr>
          </w:p>
        </w:tc>
        <w:tc>
          <w:tcPr>
            <w:tcW w:w="128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84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7"/>
              </w:rPr>
              <w:t>-------</w:t>
            </w:r>
          </w:p>
        </w:tc>
      </w:tr>
      <w:tr>
        <w:trPr>
          <w:trHeight w:val="198"/>
        </w:trPr>
        <w:tc>
          <w:tcPr>
            <w:tcW w:w="6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Income (loss) from continuing operations...................</w:t>
            </w:r>
          </w:p>
        </w:tc>
        <w:tc>
          <w:tcPr>
            <w:tcW w:w="42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239,301</w:t>
            </w:r>
          </w:p>
        </w:tc>
        <w:tc>
          <w:tcPr>
            <w:tcW w:w="146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(179,585)</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564,840</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(6,538)</w:t>
            </w:r>
          </w:p>
        </w:tc>
      </w:tr>
      <w:tr>
        <w:trPr>
          <w:trHeight w:val="198"/>
        </w:trPr>
        <w:tc>
          <w:tcPr>
            <w:tcW w:w="6180" w:type="dxa"/>
            <w:vAlign w:val="bottom"/>
          </w:tcPr>
          <w:p>
            <w:pPr>
              <w:spacing w:after="0"/>
              <w:rPr>
                <w:sz w:val="20"/>
                <w:szCs w:val="20"/>
                <w:color w:val="auto"/>
              </w:rPr>
            </w:pPr>
            <w:r>
              <w:rPr>
                <w:rFonts w:ascii="Courier New" w:cs="Courier New" w:eastAsia="Courier New" w:hAnsi="Courier New"/>
                <w:sz w:val="17"/>
                <w:szCs w:val="17"/>
                <w:color w:val="auto"/>
              </w:rPr>
              <w:t>Discontinued operations:</w:t>
            </w: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8"/>
        </w:trPr>
        <w:tc>
          <w:tcPr>
            <w:tcW w:w="6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Income from operations...................................</w:t>
            </w:r>
          </w:p>
        </w:tc>
        <w:tc>
          <w:tcPr>
            <w:tcW w:w="42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1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32,011</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52,718</w:t>
            </w:r>
          </w:p>
        </w:tc>
        <w:tc>
          <w:tcPr>
            <w:tcW w:w="400" w:type="dxa"/>
            <w:vAlign w:val="bottom"/>
          </w:tcPr>
          <w:p>
            <w:pPr>
              <w:spacing w:after="0"/>
              <w:rPr>
                <w:sz w:val="17"/>
                <w:szCs w:val="17"/>
                <w:color w:val="auto"/>
              </w:rPr>
            </w:pPr>
          </w:p>
        </w:tc>
        <w:tc>
          <w:tcPr>
            <w:tcW w:w="8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97,796</w:t>
            </w:r>
          </w:p>
        </w:tc>
      </w:tr>
      <w:tr>
        <w:trPr>
          <w:trHeight w:val="198"/>
        </w:trPr>
        <w:tc>
          <w:tcPr>
            <w:tcW w:w="6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Gain on sale.............................................</w:t>
            </w:r>
          </w:p>
        </w:tc>
        <w:tc>
          <w:tcPr>
            <w:tcW w:w="128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1,472,710</w:t>
            </w:r>
          </w:p>
        </w:tc>
        <w:tc>
          <w:tcPr>
            <w:tcW w:w="360" w:type="dxa"/>
            <w:vAlign w:val="bottom"/>
          </w:tcPr>
          <w:p>
            <w:pPr>
              <w:spacing w:after="0"/>
              <w:rPr>
                <w:sz w:val="17"/>
                <w:szCs w:val="17"/>
                <w:color w:val="auto"/>
              </w:rPr>
            </w:pPr>
          </w:p>
        </w:tc>
        <w:tc>
          <w:tcPr>
            <w:tcW w:w="11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1,472,710</w:t>
            </w:r>
          </w:p>
        </w:tc>
        <w:tc>
          <w:tcPr>
            <w:tcW w:w="400" w:type="dxa"/>
            <w:vAlign w:val="bottom"/>
          </w:tcPr>
          <w:p>
            <w:pPr>
              <w:spacing w:after="0"/>
              <w:rPr>
                <w:sz w:val="17"/>
                <w:szCs w:val="17"/>
                <w:color w:val="auto"/>
              </w:rPr>
            </w:pPr>
          </w:p>
        </w:tc>
        <w:tc>
          <w:tcPr>
            <w:tcW w:w="8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w:t>
            </w:r>
          </w:p>
        </w:tc>
      </w:tr>
      <w:tr>
        <w:trPr>
          <w:trHeight w:val="198"/>
        </w:trPr>
        <w:tc>
          <w:tcPr>
            <w:tcW w:w="6180" w:type="dxa"/>
            <w:vAlign w:val="bottom"/>
          </w:tcPr>
          <w:p>
            <w:pPr>
              <w:spacing w:after="0"/>
              <w:rPr>
                <w:sz w:val="17"/>
                <w:szCs w:val="17"/>
                <w:color w:val="auto"/>
              </w:rPr>
            </w:pPr>
          </w:p>
        </w:tc>
        <w:tc>
          <w:tcPr>
            <w:tcW w:w="128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84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7"/>
              </w:rPr>
              <w:t>-------</w:t>
            </w:r>
          </w:p>
        </w:tc>
      </w:tr>
      <w:tr>
        <w:trPr>
          <w:trHeight w:val="198"/>
        </w:trPr>
        <w:tc>
          <w:tcPr>
            <w:tcW w:w="6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Net income (loss)..........................................</w:t>
            </w:r>
          </w:p>
        </w:tc>
        <w:tc>
          <w:tcPr>
            <w:tcW w:w="128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$1,712,011</w:t>
            </w:r>
          </w:p>
        </w:tc>
        <w:tc>
          <w:tcPr>
            <w:tcW w:w="146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$(147,574)</w:t>
            </w:r>
          </w:p>
        </w:tc>
        <w:tc>
          <w:tcPr>
            <w:tcW w:w="11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$2,090,268</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91,258</w:t>
            </w:r>
          </w:p>
        </w:tc>
      </w:tr>
      <w:tr>
        <w:trPr>
          <w:trHeight w:val="198"/>
        </w:trPr>
        <w:tc>
          <w:tcPr>
            <w:tcW w:w="6180" w:type="dxa"/>
            <w:vAlign w:val="bottom"/>
          </w:tcPr>
          <w:p>
            <w:pPr>
              <w:spacing w:after="0"/>
              <w:rPr>
                <w:sz w:val="17"/>
                <w:szCs w:val="17"/>
                <w:color w:val="auto"/>
              </w:rPr>
            </w:pPr>
          </w:p>
        </w:tc>
        <w:tc>
          <w:tcPr>
            <w:tcW w:w="128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84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7"/>
              </w:rPr>
              <w:t>=======</w:t>
            </w:r>
          </w:p>
        </w:tc>
      </w:tr>
      <w:tr>
        <w:trPr>
          <w:trHeight w:val="5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Earnings (loss) per Common and Common Equivalent Share:</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8"/>
        </w:trPr>
        <w:tc>
          <w:tcPr>
            <w:tcW w:w="6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Weighted average common shares outstanding.................</w:t>
            </w:r>
          </w:p>
        </w:tc>
        <w:tc>
          <w:tcPr>
            <w:tcW w:w="42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193,190</w:t>
            </w:r>
          </w:p>
        </w:tc>
        <w:tc>
          <w:tcPr>
            <w:tcW w:w="360" w:type="dxa"/>
            <w:vAlign w:val="bottom"/>
          </w:tcPr>
          <w:p>
            <w:pPr>
              <w:spacing w:after="0"/>
              <w:rPr>
                <w:sz w:val="17"/>
                <w:szCs w:val="17"/>
                <w:color w:val="auto"/>
              </w:rPr>
            </w:pPr>
          </w:p>
        </w:tc>
        <w:tc>
          <w:tcPr>
            <w:tcW w:w="11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189,723</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191,803</w:t>
            </w:r>
          </w:p>
        </w:tc>
        <w:tc>
          <w:tcPr>
            <w:tcW w:w="400" w:type="dxa"/>
            <w:vAlign w:val="bottom"/>
          </w:tcPr>
          <w:p>
            <w:pPr>
              <w:spacing w:after="0"/>
              <w:rPr>
                <w:sz w:val="17"/>
                <w:szCs w:val="17"/>
                <w:color w:val="auto"/>
              </w:rPr>
            </w:pPr>
          </w:p>
        </w:tc>
        <w:tc>
          <w:tcPr>
            <w:tcW w:w="84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7"/>
              </w:rPr>
              <w:t>189,565</w:t>
            </w:r>
          </w:p>
        </w:tc>
      </w:tr>
      <w:tr>
        <w:trPr>
          <w:trHeight w:val="198"/>
        </w:trPr>
        <w:tc>
          <w:tcPr>
            <w:tcW w:w="6180" w:type="dxa"/>
            <w:vAlign w:val="bottom"/>
          </w:tcPr>
          <w:p>
            <w:pPr>
              <w:ind w:left="220"/>
              <w:spacing w:after="0"/>
              <w:rPr>
                <w:sz w:val="20"/>
                <w:szCs w:val="20"/>
                <w:color w:val="auto"/>
              </w:rPr>
            </w:pPr>
            <w:r>
              <w:rPr>
                <w:rFonts w:ascii="Courier New" w:cs="Courier New" w:eastAsia="Courier New" w:hAnsi="Courier New"/>
                <w:sz w:val="17"/>
                <w:szCs w:val="17"/>
                <w:color w:val="auto"/>
              </w:rPr>
              <w:t>Weighted average common equivalent shares:</w:t>
            </w: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8"/>
        </w:trPr>
        <w:tc>
          <w:tcPr>
            <w:tcW w:w="6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Stock option and compensation plans....................</w:t>
            </w:r>
          </w:p>
        </w:tc>
        <w:tc>
          <w:tcPr>
            <w:tcW w:w="42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5,204</w:t>
            </w:r>
          </w:p>
        </w:tc>
        <w:tc>
          <w:tcPr>
            <w:tcW w:w="360" w:type="dxa"/>
            <w:vAlign w:val="bottom"/>
          </w:tcPr>
          <w:p>
            <w:pPr>
              <w:spacing w:after="0"/>
              <w:rPr>
                <w:sz w:val="17"/>
                <w:szCs w:val="17"/>
                <w:color w:val="auto"/>
              </w:rPr>
            </w:pPr>
          </w:p>
        </w:tc>
        <w:tc>
          <w:tcPr>
            <w:tcW w:w="11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4,721</w:t>
            </w:r>
          </w:p>
        </w:tc>
        <w:tc>
          <w:tcPr>
            <w:tcW w:w="400" w:type="dxa"/>
            <w:vAlign w:val="bottom"/>
          </w:tcPr>
          <w:p>
            <w:pPr>
              <w:spacing w:after="0"/>
              <w:rPr>
                <w:sz w:val="17"/>
                <w:szCs w:val="17"/>
                <w:color w:val="auto"/>
              </w:rPr>
            </w:pPr>
          </w:p>
        </w:tc>
        <w:tc>
          <w:tcPr>
            <w:tcW w:w="8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2,280</w:t>
            </w:r>
          </w:p>
        </w:tc>
      </w:tr>
      <w:tr>
        <w:trPr>
          <w:trHeight w:val="198"/>
        </w:trPr>
        <w:tc>
          <w:tcPr>
            <w:tcW w:w="6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Convertible debentures.................................</w:t>
            </w:r>
          </w:p>
        </w:tc>
        <w:tc>
          <w:tcPr>
            <w:tcW w:w="42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1,580</w:t>
            </w:r>
          </w:p>
        </w:tc>
        <w:tc>
          <w:tcPr>
            <w:tcW w:w="360" w:type="dxa"/>
            <w:vAlign w:val="bottom"/>
          </w:tcPr>
          <w:p>
            <w:pPr>
              <w:spacing w:after="0"/>
              <w:rPr>
                <w:sz w:val="17"/>
                <w:szCs w:val="17"/>
                <w:color w:val="auto"/>
              </w:rPr>
            </w:pPr>
          </w:p>
        </w:tc>
        <w:tc>
          <w:tcPr>
            <w:tcW w:w="11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2,184</w:t>
            </w:r>
          </w:p>
        </w:tc>
        <w:tc>
          <w:tcPr>
            <w:tcW w:w="400" w:type="dxa"/>
            <w:vAlign w:val="bottom"/>
          </w:tcPr>
          <w:p>
            <w:pPr>
              <w:spacing w:after="0"/>
              <w:rPr>
                <w:sz w:val="17"/>
                <w:szCs w:val="17"/>
                <w:color w:val="auto"/>
              </w:rPr>
            </w:pPr>
          </w:p>
        </w:tc>
        <w:tc>
          <w:tcPr>
            <w:tcW w:w="8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w:t>
            </w:r>
          </w:p>
        </w:tc>
      </w:tr>
      <w:tr>
        <w:trPr>
          <w:trHeight w:val="198"/>
        </w:trPr>
        <w:tc>
          <w:tcPr>
            <w:tcW w:w="6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w:t>
            </w:r>
          </w:p>
        </w:tc>
        <w:tc>
          <w:tcPr>
            <w:tcW w:w="360" w:type="dxa"/>
            <w:vAlign w:val="bottom"/>
          </w:tcPr>
          <w:p>
            <w:pPr>
              <w:spacing w:after="0"/>
              <w:rPr>
                <w:sz w:val="17"/>
                <w:szCs w:val="17"/>
                <w:color w:val="auto"/>
              </w:rPr>
            </w:pPr>
          </w:p>
        </w:tc>
        <w:tc>
          <w:tcPr>
            <w:tcW w:w="11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400" w:type="dxa"/>
            <w:vAlign w:val="bottom"/>
          </w:tcPr>
          <w:p>
            <w:pPr>
              <w:spacing w:after="0"/>
              <w:rPr>
                <w:sz w:val="17"/>
                <w:szCs w:val="17"/>
                <w:color w:val="auto"/>
              </w:rPr>
            </w:pPr>
          </w:p>
        </w:tc>
        <w:tc>
          <w:tcPr>
            <w:tcW w:w="84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7"/>
              </w:rPr>
              <w:t>-------</w:t>
            </w:r>
          </w:p>
        </w:tc>
      </w:tr>
      <w:tr>
        <w:trPr>
          <w:trHeight w:val="198"/>
        </w:trPr>
        <w:tc>
          <w:tcPr>
            <w:tcW w:w="6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Weighted average common and common equivalent shares.......</w:t>
            </w:r>
          </w:p>
        </w:tc>
        <w:tc>
          <w:tcPr>
            <w:tcW w:w="42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199,974</w:t>
            </w:r>
          </w:p>
        </w:tc>
        <w:tc>
          <w:tcPr>
            <w:tcW w:w="360" w:type="dxa"/>
            <w:vAlign w:val="bottom"/>
          </w:tcPr>
          <w:p>
            <w:pPr>
              <w:spacing w:after="0"/>
              <w:rPr>
                <w:sz w:val="17"/>
                <w:szCs w:val="17"/>
                <w:color w:val="auto"/>
              </w:rPr>
            </w:pPr>
          </w:p>
        </w:tc>
        <w:tc>
          <w:tcPr>
            <w:tcW w:w="11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189,723</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198,708</w:t>
            </w:r>
          </w:p>
        </w:tc>
        <w:tc>
          <w:tcPr>
            <w:tcW w:w="400" w:type="dxa"/>
            <w:vAlign w:val="bottom"/>
          </w:tcPr>
          <w:p>
            <w:pPr>
              <w:spacing w:after="0"/>
              <w:rPr>
                <w:sz w:val="17"/>
                <w:szCs w:val="17"/>
                <w:color w:val="auto"/>
              </w:rPr>
            </w:pPr>
          </w:p>
        </w:tc>
        <w:tc>
          <w:tcPr>
            <w:tcW w:w="84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7"/>
              </w:rPr>
              <w:t>191,845</w:t>
            </w:r>
          </w:p>
        </w:tc>
      </w:tr>
      <w:tr>
        <w:trPr>
          <w:trHeight w:val="198"/>
        </w:trPr>
        <w:tc>
          <w:tcPr>
            <w:tcW w:w="6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w:t>
            </w:r>
          </w:p>
        </w:tc>
        <w:tc>
          <w:tcPr>
            <w:tcW w:w="360" w:type="dxa"/>
            <w:vAlign w:val="bottom"/>
          </w:tcPr>
          <w:p>
            <w:pPr>
              <w:spacing w:after="0"/>
              <w:rPr>
                <w:sz w:val="17"/>
                <w:szCs w:val="17"/>
                <w:color w:val="auto"/>
              </w:rPr>
            </w:pPr>
          </w:p>
        </w:tc>
        <w:tc>
          <w:tcPr>
            <w:tcW w:w="11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400" w:type="dxa"/>
            <w:vAlign w:val="bottom"/>
          </w:tcPr>
          <w:p>
            <w:pPr>
              <w:spacing w:after="0"/>
              <w:rPr>
                <w:sz w:val="17"/>
                <w:szCs w:val="17"/>
                <w:color w:val="auto"/>
              </w:rPr>
            </w:pPr>
          </w:p>
        </w:tc>
        <w:tc>
          <w:tcPr>
            <w:tcW w:w="84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7"/>
              </w:rPr>
              <w:t>=======</w:t>
            </w:r>
          </w:p>
        </w:tc>
      </w:tr>
      <w:tr>
        <w:trPr>
          <w:trHeight w:val="5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Earnings (loss) per Common and Common Equivalent Share:</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8"/>
        </w:trPr>
        <w:tc>
          <w:tcPr>
            <w:tcW w:w="6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Income (loss) from continuing operations.................</w:t>
            </w:r>
          </w:p>
        </w:tc>
        <w:tc>
          <w:tcPr>
            <w:tcW w:w="420" w:type="dxa"/>
            <w:vAlign w:val="bottom"/>
          </w:tcPr>
          <w:p>
            <w:pPr>
              <w:ind w:left="320"/>
              <w:spacing w:after="0"/>
              <w:rPr>
                <w:sz w:val="20"/>
                <w:szCs w:val="20"/>
                <w:color w:val="auto"/>
              </w:rPr>
            </w:pPr>
            <w:r>
              <w:rPr>
                <w:rFonts w:ascii="Courier New" w:cs="Courier New" w:eastAsia="Courier New" w:hAnsi="Courier New"/>
                <w:sz w:val="17"/>
                <w:szCs w:val="17"/>
                <w:color w:val="auto"/>
                <w:w w:val="77"/>
              </w:rPr>
              <w:t>$</w:t>
            </w: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1.20</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(0.95)</w:t>
            </w:r>
          </w:p>
        </w:tc>
        <w:tc>
          <w:tcPr>
            <w:tcW w:w="360" w:type="dxa"/>
            <w:vAlign w:val="bottom"/>
          </w:tcPr>
          <w:p>
            <w:pPr>
              <w:ind w:left="240"/>
              <w:spacing w:after="0"/>
              <w:rPr>
                <w:sz w:val="20"/>
                <w:szCs w:val="20"/>
                <w:color w:val="auto"/>
              </w:rPr>
            </w:pPr>
            <w:r>
              <w:rPr>
                <w:rFonts w:ascii="Courier New" w:cs="Courier New" w:eastAsia="Courier New" w:hAnsi="Courier New"/>
                <w:sz w:val="17"/>
                <w:szCs w:val="17"/>
                <w:color w:val="auto"/>
                <w:w w:val="97"/>
              </w:rPr>
              <w:t>$</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2.84</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(0.03)</w:t>
            </w:r>
          </w:p>
        </w:tc>
      </w:tr>
      <w:tr>
        <w:trPr>
          <w:trHeight w:val="198"/>
        </w:trPr>
        <w:tc>
          <w:tcPr>
            <w:tcW w:w="6180" w:type="dxa"/>
            <w:vAlign w:val="bottom"/>
          </w:tcPr>
          <w:p>
            <w:pPr>
              <w:ind w:left="220"/>
              <w:spacing w:after="0"/>
              <w:rPr>
                <w:sz w:val="20"/>
                <w:szCs w:val="20"/>
                <w:color w:val="auto"/>
              </w:rPr>
            </w:pPr>
            <w:r>
              <w:rPr>
                <w:rFonts w:ascii="Courier New" w:cs="Courier New" w:eastAsia="Courier New" w:hAnsi="Courier New"/>
                <w:sz w:val="17"/>
                <w:szCs w:val="17"/>
                <w:color w:val="auto"/>
              </w:rPr>
              <w:t>Discontinued operations:</w:t>
            </w: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8"/>
        </w:trPr>
        <w:tc>
          <w:tcPr>
            <w:tcW w:w="6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Income from operations.................................</w:t>
            </w:r>
          </w:p>
        </w:tc>
        <w:tc>
          <w:tcPr>
            <w:tcW w:w="42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1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0.17</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0.27</w:t>
            </w:r>
          </w:p>
        </w:tc>
        <w:tc>
          <w:tcPr>
            <w:tcW w:w="400" w:type="dxa"/>
            <w:vAlign w:val="bottom"/>
          </w:tcPr>
          <w:p>
            <w:pPr>
              <w:spacing w:after="0"/>
              <w:rPr>
                <w:sz w:val="17"/>
                <w:szCs w:val="17"/>
                <w:color w:val="auto"/>
              </w:rPr>
            </w:pPr>
          </w:p>
        </w:tc>
        <w:tc>
          <w:tcPr>
            <w:tcW w:w="8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0.51</w:t>
            </w:r>
          </w:p>
        </w:tc>
      </w:tr>
      <w:tr>
        <w:trPr>
          <w:trHeight w:val="198"/>
        </w:trPr>
        <w:tc>
          <w:tcPr>
            <w:tcW w:w="6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Gain on sale...........................................</w:t>
            </w:r>
          </w:p>
        </w:tc>
        <w:tc>
          <w:tcPr>
            <w:tcW w:w="42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7.36</w:t>
            </w:r>
          </w:p>
        </w:tc>
        <w:tc>
          <w:tcPr>
            <w:tcW w:w="360" w:type="dxa"/>
            <w:vAlign w:val="bottom"/>
          </w:tcPr>
          <w:p>
            <w:pPr>
              <w:spacing w:after="0"/>
              <w:rPr>
                <w:sz w:val="17"/>
                <w:szCs w:val="17"/>
                <w:color w:val="auto"/>
              </w:rPr>
            </w:pPr>
          </w:p>
        </w:tc>
        <w:tc>
          <w:tcPr>
            <w:tcW w:w="11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7.41</w:t>
            </w:r>
          </w:p>
        </w:tc>
        <w:tc>
          <w:tcPr>
            <w:tcW w:w="400" w:type="dxa"/>
            <w:vAlign w:val="bottom"/>
          </w:tcPr>
          <w:p>
            <w:pPr>
              <w:spacing w:after="0"/>
              <w:rPr>
                <w:sz w:val="17"/>
                <w:szCs w:val="17"/>
                <w:color w:val="auto"/>
              </w:rPr>
            </w:pPr>
          </w:p>
        </w:tc>
        <w:tc>
          <w:tcPr>
            <w:tcW w:w="8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w:t>
            </w:r>
          </w:p>
        </w:tc>
      </w:tr>
      <w:tr>
        <w:trPr>
          <w:trHeight w:val="198"/>
        </w:trPr>
        <w:tc>
          <w:tcPr>
            <w:tcW w:w="6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w:t>
            </w:r>
          </w:p>
        </w:tc>
        <w:tc>
          <w:tcPr>
            <w:tcW w:w="360" w:type="dxa"/>
            <w:vAlign w:val="bottom"/>
          </w:tcPr>
          <w:p>
            <w:pPr>
              <w:spacing w:after="0"/>
              <w:rPr>
                <w:sz w:val="17"/>
                <w:szCs w:val="17"/>
                <w:color w:val="auto"/>
              </w:rPr>
            </w:pPr>
          </w:p>
        </w:tc>
        <w:tc>
          <w:tcPr>
            <w:tcW w:w="11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400" w:type="dxa"/>
            <w:vAlign w:val="bottom"/>
          </w:tcPr>
          <w:p>
            <w:pPr>
              <w:spacing w:after="0"/>
              <w:rPr>
                <w:sz w:val="17"/>
                <w:szCs w:val="17"/>
                <w:color w:val="auto"/>
              </w:rPr>
            </w:pPr>
          </w:p>
        </w:tc>
        <w:tc>
          <w:tcPr>
            <w:tcW w:w="84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7"/>
              </w:rPr>
              <w:t>-------</w:t>
            </w:r>
          </w:p>
        </w:tc>
      </w:tr>
      <w:tr>
        <w:trPr>
          <w:trHeight w:val="198"/>
        </w:trPr>
        <w:tc>
          <w:tcPr>
            <w:tcW w:w="6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Net income (loss)........................................</w:t>
            </w:r>
          </w:p>
        </w:tc>
        <w:tc>
          <w:tcPr>
            <w:tcW w:w="420" w:type="dxa"/>
            <w:vAlign w:val="bottom"/>
          </w:tcPr>
          <w:p>
            <w:pPr>
              <w:ind w:left="320"/>
              <w:spacing w:after="0"/>
              <w:rPr>
                <w:sz w:val="20"/>
                <w:szCs w:val="20"/>
                <w:color w:val="auto"/>
              </w:rPr>
            </w:pPr>
            <w:r>
              <w:rPr>
                <w:rFonts w:ascii="Courier New" w:cs="Courier New" w:eastAsia="Courier New" w:hAnsi="Courier New"/>
                <w:sz w:val="17"/>
                <w:szCs w:val="17"/>
                <w:color w:val="auto"/>
                <w:w w:val="77"/>
              </w:rPr>
              <w:t>$</w:t>
            </w: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8.56</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(0.78)</w:t>
            </w:r>
          </w:p>
        </w:tc>
        <w:tc>
          <w:tcPr>
            <w:tcW w:w="360" w:type="dxa"/>
            <w:vAlign w:val="bottom"/>
          </w:tcPr>
          <w:p>
            <w:pPr>
              <w:ind w:left="240"/>
              <w:spacing w:after="0"/>
              <w:rPr>
                <w:sz w:val="20"/>
                <w:szCs w:val="20"/>
                <w:color w:val="auto"/>
              </w:rPr>
            </w:pPr>
            <w:r>
              <w:rPr>
                <w:rFonts w:ascii="Courier New" w:cs="Courier New" w:eastAsia="Courier New" w:hAnsi="Courier New"/>
                <w:sz w:val="17"/>
                <w:szCs w:val="17"/>
                <w:color w:val="auto"/>
                <w:w w:val="97"/>
              </w:rPr>
              <w:t>$</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10.52</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0.48</w:t>
            </w:r>
          </w:p>
        </w:tc>
      </w:tr>
      <w:tr>
        <w:trPr>
          <w:trHeight w:val="198"/>
        </w:trPr>
        <w:tc>
          <w:tcPr>
            <w:tcW w:w="6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w:t>
            </w:r>
          </w:p>
        </w:tc>
        <w:tc>
          <w:tcPr>
            <w:tcW w:w="360" w:type="dxa"/>
            <w:vAlign w:val="bottom"/>
          </w:tcPr>
          <w:p>
            <w:pPr>
              <w:spacing w:after="0"/>
              <w:rPr>
                <w:sz w:val="17"/>
                <w:szCs w:val="17"/>
                <w:color w:val="auto"/>
              </w:rPr>
            </w:pPr>
          </w:p>
        </w:tc>
        <w:tc>
          <w:tcPr>
            <w:tcW w:w="11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400" w:type="dxa"/>
            <w:vAlign w:val="bottom"/>
          </w:tcPr>
          <w:p>
            <w:pPr>
              <w:spacing w:after="0"/>
              <w:rPr>
                <w:sz w:val="17"/>
                <w:szCs w:val="17"/>
                <w:color w:val="auto"/>
              </w:rPr>
            </w:pPr>
          </w:p>
        </w:tc>
        <w:tc>
          <w:tcPr>
            <w:tcW w:w="84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7"/>
              </w:rPr>
              <w:t>=======</w:t>
            </w:r>
          </w:p>
        </w:tc>
      </w:tr>
      <w:tr>
        <w:trPr>
          <w:trHeight w:val="5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Earnings (loss) per Common Share Assuming Full Dilution:</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8"/>
        </w:trPr>
        <w:tc>
          <w:tcPr>
            <w:tcW w:w="6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Weighted average common shares outstanding.................</w:t>
            </w:r>
          </w:p>
        </w:tc>
        <w:tc>
          <w:tcPr>
            <w:tcW w:w="42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193,190</w:t>
            </w:r>
          </w:p>
        </w:tc>
        <w:tc>
          <w:tcPr>
            <w:tcW w:w="360" w:type="dxa"/>
            <w:vAlign w:val="bottom"/>
          </w:tcPr>
          <w:p>
            <w:pPr>
              <w:spacing w:after="0"/>
              <w:rPr>
                <w:sz w:val="17"/>
                <w:szCs w:val="17"/>
                <w:color w:val="auto"/>
              </w:rPr>
            </w:pPr>
          </w:p>
        </w:tc>
        <w:tc>
          <w:tcPr>
            <w:tcW w:w="11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189,723</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191,803</w:t>
            </w:r>
          </w:p>
        </w:tc>
        <w:tc>
          <w:tcPr>
            <w:tcW w:w="400" w:type="dxa"/>
            <w:vAlign w:val="bottom"/>
          </w:tcPr>
          <w:p>
            <w:pPr>
              <w:spacing w:after="0"/>
              <w:rPr>
                <w:sz w:val="17"/>
                <w:szCs w:val="17"/>
                <w:color w:val="auto"/>
              </w:rPr>
            </w:pPr>
          </w:p>
        </w:tc>
        <w:tc>
          <w:tcPr>
            <w:tcW w:w="84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7"/>
              </w:rPr>
              <w:t>189,565</w:t>
            </w:r>
          </w:p>
        </w:tc>
      </w:tr>
      <w:tr>
        <w:trPr>
          <w:trHeight w:val="198"/>
        </w:trPr>
        <w:tc>
          <w:tcPr>
            <w:tcW w:w="6180" w:type="dxa"/>
            <w:vAlign w:val="bottom"/>
          </w:tcPr>
          <w:p>
            <w:pPr>
              <w:ind w:left="220"/>
              <w:spacing w:after="0"/>
              <w:rPr>
                <w:sz w:val="20"/>
                <w:szCs w:val="20"/>
                <w:color w:val="auto"/>
              </w:rPr>
            </w:pPr>
            <w:r>
              <w:rPr>
                <w:rFonts w:ascii="Courier New" w:cs="Courier New" w:eastAsia="Courier New" w:hAnsi="Courier New"/>
                <w:sz w:val="17"/>
                <w:szCs w:val="17"/>
                <w:color w:val="auto"/>
              </w:rPr>
              <w:t>Weighted average common equivalent shares:</w:t>
            </w: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8"/>
        </w:trPr>
        <w:tc>
          <w:tcPr>
            <w:tcW w:w="6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Stock option and compensation plans....................</w:t>
            </w:r>
          </w:p>
        </w:tc>
        <w:tc>
          <w:tcPr>
            <w:tcW w:w="42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5,635</w:t>
            </w:r>
          </w:p>
        </w:tc>
        <w:tc>
          <w:tcPr>
            <w:tcW w:w="360" w:type="dxa"/>
            <w:vAlign w:val="bottom"/>
          </w:tcPr>
          <w:p>
            <w:pPr>
              <w:spacing w:after="0"/>
              <w:rPr>
                <w:sz w:val="17"/>
                <w:szCs w:val="17"/>
                <w:color w:val="auto"/>
              </w:rPr>
            </w:pPr>
          </w:p>
        </w:tc>
        <w:tc>
          <w:tcPr>
            <w:tcW w:w="11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6,094</w:t>
            </w:r>
          </w:p>
        </w:tc>
        <w:tc>
          <w:tcPr>
            <w:tcW w:w="400" w:type="dxa"/>
            <w:vAlign w:val="bottom"/>
          </w:tcPr>
          <w:p>
            <w:pPr>
              <w:spacing w:after="0"/>
              <w:rPr>
                <w:sz w:val="17"/>
                <w:szCs w:val="17"/>
                <w:color w:val="auto"/>
              </w:rPr>
            </w:pPr>
          </w:p>
        </w:tc>
        <w:tc>
          <w:tcPr>
            <w:tcW w:w="8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2,662</w:t>
            </w:r>
          </w:p>
        </w:tc>
      </w:tr>
      <w:tr>
        <w:trPr>
          <w:trHeight w:val="198"/>
        </w:trPr>
        <w:tc>
          <w:tcPr>
            <w:tcW w:w="6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Convertible debentures.................................</w:t>
            </w:r>
          </w:p>
        </w:tc>
        <w:tc>
          <w:tcPr>
            <w:tcW w:w="42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1,580</w:t>
            </w:r>
          </w:p>
        </w:tc>
        <w:tc>
          <w:tcPr>
            <w:tcW w:w="360" w:type="dxa"/>
            <w:vAlign w:val="bottom"/>
          </w:tcPr>
          <w:p>
            <w:pPr>
              <w:spacing w:after="0"/>
              <w:rPr>
                <w:sz w:val="17"/>
                <w:szCs w:val="17"/>
                <w:color w:val="auto"/>
              </w:rPr>
            </w:pPr>
          </w:p>
        </w:tc>
        <w:tc>
          <w:tcPr>
            <w:tcW w:w="11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2,184</w:t>
            </w:r>
          </w:p>
        </w:tc>
        <w:tc>
          <w:tcPr>
            <w:tcW w:w="400" w:type="dxa"/>
            <w:vAlign w:val="bottom"/>
          </w:tcPr>
          <w:p>
            <w:pPr>
              <w:spacing w:after="0"/>
              <w:rPr>
                <w:sz w:val="17"/>
                <w:szCs w:val="17"/>
                <w:color w:val="auto"/>
              </w:rPr>
            </w:pPr>
          </w:p>
        </w:tc>
        <w:tc>
          <w:tcPr>
            <w:tcW w:w="8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w:t>
            </w:r>
          </w:p>
        </w:tc>
      </w:tr>
      <w:tr>
        <w:trPr>
          <w:trHeight w:val="198"/>
        </w:trPr>
        <w:tc>
          <w:tcPr>
            <w:tcW w:w="6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w:t>
            </w:r>
          </w:p>
        </w:tc>
        <w:tc>
          <w:tcPr>
            <w:tcW w:w="360" w:type="dxa"/>
            <w:vAlign w:val="bottom"/>
          </w:tcPr>
          <w:p>
            <w:pPr>
              <w:spacing w:after="0"/>
              <w:rPr>
                <w:sz w:val="17"/>
                <w:szCs w:val="17"/>
                <w:color w:val="auto"/>
              </w:rPr>
            </w:pPr>
          </w:p>
        </w:tc>
        <w:tc>
          <w:tcPr>
            <w:tcW w:w="11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400" w:type="dxa"/>
            <w:vAlign w:val="bottom"/>
          </w:tcPr>
          <w:p>
            <w:pPr>
              <w:spacing w:after="0"/>
              <w:rPr>
                <w:sz w:val="17"/>
                <w:szCs w:val="17"/>
                <w:color w:val="auto"/>
              </w:rPr>
            </w:pPr>
          </w:p>
        </w:tc>
        <w:tc>
          <w:tcPr>
            <w:tcW w:w="84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7"/>
              </w:rPr>
              <w:t>-------</w:t>
            </w:r>
          </w:p>
        </w:tc>
      </w:tr>
      <w:tr>
        <w:trPr>
          <w:trHeight w:val="198"/>
        </w:trPr>
        <w:tc>
          <w:tcPr>
            <w:tcW w:w="6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Weighted average common and common equivalent shares.......</w:t>
            </w:r>
          </w:p>
        </w:tc>
        <w:tc>
          <w:tcPr>
            <w:tcW w:w="42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200,405</w:t>
            </w:r>
          </w:p>
        </w:tc>
        <w:tc>
          <w:tcPr>
            <w:tcW w:w="360" w:type="dxa"/>
            <w:vAlign w:val="bottom"/>
          </w:tcPr>
          <w:p>
            <w:pPr>
              <w:spacing w:after="0"/>
              <w:rPr>
                <w:sz w:val="17"/>
                <w:szCs w:val="17"/>
                <w:color w:val="auto"/>
              </w:rPr>
            </w:pPr>
          </w:p>
        </w:tc>
        <w:tc>
          <w:tcPr>
            <w:tcW w:w="11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189,723</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200,081</w:t>
            </w:r>
          </w:p>
        </w:tc>
        <w:tc>
          <w:tcPr>
            <w:tcW w:w="400" w:type="dxa"/>
            <w:vAlign w:val="bottom"/>
          </w:tcPr>
          <w:p>
            <w:pPr>
              <w:spacing w:after="0"/>
              <w:rPr>
                <w:sz w:val="17"/>
                <w:szCs w:val="17"/>
                <w:color w:val="auto"/>
              </w:rPr>
            </w:pPr>
          </w:p>
        </w:tc>
        <w:tc>
          <w:tcPr>
            <w:tcW w:w="84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7"/>
              </w:rPr>
              <w:t>192,227</w:t>
            </w:r>
          </w:p>
        </w:tc>
      </w:tr>
      <w:tr>
        <w:trPr>
          <w:trHeight w:val="198"/>
        </w:trPr>
        <w:tc>
          <w:tcPr>
            <w:tcW w:w="6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w:t>
            </w:r>
          </w:p>
        </w:tc>
        <w:tc>
          <w:tcPr>
            <w:tcW w:w="360" w:type="dxa"/>
            <w:vAlign w:val="bottom"/>
          </w:tcPr>
          <w:p>
            <w:pPr>
              <w:spacing w:after="0"/>
              <w:rPr>
                <w:sz w:val="17"/>
                <w:szCs w:val="17"/>
                <w:color w:val="auto"/>
              </w:rPr>
            </w:pPr>
          </w:p>
        </w:tc>
        <w:tc>
          <w:tcPr>
            <w:tcW w:w="11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400" w:type="dxa"/>
            <w:vAlign w:val="bottom"/>
          </w:tcPr>
          <w:p>
            <w:pPr>
              <w:spacing w:after="0"/>
              <w:rPr>
                <w:sz w:val="17"/>
                <w:szCs w:val="17"/>
                <w:color w:val="auto"/>
              </w:rPr>
            </w:pPr>
          </w:p>
        </w:tc>
        <w:tc>
          <w:tcPr>
            <w:tcW w:w="84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7"/>
              </w:rPr>
              <w:t>=======</w:t>
            </w:r>
          </w:p>
        </w:tc>
      </w:tr>
      <w:tr>
        <w:trPr>
          <w:trHeight w:val="396"/>
        </w:trPr>
        <w:tc>
          <w:tcPr>
            <w:tcW w:w="6180" w:type="dxa"/>
            <w:vAlign w:val="bottom"/>
          </w:tcPr>
          <w:p>
            <w:pPr>
              <w:spacing w:after="0"/>
              <w:rPr>
                <w:sz w:val="20"/>
                <w:szCs w:val="20"/>
                <w:color w:val="auto"/>
              </w:rPr>
            </w:pPr>
            <w:r>
              <w:rPr>
                <w:rFonts w:ascii="Courier New" w:cs="Courier New" w:eastAsia="Courier New" w:hAnsi="Courier New"/>
                <w:sz w:val="17"/>
                <w:szCs w:val="17"/>
                <w:color w:val="auto"/>
              </w:rPr>
              <w:t>Earnings (loss) per Common Share Assuming Full Dilution:</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8"/>
        </w:trPr>
        <w:tc>
          <w:tcPr>
            <w:tcW w:w="6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Income (loss) from continuing operations.................</w:t>
            </w:r>
          </w:p>
        </w:tc>
        <w:tc>
          <w:tcPr>
            <w:tcW w:w="420" w:type="dxa"/>
            <w:vAlign w:val="bottom"/>
          </w:tcPr>
          <w:p>
            <w:pPr>
              <w:ind w:left="320"/>
              <w:spacing w:after="0"/>
              <w:rPr>
                <w:sz w:val="20"/>
                <w:szCs w:val="20"/>
                <w:color w:val="auto"/>
              </w:rPr>
            </w:pPr>
            <w:r>
              <w:rPr>
                <w:rFonts w:ascii="Courier New" w:cs="Courier New" w:eastAsia="Courier New" w:hAnsi="Courier New"/>
                <w:sz w:val="17"/>
                <w:szCs w:val="17"/>
                <w:color w:val="auto"/>
                <w:w w:val="77"/>
              </w:rPr>
              <w:t>$</w:t>
            </w: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1.19</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(0.95)</w:t>
            </w:r>
          </w:p>
        </w:tc>
        <w:tc>
          <w:tcPr>
            <w:tcW w:w="360" w:type="dxa"/>
            <w:vAlign w:val="bottom"/>
          </w:tcPr>
          <w:p>
            <w:pPr>
              <w:ind w:left="240"/>
              <w:spacing w:after="0"/>
              <w:rPr>
                <w:sz w:val="20"/>
                <w:szCs w:val="20"/>
                <w:color w:val="auto"/>
              </w:rPr>
            </w:pPr>
            <w:r>
              <w:rPr>
                <w:rFonts w:ascii="Courier New" w:cs="Courier New" w:eastAsia="Courier New" w:hAnsi="Courier New"/>
                <w:sz w:val="17"/>
                <w:szCs w:val="17"/>
                <w:color w:val="auto"/>
                <w:w w:val="97"/>
              </w:rPr>
              <w:t>$</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2.82</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(0.03)</w:t>
            </w:r>
          </w:p>
        </w:tc>
      </w:tr>
      <w:tr>
        <w:trPr>
          <w:trHeight w:val="198"/>
        </w:trPr>
        <w:tc>
          <w:tcPr>
            <w:tcW w:w="6180" w:type="dxa"/>
            <w:vAlign w:val="bottom"/>
          </w:tcPr>
          <w:p>
            <w:pPr>
              <w:ind w:left="220"/>
              <w:spacing w:after="0"/>
              <w:rPr>
                <w:sz w:val="20"/>
                <w:szCs w:val="20"/>
                <w:color w:val="auto"/>
              </w:rPr>
            </w:pPr>
            <w:r>
              <w:rPr>
                <w:rFonts w:ascii="Courier New" w:cs="Courier New" w:eastAsia="Courier New" w:hAnsi="Courier New"/>
                <w:sz w:val="17"/>
                <w:szCs w:val="17"/>
                <w:color w:val="auto"/>
              </w:rPr>
              <w:t>Discontinued operations:</w:t>
            </w: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8"/>
        </w:trPr>
        <w:tc>
          <w:tcPr>
            <w:tcW w:w="6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Income from operations.................................</w:t>
            </w:r>
          </w:p>
        </w:tc>
        <w:tc>
          <w:tcPr>
            <w:tcW w:w="42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1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0.17</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0.27</w:t>
            </w:r>
          </w:p>
        </w:tc>
        <w:tc>
          <w:tcPr>
            <w:tcW w:w="400" w:type="dxa"/>
            <w:vAlign w:val="bottom"/>
          </w:tcPr>
          <w:p>
            <w:pPr>
              <w:spacing w:after="0"/>
              <w:rPr>
                <w:sz w:val="17"/>
                <w:szCs w:val="17"/>
                <w:color w:val="auto"/>
              </w:rPr>
            </w:pPr>
          </w:p>
        </w:tc>
        <w:tc>
          <w:tcPr>
            <w:tcW w:w="8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0.50</w:t>
            </w:r>
          </w:p>
        </w:tc>
      </w:tr>
      <w:tr>
        <w:trPr>
          <w:trHeight w:val="198"/>
        </w:trPr>
        <w:tc>
          <w:tcPr>
            <w:tcW w:w="6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Gain on sale...........................................</w:t>
            </w:r>
          </w:p>
        </w:tc>
        <w:tc>
          <w:tcPr>
            <w:tcW w:w="42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7.35</w:t>
            </w:r>
          </w:p>
        </w:tc>
        <w:tc>
          <w:tcPr>
            <w:tcW w:w="360" w:type="dxa"/>
            <w:vAlign w:val="bottom"/>
          </w:tcPr>
          <w:p>
            <w:pPr>
              <w:spacing w:after="0"/>
              <w:rPr>
                <w:sz w:val="17"/>
                <w:szCs w:val="17"/>
                <w:color w:val="auto"/>
              </w:rPr>
            </w:pPr>
          </w:p>
        </w:tc>
        <w:tc>
          <w:tcPr>
            <w:tcW w:w="11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7.36</w:t>
            </w:r>
          </w:p>
        </w:tc>
        <w:tc>
          <w:tcPr>
            <w:tcW w:w="400" w:type="dxa"/>
            <w:vAlign w:val="bottom"/>
          </w:tcPr>
          <w:p>
            <w:pPr>
              <w:spacing w:after="0"/>
              <w:rPr>
                <w:sz w:val="17"/>
                <w:szCs w:val="17"/>
                <w:color w:val="auto"/>
              </w:rPr>
            </w:pPr>
          </w:p>
        </w:tc>
        <w:tc>
          <w:tcPr>
            <w:tcW w:w="8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w:t>
            </w:r>
          </w:p>
        </w:tc>
      </w:tr>
      <w:tr>
        <w:trPr>
          <w:trHeight w:val="198"/>
        </w:trPr>
        <w:tc>
          <w:tcPr>
            <w:tcW w:w="6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w:t>
            </w:r>
          </w:p>
        </w:tc>
        <w:tc>
          <w:tcPr>
            <w:tcW w:w="360" w:type="dxa"/>
            <w:vAlign w:val="bottom"/>
          </w:tcPr>
          <w:p>
            <w:pPr>
              <w:spacing w:after="0"/>
              <w:rPr>
                <w:sz w:val="17"/>
                <w:szCs w:val="17"/>
                <w:color w:val="auto"/>
              </w:rPr>
            </w:pPr>
          </w:p>
        </w:tc>
        <w:tc>
          <w:tcPr>
            <w:tcW w:w="11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400" w:type="dxa"/>
            <w:vAlign w:val="bottom"/>
          </w:tcPr>
          <w:p>
            <w:pPr>
              <w:spacing w:after="0"/>
              <w:rPr>
                <w:sz w:val="17"/>
                <w:szCs w:val="17"/>
                <w:color w:val="auto"/>
              </w:rPr>
            </w:pPr>
          </w:p>
        </w:tc>
        <w:tc>
          <w:tcPr>
            <w:tcW w:w="84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7"/>
              </w:rPr>
              <w:t>-------</w:t>
            </w:r>
          </w:p>
        </w:tc>
      </w:tr>
      <w:tr>
        <w:trPr>
          <w:trHeight w:val="198"/>
        </w:trPr>
        <w:tc>
          <w:tcPr>
            <w:tcW w:w="6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Net income (loss)........................................</w:t>
            </w:r>
          </w:p>
        </w:tc>
        <w:tc>
          <w:tcPr>
            <w:tcW w:w="420" w:type="dxa"/>
            <w:vAlign w:val="bottom"/>
          </w:tcPr>
          <w:p>
            <w:pPr>
              <w:ind w:left="320"/>
              <w:spacing w:after="0"/>
              <w:rPr>
                <w:sz w:val="20"/>
                <w:szCs w:val="20"/>
                <w:color w:val="auto"/>
              </w:rPr>
            </w:pPr>
            <w:r>
              <w:rPr>
                <w:rFonts w:ascii="Courier New" w:cs="Courier New" w:eastAsia="Courier New" w:hAnsi="Courier New"/>
                <w:sz w:val="17"/>
                <w:szCs w:val="17"/>
                <w:color w:val="auto"/>
                <w:w w:val="77"/>
              </w:rPr>
              <w:t>$</w:t>
            </w: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8.54</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(0.78)</w:t>
            </w:r>
          </w:p>
        </w:tc>
        <w:tc>
          <w:tcPr>
            <w:tcW w:w="360" w:type="dxa"/>
            <w:vAlign w:val="bottom"/>
          </w:tcPr>
          <w:p>
            <w:pPr>
              <w:ind w:left="240"/>
              <w:spacing w:after="0"/>
              <w:rPr>
                <w:sz w:val="20"/>
                <w:szCs w:val="20"/>
                <w:color w:val="auto"/>
              </w:rPr>
            </w:pPr>
            <w:r>
              <w:rPr>
                <w:rFonts w:ascii="Courier New" w:cs="Courier New" w:eastAsia="Courier New" w:hAnsi="Courier New"/>
                <w:sz w:val="17"/>
                <w:szCs w:val="17"/>
                <w:color w:val="auto"/>
                <w:w w:val="97"/>
              </w:rPr>
              <w:t>$</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10.45</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0.47</w:t>
            </w:r>
          </w:p>
        </w:tc>
      </w:tr>
      <w:tr>
        <w:trPr>
          <w:trHeight w:val="198"/>
        </w:trPr>
        <w:tc>
          <w:tcPr>
            <w:tcW w:w="6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w:t>
            </w:r>
          </w:p>
        </w:tc>
        <w:tc>
          <w:tcPr>
            <w:tcW w:w="360" w:type="dxa"/>
            <w:vAlign w:val="bottom"/>
          </w:tcPr>
          <w:p>
            <w:pPr>
              <w:spacing w:after="0"/>
              <w:rPr>
                <w:sz w:val="17"/>
                <w:szCs w:val="17"/>
                <w:color w:val="auto"/>
              </w:rPr>
            </w:pPr>
          </w:p>
        </w:tc>
        <w:tc>
          <w:tcPr>
            <w:tcW w:w="11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400" w:type="dxa"/>
            <w:vAlign w:val="bottom"/>
          </w:tcPr>
          <w:p>
            <w:pPr>
              <w:spacing w:after="0"/>
              <w:rPr>
                <w:sz w:val="17"/>
                <w:szCs w:val="17"/>
                <w:color w:val="auto"/>
              </w:rPr>
            </w:pPr>
          </w:p>
        </w:tc>
        <w:tc>
          <w:tcPr>
            <w:tcW w:w="84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7"/>
              </w:rPr>
              <w:t>=======</w:t>
            </w:r>
          </w:p>
        </w:tc>
      </w:tr>
    </w:tbl>
    <w:p>
      <w:pPr>
        <w:sectPr>
          <w:pgSz w:w="11900" w:h="16838" w:orient="portrait"/>
          <w:cols w:equalWidth="0" w:num="1">
            <w:col w:w="11340"/>
          </w:cols>
          <w:pgMar w:left="240" w:top="142" w:right="319"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7"/>
          <w:szCs w:val="17"/>
          <w:color w:val="auto"/>
        </w:rPr>
        <w:t>[DESCRIPTION] Exhibit 12</w:t>
      </w:r>
    </w:p>
    <w:p>
      <w:pPr>
        <w:spacing w:after="0" w:line="200" w:lineRule="exact"/>
        <w:rPr>
          <w:sz w:val="20"/>
          <w:szCs w:val="20"/>
          <w:color w:val="auto"/>
        </w:rPr>
      </w:pPr>
    </w:p>
    <w:p>
      <w:pPr>
        <w:spacing w:after="0" w:line="201" w:lineRule="exact"/>
        <w:rPr>
          <w:sz w:val="20"/>
          <w:szCs w:val="20"/>
          <w:color w:val="auto"/>
        </w:rPr>
      </w:pPr>
    </w:p>
    <w:p>
      <w:pPr>
        <w:ind w:left="8960"/>
        <w:spacing w:after="0"/>
        <w:rPr>
          <w:sz w:val="20"/>
          <w:szCs w:val="20"/>
          <w:color w:val="auto"/>
        </w:rPr>
      </w:pPr>
      <w:r>
        <w:rPr>
          <w:rFonts w:ascii="Courier New" w:cs="Courier New" w:eastAsia="Courier New" w:hAnsi="Courier New"/>
          <w:sz w:val="17"/>
          <w:szCs w:val="17"/>
          <w:color w:val="auto"/>
        </w:rPr>
        <w:t>EXHIBIT 12</w:t>
      </w:r>
    </w:p>
    <w:p>
      <w:pPr>
        <w:spacing w:after="0" w:line="5" w:lineRule="exact"/>
        <w:rPr>
          <w:sz w:val="20"/>
          <w:szCs w:val="20"/>
          <w:color w:val="auto"/>
        </w:rPr>
      </w:pPr>
    </w:p>
    <w:p>
      <w:pPr>
        <w:ind w:left="89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7"/>
          <w:szCs w:val="17"/>
          <w:color w:val="auto"/>
        </w:rPr>
        <w:t>TEXAS INSTRUMENTS INCORPORATED AND SUBSIDIARIES</w:t>
      </w:r>
    </w:p>
    <w:p>
      <w:pPr>
        <w:spacing w:after="0" w:line="5" w:lineRule="exact"/>
        <w:rPr>
          <w:sz w:val="20"/>
          <w:szCs w:val="20"/>
          <w:color w:val="auto"/>
        </w:rPr>
      </w:pPr>
    </w:p>
    <w:p>
      <w:pPr>
        <w:jc w:val="center"/>
        <w:ind w:right="119"/>
        <w:spacing w:after="0" w:line="246" w:lineRule="auto"/>
        <w:rPr>
          <w:sz w:val="20"/>
          <w:szCs w:val="20"/>
          <w:color w:val="auto"/>
        </w:rPr>
      </w:pPr>
      <w:r>
        <w:rPr>
          <w:rFonts w:ascii="Courier New" w:cs="Courier New" w:eastAsia="Courier New" w:hAnsi="Courier New"/>
          <w:sz w:val="17"/>
          <w:szCs w:val="17"/>
          <w:color w:val="auto"/>
        </w:rPr>
        <w:t>COMPUTATION OF RATIO OF EARNINGS TO FIXED CHARGES AND RATIO OF EARNINGS TO COMBINED FIXED CHARGES AND PREFERRED STOCK DIVIDENDS (Dollars in millions)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60" w:type="dxa"/>
            <w:vAlign w:val="bottom"/>
            <w:gridSpan w:val="4"/>
          </w:tcPr>
          <w:p>
            <w:pPr>
              <w:ind w:left="120"/>
              <w:spacing w:after="0"/>
              <w:rPr>
                <w:sz w:val="20"/>
                <w:szCs w:val="20"/>
                <w:color w:val="auto"/>
              </w:rPr>
            </w:pPr>
            <w:r>
              <w:rPr>
                <w:rFonts w:ascii="Courier New" w:cs="Courier New" w:eastAsia="Courier New" w:hAnsi="Courier New"/>
                <w:sz w:val="17"/>
                <w:szCs w:val="17"/>
                <w:color w:val="auto"/>
                <w:w w:val="99"/>
              </w:rPr>
              <w:t>For Nine Months</w:t>
            </w:r>
          </w:p>
        </w:tc>
      </w:tr>
      <w:tr>
        <w:trPr>
          <w:trHeight w:val="198"/>
        </w:trPr>
        <w:tc>
          <w:tcPr>
            <w:tcW w:w="4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Courier New" w:cs="Courier New" w:eastAsia="Courier New" w:hAnsi="Courier New"/>
                <w:sz w:val="17"/>
                <w:szCs w:val="17"/>
                <w:color w:val="auto"/>
                <w:w w:val="99"/>
              </w:rPr>
              <w:t>Ended Sept. 30</w:t>
            </w:r>
          </w:p>
        </w:tc>
      </w:tr>
      <w:tr>
        <w:trPr>
          <w:trHeight w:val="198"/>
        </w:trPr>
        <w:tc>
          <w:tcPr>
            <w:tcW w:w="4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Courier New" w:cs="Courier New" w:eastAsia="Courier New" w:hAnsi="Courier New"/>
                <w:sz w:val="17"/>
                <w:szCs w:val="17"/>
                <w:color w:val="auto"/>
                <w:w w:val="99"/>
              </w:rPr>
              <w:t>--------------</w:t>
            </w:r>
          </w:p>
        </w:tc>
      </w:tr>
      <w:tr>
        <w:trPr>
          <w:trHeight w:val="198"/>
        </w:trPr>
        <w:tc>
          <w:tcPr>
            <w:tcW w:w="4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1992</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1993</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1994</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1995</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1996</w:t>
            </w:r>
          </w:p>
        </w:tc>
        <w:tc>
          <w:tcPr>
            <w:tcW w:w="22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1996</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1997</w:t>
            </w:r>
          </w:p>
        </w:tc>
      </w:tr>
      <w:tr>
        <w:trPr>
          <w:trHeight w:val="198"/>
        </w:trPr>
        <w:tc>
          <w:tcPr>
            <w:tcW w:w="4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2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r>
      <w:tr>
        <w:trPr>
          <w:trHeight w:val="396"/>
        </w:trPr>
        <w:tc>
          <w:tcPr>
            <w:tcW w:w="4320" w:type="dxa"/>
            <w:vAlign w:val="bottom"/>
          </w:tcPr>
          <w:p>
            <w:pPr>
              <w:spacing w:after="0"/>
              <w:rPr>
                <w:sz w:val="20"/>
                <w:szCs w:val="20"/>
                <w:color w:val="auto"/>
              </w:rPr>
            </w:pPr>
            <w:r>
              <w:rPr>
                <w:rFonts w:ascii="Courier New" w:cs="Courier New" w:eastAsia="Courier New" w:hAnsi="Courier New"/>
                <w:sz w:val="17"/>
                <w:szCs w:val="17"/>
                <w:color w:val="auto"/>
              </w:rPr>
              <w:t>Income (loss) before income taxes</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8"/>
        </w:trPr>
        <w:tc>
          <w:tcPr>
            <w:tcW w:w="4320" w:type="dxa"/>
            <w:vAlign w:val="bottom"/>
          </w:tcPr>
          <w:p>
            <w:pPr>
              <w:ind w:left="220"/>
              <w:spacing w:after="0"/>
              <w:rPr>
                <w:sz w:val="20"/>
                <w:szCs w:val="20"/>
                <w:color w:val="auto"/>
              </w:rPr>
            </w:pPr>
            <w:r>
              <w:rPr>
                <w:rFonts w:ascii="Courier New" w:cs="Courier New" w:eastAsia="Courier New" w:hAnsi="Courier New"/>
                <w:sz w:val="17"/>
                <w:szCs w:val="17"/>
                <w:color w:val="auto"/>
              </w:rPr>
              <w:t>and fixed charges:</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4320" w:type="dxa"/>
            <w:vAlign w:val="bottom"/>
          </w:tcPr>
          <w:p>
            <w:pPr>
              <w:ind w:left="420"/>
              <w:spacing w:after="0"/>
              <w:rPr>
                <w:sz w:val="20"/>
                <w:szCs w:val="20"/>
                <w:color w:val="auto"/>
              </w:rPr>
            </w:pPr>
            <w:r>
              <w:rPr>
                <w:rFonts w:ascii="Courier New" w:cs="Courier New" w:eastAsia="Courier New" w:hAnsi="Courier New"/>
                <w:sz w:val="17"/>
                <w:szCs w:val="17"/>
                <w:color w:val="auto"/>
              </w:rPr>
              <w:t>Income (loss) before cumulative</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4320" w:type="dxa"/>
            <w:vAlign w:val="bottom"/>
          </w:tcPr>
          <w:p>
            <w:pPr>
              <w:ind w:left="620"/>
              <w:spacing w:after="0"/>
              <w:rPr>
                <w:sz w:val="20"/>
                <w:szCs w:val="20"/>
                <w:color w:val="auto"/>
              </w:rPr>
            </w:pPr>
            <w:r>
              <w:rPr>
                <w:rFonts w:ascii="Courier New" w:cs="Courier New" w:eastAsia="Courier New" w:hAnsi="Courier New"/>
                <w:sz w:val="17"/>
                <w:szCs w:val="17"/>
                <w:color w:val="auto"/>
              </w:rPr>
              <w:t>effect of accounting changes,</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4320" w:type="dxa"/>
            <w:vAlign w:val="bottom"/>
          </w:tcPr>
          <w:p>
            <w:pPr>
              <w:ind w:left="620"/>
              <w:spacing w:after="0"/>
              <w:rPr>
                <w:sz w:val="20"/>
                <w:szCs w:val="20"/>
                <w:color w:val="auto"/>
              </w:rPr>
            </w:pPr>
            <w:r>
              <w:rPr>
                <w:rFonts w:ascii="Courier New" w:cs="Courier New" w:eastAsia="Courier New" w:hAnsi="Courier New"/>
                <w:sz w:val="17"/>
                <w:szCs w:val="17"/>
                <w:color w:val="auto"/>
              </w:rPr>
              <w:t>interest expense on loans,</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4320" w:type="dxa"/>
            <w:vAlign w:val="bottom"/>
          </w:tcPr>
          <w:p>
            <w:pPr>
              <w:ind w:left="620"/>
              <w:spacing w:after="0"/>
              <w:rPr>
                <w:sz w:val="20"/>
                <w:szCs w:val="20"/>
                <w:color w:val="auto"/>
              </w:rPr>
            </w:pPr>
            <w:r>
              <w:rPr>
                <w:rFonts w:ascii="Courier New" w:cs="Courier New" w:eastAsia="Courier New" w:hAnsi="Courier New"/>
                <w:sz w:val="17"/>
                <w:szCs w:val="17"/>
                <w:color w:val="auto"/>
              </w:rPr>
              <w:t>capitalized interest amortized,</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4320" w:type="dxa"/>
            <w:vAlign w:val="bottom"/>
          </w:tcPr>
          <w:p>
            <w:pPr>
              <w:ind w:left="620"/>
              <w:spacing w:after="0"/>
              <w:rPr>
                <w:sz w:val="20"/>
                <w:szCs w:val="20"/>
                <w:color w:val="auto"/>
              </w:rPr>
            </w:pPr>
            <w:r>
              <w:rPr>
                <w:rFonts w:ascii="Courier New" w:cs="Courier New" w:eastAsia="Courier New" w:hAnsi="Courier New"/>
                <w:sz w:val="17"/>
                <w:szCs w:val="17"/>
                <w:color w:val="auto"/>
              </w:rPr>
              <w:t>and provision for income taxes.....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242</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561</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943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1,530</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65</w:t>
            </w:r>
          </w:p>
        </w:tc>
        <w:tc>
          <w:tcPr>
            <w:tcW w:w="220" w:type="dxa"/>
            <w:vAlign w:val="bottom"/>
          </w:tcPr>
          <w:p>
            <w:pPr>
              <w:ind w:left="120"/>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102</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955</w:t>
            </w:r>
          </w:p>
        </w:tc>
      </w:tr>
      <w:tr>
        <w:trPr>
          <w:trHeight w:val="198"/>
        </w:trPr>
        <w:tc>
          <w:tcPr>
            <w:tcW w:w="4320" w:type="dxa"/>
            <w:vAlign w:val="bottom"/>
          </w:tcPr>
          <w:p>
            <w:pPr>
              <w:ind w:left="420"/>
              <w:spacing w:after="0"/>
              <w:rPr>
                <w:sz w:val="20"/>
                <w:szCs w:val="20"/>
                <w:color w:val="auto"/>
              </w:rPr>
            </w:pPr>
            <w:r>
              <w:rPr>
                <w:rFonts w:ascii="Courier New" w:cs="Courier New" w:eastAsia="Courier New" w:hAnsi="Courier New"/>
                <w:sz w:val="17"/>
                <w:szCs w:val="17"/>
                <w:color w:val="auto"/>
              </w:rPr>
              <w:t>Add interest attributable to</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4320" w:type="dxa"/>
            <w:vAlign w:val="bottom"/>
          </w:tcPr>
          <w:p>
            <w:pPr>
              <w:ind w:left="620"/>
              <w:spacing w:after="0"/>
              <w:rPr>
                <w:sz w:val="20"/>
                <w:szCs w:val="20"/>
                <w:color w:val="auto"/>
              </w:rPr>
            </w:pPr>
            <w:r>
              <w:rPr>
                <w:rFonts w:ascii="Courier New" w:cs="Courier New" w:eastAsia="Courier New" w:hAnsi="Courier New"/>
                <w:sz w:val="17"/>
                <w:szCs w:val="17"/>
                <w:color w:val="auto"/>
              </w:rPr>
              <w:t>rental and lease expense...........</w:t>
            </w:r>
          </w:p>
        </w:tc>
        <w:tc>
          <w:tcPr>
            <w:tcW w:w="22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42</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38</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40</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41</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44</w:t>
            </w:r>
          </w:p>
        </w:tc>
        <w:tc>
          <w:tcPr>
            <w:tcW w:w="22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33</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31</w:t>
            </w:r>
          </w:p>
        </w:tc>
      </w:tr>
      <w:tr>
        <w:trPr>
          <w:trHeight w:val="198"/>
        </w:trPr>
        <w:tc>
          <w:tcPr>
            <w:tcW w:w="4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2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r>
      <w:tr>
        <w:trPr>
          <w:trHeight w:val="198"/>
        </w:trPr>
        <w:tc>
          <w:tcPr>
            <w:tcW w:w="43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284</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599</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983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1,571</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109</w:t>
            </w:r>
          </w:p>
        </w:tc>
        <w:tc>
          <w:tcPr>
            <w:tcW w:w="220" w:type="dxa"/>
            <w:vAlign w:val="bottom"/>
          </w:tcPr>
          <w:p>
            <w:pPr>
              <w:ind w:left="120"/>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135</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986</w:t>
            </w:r>
          </w:p>
        </w:tc>
      </w:tr>
      <w:tr>
        <w:trPr>
          <w:trHeight w:val="198"/>
        </w:trPr>
        <w:tc>
          <w:tcPr>
            <w:tcW w:w="4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2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r>
      <w:tr>
        <w:trPr>
          <w:trHeight w:val="396"/>
        </w:trPr>
        <w:tc>
          <w:tcPr>
            <w:tcW w:w="4320" w:type="dxa"/>
            <w:vAlign w:val="bottom"/>
          </w:tcPr>
          <w:p>
            <w:pPr>
              <w:spacing w:after="0"/>
              <w:rPr>
                <w:sz w:val="20"/>
                <w:szCs w:val="20"/>
                <w:color w:val="auto"/>
              </w:rPr>
            </w:pPr>
            <w:r>
              <w:rPr>
                <w:rFonts w:ascii="Courier New" w:cs="Courier New" w:eastAsia="Courier New" w:hAnsi="Courier New"/>
                <w:sz w:val="17"/>
                <w:szCs w:val="17"/>
                <w:color w:val="auto"/>
              </w:rPr>
              <w:t>Fixed charges:</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8"/>
        </w:trPr>
        <w:tc>
          <w:tcPr>
            <w:tcW w:w="4320" w:type="dxa"/>
            <w:vAlign w:val="bottom"/>
          </w:tcPr>
          <w:p>
            <w:pPr>
              <w:ind w:left="220"/>
              <w:spacing w:after="0"/>
              <w:rPr>
                <w:sz w:val="20"/>
                <w:szCs w:val="20"/>
                <w:color w:val="auto"/>
              </w:rPr>
            </w:pPr>
            <w:r>
              <w:rPr>
                <w:rFonts w:ascii="Courier New" w:cs="Courier New" w:eastAsia="Courier New" w:hAnsi="Courier New"/>
                <w:sz w:val="17"/>
                <w:szCs w:val="17"/>
                <w:color w:val="auto"/>
              </w:rPr>
              <w:t>Total interest on loans (expensed</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4320" w:type="dxa"/>
            <w:vAlign w:val="bottom"/>
          </w:tcPr>
          <w:p>
            <w:pPr>
              <w:ind w:left="420"/>
              <w:spacing w:after="0"/>
              <w:rPr>
                <w:sz w:val="20"/>
                <w:szCs w:val="20"/>
                <w:color w:val="auto"/>
              </w:rPr>
            </w:pPr>
            <w:r>
              <w:rPr>
                <w:rFonts w:ascii="Courier New" w:cs="Courier New" w:eastAsia="Courier New" w:hAnsi="Courier New"/>
                <w:sz w:val="17"/>
                <w:szCs w:val="17"/>
                <w:color w:val="auto"/>
              </w:rPr>
              <w:t>and capitalized).....................</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57</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55</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58</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69</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108</w:t>
            </w:r>
          </w:p>
        </w:tc>
        <w:tc>
          <w:tcPr>
            <w:tcW w:w="220" w:type="dxa"/>
            <w:vAlign w:val="bottom"/>
          </w:tcPr>
          <w:p>
            <w:pPr>
              <w:ind w:left="120"/>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75</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91</w:t>
            </w:r>
          </w:p>
        </w:tc>
      </w:tr>
      <w:tr>
        <w:trPr>
          <w:trHeight w:val="198"/>
        </w:trPr>
        <w:tc>
          <w:tcPr>
            <w:tcW w:w="4320" w:type="dxa"/>
            <w:vAlign w:val="bottom"/>
          </w:tcPr>
          <w:p>
            <w:pPr>
              <w:ind w:left="220"/>
              <w:spacing w:after="0"/>
              <w:rPr>
                <w:sz w:val="20"/>
                <w:szCs w:val="20"/>
                <w:color w:val="auto"/>
              </w:rPr>
            </w:pPr>
            <w:r>
              <w:rPr>
                <w:rFonts w:ascii="Courier New" w:cs="Courier New" w:eastAsia="Courier New" w:hAnsi="Courier New"/>
                <w:sz w:val="17"/>
                <w:szCs w:val="17"/>
                <w:color w:val="auto"/>
              </w:rPr>
              <w:t>Interest attributable to rental</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4320" w:type="dxa"/>
            <w:vAlign w:val="bottom"/>
          </w:tcPr>
          <w:p>
            <w:pPr>
              <w:ind w:left="420"/>
              <w:spacing w:after="0"/>
              <w:rPr>
                <w:sz w:val="20"/>
                <w:szCs w:val="20"/>
                <w:color w:val="auto"/>
              </w:rPr>
            </w:pPr>
            <w:r>
              <w:rPr>
                <w:rFonts w:ascii="Courier New" w:cs="Courier New" w:eastAsia="Courier New" w:hAnsi="Courier New"/>
                <w:sz w:val="17"/>
                <w:szCs w:val="17"/>
                <w:color w:val="auto"/>
              </w:rPr>
              <w:t>and lease expense....................</w:t>
            </w:r>
          </w:p>
        </w:tc>
        <w:tc>
          <w:tcPr>
            <w:tcW w:w="22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42</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38</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40</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41</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44</w:t>
            </w:r>
          </w:p>
        </w:tc>
        <w:tc>
          <w:tcPr>
            <w:tcW w:w="22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33</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31</w:t>
            </w:r>
          </w:p>
        </w:tc>
      </w:tr>
      <w:tr>
        <w:trPr>
          <w:trHeight w:val="198"/>
        </w:trPr>
        <w:tc>
          <w:tcPr>
            <w:tcW w:w="4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2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r>
      <w:tr>
        <w:trPr>
          <w:trHeight w:val="198"/>
        </w:trPr>
        <w:tc>
          <w:tcPr>
            <w:tcW w:w="4320" w:type="dxa"/>
            <w:vAlign w:val="bottom"/>
          </w:tcPr>
          <w:p>
            <w:pPr>
              <w:spacing w:after="0"/>
              <w:rPr>
                <w:sz w:val="20"/>
                <w:szCs w:val="20"/>
                <w:color w:val="auto"/>
              </w:rPr>
            </w:pPr>
            <w:r>
              <w:rPr>
                <w:rFonts w:ascii="Courier New" w:cs="Courier New" w:eastAsia="Courier New" w:hAnsi="Courier New"/>
                <w:sz w:val="17"/>
                <w:szCs w:val="17"/>
                <w:color w:val="auto"/>
              </w:rPr>
              <w:t>Fixed charges............................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99</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98</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110</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152</w:t>
            </w:r>
          </w:p>
        </w:tc>
        <w:tc>
          <w:tcPr>
            <w:tcW w:w="220" w:type="dxa"/>
            <w:vAlign w:val="bottom"/>
          </w:tcPr>
          <w:p>
            <w:pPr>
              <w:ind w:left="120"/>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108</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122</w:t>
            </w:r>
          </w:p>
        </w:tc>
      </w:tr>
      <w:tr>
        <w:trPr>
          <w:trHeight w:val="198"/>
        </w:trPr>
        <w:tc>
          <w:tcPr>
            <w:tcW w:w="4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2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r>
      <w:tr>
        <w:trPr>
          <w:trHeight w:val="396"/>
        </w:trPr>
        <w:tc>
          <w:tcPr>
            <w:tcW w:w="4320" w:type="dxa"/>
            <w:vAlign w:val="bottom"/>
          </w:tcPr>
          <w:p>
            <w:pPr>
              <w:spacing w:after="0"/>
              <w:rPr>
                <w:sz w:val="20"/>
                <w:szCs w:val="20"/>
                <w:color w:val="auto"/>
              </w:rPr>
            </w:pPr>
            <w:r>
              <w:rPr>
                <w:rFonts w:ascii="Courier New" w:cs="Courier New" w:eastAsia="Courier New" w:hAnsi="Courier New"/>
                <w:sz w:val="17"/>
                <w:szCs w:val="17"/>
                <w:color w:val="auto"/>
              </w:rPr>
              <w:t>Combined fixed charges and</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8"/>
        </w:trPr>
        <w:tc>
          <w:tcPr>
            <w:tcW w:w="4320" w:type="dxa"/>
            <w:vAlign w:val="bottom"/>
          </w:tcPr>
          <w:p>
            <w:pPr>
              <w:ind w:left="220"/>
              <w:spacing w:after="0"/>
              <w:rPr>
                <w:sz w:val="20"/>
                <w:szCs w:val="20"/>
                <w:color w:val="auto"/>
              </w:rPr>
            </w:pPr>
            <w:r>
              <w:rPr>
                <w:rFonts w:ascii="Courier New" w:cs="Courier New" w:eastAsia="Courier New" w:hAnsi="Courier New"/>
                <w:sz w:val="17"/>
                <w:szCs w:val="17"/>
                <w:color w:val="auto"/>
              </w:rPr>
              <w:t>preferred stock dividends:</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4320" w:type="dxa"/>
            <w:vAlign w:val="bottom"/>
          </w:tcPr>
          <w:p>
            <w:pPr>
              <w:ind w:left="420"/>
              <w:spacing w:after="0"/>
              <w:rPr>
                <w:sz w:val="20"/>
                <w:szCs w:val="20"/>
                <w:color w:val="auto"/>
              </w:rPr>
            </w:pPr>
            <w:r>
              <w:rPr>
                <w:rFonts w:ascii="Courier New" w:cs="Courier New" w:eastAsia="Courier New" w:hAnsi="Courier New"/>
                <w:sz w:val="17"/>
                <w:szCs w:val="17"/>
                <w:color w:val="auto"/>
              </w:rPr>
              <w:t>Fixed charges........................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99</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98</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110</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152</w:t>
            </w:r>
          </w:p>
        </w:tc>
        <w:tc>
          <w:tcPr>
            <w:tcW w:w="220" w:type="dxa"/>
            <w:vAlign w:val="bottom"/>
          </w:tcPr>
          <w:p>
            <w:pPr>
              <w:ind w:left="120"/>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108</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122</w:t>
            </w:r>
          </w:p>
        </w:tc>
      </w:tr>
      <w:tr>
        <w:trPr>
          <w:trHeight w:val="198"/>
        </w:trPr>
        <w:tc>
          <w:tcPr>
            <w:tcW w:w="4320" w:type="dxa"/>
            <w:vAlign w:val="bottom"/>
          </w:tcPr>
          <w:p>
            <w:pPr>
              <w:ind w:left="420"/>
              <w:spacing w:after="0"/>
              <w:rPr>
                <w:sz w:val="20"/>
                <w:szCs w:val="20"/>
                <w:color w:val="auto"/>
              </w:rPr>
            </w:pPr>
            <w:r>
              <w:rPr>
                <w:rFonts w:ascii="Courier New" w:cs="Courier New" w:eastAsia="Courier New" w:hAnsi="Courier New"/>
                <w:sz w:val="17"/>
                <w:szCs w:val="17"/>
                <w:color w:val="auto"/>
              </w:rPr>
              <w:t>Preferred stock dividends</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4320" w:type="dxa"/>
            <w:vAlign w:val="bottom"/>
          </w:tcPr>
          <w:p>
            <w:pPr>
              <w:ind w:left="520"/>
              <w:spacing w:after="0"/>
              <w:rPr>
                <w:sz w:val="20"/>
                <w:szCs w:val="20"/>
                <w:color w:val="auto"/>
              </w:rPr>
            </w:pPr>
            <w:r>
              <w:rPr>
                <w:rFonts w:ascii="Courier New" w:cs="Courier New" w:eastAsia="Courier New" w:hAnsi="Courier New"/>
                <w:sz w:val="17"/>
                <w:szCs w:val="17"/>
                <w:color w:val="auto"/>
              </w:rPr>
              <w:t>(adjusted as appropriate to a</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4320" w:type="dxa"/>
            <w:vAlign w:val="bottom"/>
          </w:tcPr>
          <w:p>
            <w:pPr>
              <w:ind w:left="620"/>
              <w:spacing w:after="0"/>
              <w:rPr>
                <w:sz w:val="20"/>
                <w:szCs w:val="20"/>
                <w:color w:val="auto"/>
              </w:rPr>
            </w:pPr>
            <w:r>
              <w:rPr>
                <w:rFonts w:ascii="Courier New" w:cs="Courier New" w:eastAsia="Courier New" w:hAnsi="Courier New"/>
                <w:sz w:val="17"/>
                <w:szCs w:val="17"/>
                <w:color w:val="auto"/>
              </w:rPr>
              <w:t>pretax equivalent basis)...........</w:t>
            </w:r>
          </w:p>
        </w:tc>
        <w:tc>
          <w:tcPr>
            <w:tcW w:w="22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55</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29</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2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r>
      <w:tr>
        <w:trPr>
          <w:trHeight w:val="198"/>
        </w:trPr>
        <w:tc>
          <w:tcPr>
            <w:tcW w:w="4320" w:type="dxa"/>
            <w:vAlign w:val="bottom"/>
          </w:tcPr>
          <w:p>
            <w:pPr>
              <w:ind w:left="420"/>
              <w:spacing w:after="0"/>
              <w:rPr>
                <w:sz w:val="20"/>
                <w:szCs w:val="20"/>
                <w:color w:val="auto"/>
              </w:rPr>
            </w:pPr>
            <w:r>
              <w:rPr>
                <w:rFonts w:ascii="Courier New" w:cs="Courier New" w:eastAsia="Courier New" w:hAnsi="Courier New"/>
                <w:sz w:val="17"/>
                <w:szCs w:val="17"/>
                <w:color w:val="auto"/>
              </w:rPr>
              <w:t>Combined fixed charges and</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4320" w:type="dxa"/>
            <w:vAlign w:val="bottom"/>
          </w:tcPr>
          <w:p>
            <w:pPr>
              <w:ind w:left="620"/>
              <w:spacing w:after="0"/>
              <w:rPr>
                <w:sz w:val="20"/>
                <w:szCs w:val="20"/>
                <w:color w:val="auto"/>
              </w:rPr>
            </w:pPr>
            <w:r>
              <w:rPr>
                <w:rFonts w:ascii="Courier New" w:cs="Courier New" w:eastAsia="Courier New" w:hAnsi="Courier New"/>
                <w:sz w:val="17"/>
                <w:szCs w:val="17"/>
                <w:color w:val="auto"/>
              </w:rPr>
              <w:t>preferred stock dividends..........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154</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122</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98</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110</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152</w:t>
            </w:r>
          </w:p>
        </w:tc>
        <w:tc>
          <w:tcPr>
            <w:tcW w:w="220" w:type="dxa"/>
            <w:vAlign w:val="bottom"/>
          </w:tcPr>
          <w:p>
            <w:pPr>
              <w:ind w:left="120"/>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108</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122</w:t>
            </w:r>
          </w:p>
        </w:tc>
      </w:tr>
      <w:tr>
        <w:trPr>
          <w:trHeight w:val="198"/>
        </w:trPr>
        <w:tc>
          <w:tcPr>
            <w:tcW w:w="4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2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r>
      <w:tr>
        <w:trPr>
          <w:trHeight w:val="396"/>
        </w:trPr>
        <w:tc>
          <w:tcPr>
            <w:tcW w:w="4320" w:type="dxa"/>
            <w:vAlign w:val="bottom"/>
          </w:tcPr>
          <w:p>
            <w:pPr>
              <w:spacing w:after="0"/>
              <w:rPr>
                <w:sz w:val="20"/>
                <w:szCs w:val="20"/>
                <w:color w:val="auto"/>
              </w:rPr>
            </w:pPr>
            <w:r>
              <w:rPr>
                <w:rFonts w:ascii="Courier New" w:cs="Courier New" w:eastAsia="Courier New" w:hAnsi="Courier New"/>
                <w:sz w:val="17"/>
                <w:szCs w:val="17"/>
                <w:color w:val="auto"/>
              </w:rPr>
              <w:t>Ratio of earnings to fixed charges.......</w:t>
            </w:r>
          </w:p>
        </w:tc>
        <w:tc>
          <w:tcPr>
            <w:tcW w:w="22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2.9</w:t>
            </w:r>
          </w:p>
        </w:tc>
        <w:tc>
          <w:tcPr>
            <w:tcW w:w="20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6.4</w:t>
            </w:r>
          </w:p>
        </w:tc>
        <w:tc>
          <w:tcPr>
            <w:tcW w:w="20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10.0</w:t>
            </w:r>
          </w:p>
        </w:tc>
        <w:tc>
          <w:tcPr>
            <w:tcW w:w="20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14.3</w:t>
            </w:r>
          </w:p>
        </w:tc>
        <w:tc>
          <w:tcPr>
            <w:tcW w:w="20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24"/>
                <w:szCs w:val="24"/>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1.3</w:t>
            </w:r>
          </w:p>
        </w:tc>
        <w:tc>
          <w:tcPr>
            <w:tcW w:w="20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8.1</w:t>
            </w:r>
          </w:p>
        </w:tc>
      </w:tr>
      <w:tr>
        <w:trPr>
          <w:trHeight w:val="198"/>
        </w:trPr>
        <w:tc>
          <w:tcPr>
            <w:tcW w:w="4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2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r>
      <w:tr>
        <w:trPr>
          <w:trHeight w:val="396"/>
        </w:trPr>
        <w:tc>
          <w:tcPr>
            <w:tcW w:w="4320" w:type="dxa"/>
            <w:vAlign w:val="bottom"/>
          </w:tcPr>
          <w:p>
            <w:pPr>
              <w:spacing w:after="0"/>
              <w:rPr>
                <w:sz w:val="20"/>
                <w:szCs w:val="20"/>
                <w:color w:val="auto"/>
              </w:rPr>
            </w:pPr>
            <w:r>
              <w:rPr>
                <w:rFonts w:ascii="Courier New" w:cs="Courier New" w:eastAsia="Courier New" w:hAnsi="Courier New"/>
                <w:sz w:val="17"/>
                <w:szCs w:val="17"/>
                <w:color w:val="auto"/>
              </w:rPr>
              <w:t>Ratio of earnings to combined</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8"/>
        </w:trPr>
        <w:tc>
          <w:tcPr>
            <w:tcW w:w="4320" w:type="dxa"/>
            <w:vAlign w:val="bottom"/>
          </w:tcPr>
          <w:p>
            <w:pPr>
              <w:ind w:left="220"/>
              <w:spacing w:after="0"/>
              <w:rPr>
                <w:sz w:val="20"/>
                <w:szCs w:val="20"/>
                <w:color w:val="auto"/>
              </w:rPr>
            </w:pPr>
            <w:r>
              <w:rPr>
                <w:rFonts w:ascii="Courier New" w:cs="Courier New" w:eastAsia="Courier New" w:hAnsi="Courier New"/>
                <w:sz w:val="17"/>
                <w:szCs w:val="17"/>
                <w:color w:val="auto"/>
              </w:rPr>
              <w:t>fixed charges and preferred</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4320" w:type="dxa"/>
            <w:vAlign w:val="bottom"/>
          </w:tcPr>
          <w:p>
            <w:pPr>
              <w:ind w:left="220"/>
              <w:spacing w:after="0"/>
              <w:rPr>
                <w:sz w:val="20"/>
                <w:szCs w:val="20"/>
                <w:color w:val="auto"/>
              </w:rPr>
            </w:pPr>
            <w:r>
              <w:rPr>
                <w:rFonts w:ascii="Courier New" w:cs="Courier New" w:eastAsia="Courier New" w:hAnsi="Courier New"/>
                <w:sz w:val="17"/>
                <w:szCs w:val="17"/>
                <w:color w:val="auto"/>
              </w:rPr>
              <w:t>stock dividends........................</w:t>
            </w:r>
          </w:p>
        </w:tc>
        <w:tc>
          <w:tcPr>
            <w:tcW w:w="22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1.8</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4.9</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10.0</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14.3</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1.3</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8.1</w:t>
            </w:r>
          </w:p>
        </w:tc>
      </w:tr>
      <w:tr>
        <w:trPr>
          <w:trHeight w:val="198"/>
        </w:trPr>
        <w:tc>
          <w:tcPr>
            <w:tcW w:w="4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2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r>
    </w:tbl>
    <w:p>
      <w:pPr>
        <w:spacing w:after="0" w:line="200" w:lineRule="exact"/>
        <w:rPr>
          <w:sz w:val="20"/>
          <w:szCs w:val="20"/>
          <w:color w:val="auto"/>
        </w:rPr>
      </w:pPr>
    </w:p>
    <w:p>
      <w:pPr>
        <w:spacing w:after="0" w:line="201"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17"/>
          <w:szCs w:val="17"/>
          <w:color w:val="auto"/>
        </w:rPr>
        <w:t>* Not meaningful.</w:t>
        <w:tab/>
        <w:t>The coverage deficiency was $43 million in 1996.</w:t>
      </w:r>
    </w:p>
    <w:p>
      <w:pPr>
        <w:sectPr>
          <w:pgSz w:w="11900" w:h="16838" w:orient="portrait"/>
          <w:cols w:equalWidth="0" w:num="1">
            <w:col w:w="10219"/>
          </w:cols>
          <w:pgMar w:left="240" w:top="142" w:right="1440" w:bottom="1440" w:gutter="0" w:footer="0" w:header="0"/>
        </w:sectPr>
      </w:pPr>
    </w:p>
    <w:bookmarkStart w:id="16" w:name="page17"/>
    <w:bookmarkEnd w:id="16"/>
    <w:p>
      <w:pPr>
        <w:ind w:left="60"/>
        <w:spacing w:after="0"/>
        <w:rPr>
          <w:sz w:val="20"/>
          <w:szCs w:val="20"/>
          <w:color w:val="auto"/>
        </w:rPr>
      </w:pPr>
      <w:r>
        <w:rPr>
          <w:rFonts w:ascii="Courier New" w:cs="Courier New" w:eastAsia="Courier New" w:hAnsi="Courier New"/>
          <w:sz w:val="17"/>
          <w:szCs w:val="17"/>
          <w:color w:val="auto"/>
        </w:rPr>
        <w:t>5</w:t>
      </w:r>
    </w:p>
    <w:p>
      <w:pPr>
        <w:spacing w:after="0" w:line="203" w:lineRule="exact"/>
        <w:rPr>
          <w:sz w:val="20"/>
          <w:szCs w:val="20"/>
          <w:color w:val="auto"/>
        </w:rPr>
      </w:pPr>
    </w:p>
    <w:p>
      <w:pPr>
        <w:ind w:right="2879"/>
        <w:spacing w:after="0" w:line="246" w:lineRule="auto"/>
        <w:rPr>
          <w:sz w:val="20"/>
          <w:szCs w:val="20"/>
          <w:color w:val="auto"/>
        </w:rPr>
      </w:pPr>
      <w:r>
        <w:rPr>
          <w:rFonts w:ascii="Courier New" w:cs="Courier New" w:eastAsia="Courier New" w:hAnsi="Courier New"/>
          <w:sz w:val="17"/>
          <w:szCs w:val="17"/>
          <w:color w:val="auto"/>
        </w:rPr>
        <w:t>This schedule contains summary financial information extracted from THE CONSOLIDATED FINANCIAL STATEMENTS OF TEXAS INSTRUMENTS INCORPORATED AND SUBSIDIARIES AS OF SEPTEMBER 30, 1997, AND FOR THE NINE MONTHS THEN ENDED, and is qualified in its entirety by reference to such financial statements.</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1,000,000</w:t>
      </w:r>
    </w:p>
    <w:p>
      <w:pPr>
        <w:spacing w:after="0" w:line="200" w:lineRule="exact"/>
        <w:rPr>
          <w:sz w:val="20"/>
          <w:szCs w:val="20"/>
          <w:color w:val="auto"/>
        </w:rPr>
      </w:pPr>
    </w:p>
    <w:p>
      <w:pPr>
        <w:spacing w:after="0" w:line="20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9-MOS</w:t>
      </w:r>
    </w:p>
    <w:p>
      <w:pPr>
        <w:spacing w:after="0" w:line="5" w:lineRule="exact"/>
        <w:rPr>
          <w:sz w:val="20"/>
          <w:szCs w:val="20"/>
          <w:color w:val="auto"/>
        </w:rPr>
      </w:pPr>
    </w:p>
    <w:p>
      <w:pPr>
        <w:ind w:left="4800"/>
        <w:spacing w:after="0"/>
        <w:rPr>
          <w:sz w:val="20"/>
          <w:szCs w:val="20"/>
          <w:color w:val="auto"/>
        </w:rPr>
      </w:pPr>
      <w:r>
        <w:rPr>
          <w:rFonts w:ascii="Courier New" w:cs="Courier New" w:eastAsia="Courier New" w:hAnsi="Courier New"/>
          <w:sz w:val="17"/>
          <w:szCs w:val="17"/>
          <w:color w:val="auto"/>
        </w:rPr>
        <w:t>DEC-31-1997</w:t>
      </w:r>
    </w:p>
    <w:p>
      <w:pPr>
        <w:spacing w:after="0" w:line="5" w:lineRule="exact"/>
        <w:rPr>
          <w:sz w:val="20"/>
          <w:szCs w:val="20"/>
          <w:color w:val="auto"/>
        </w:rPr>
      </w:pPr>
    </w:p>
    <w:p>
      <w:pPr>
        <w:ind w:left="5320"/>
        <w:spacing w:after="0"/>
        <w:rPr>
          <w:sz w:val="20"/>
          <w:szCs w:val="20"/>
          <w:color w:val="auto"/>
        </w:rPr>
      </w:pPr>
      <w:r>
        <w:rPr>
          <w:rFonts w:ascii="Courier New" w:cs="Courier New" w:eastAsia="Courier New" w:hAnsi="Courier New"/>
          <w:sz w:val="17"/>
          <w:szCs w:val="17"/>
          <w:color w:val="auto"/>
        </w:rPr>
        <w:t>SEP-30-1997</w:t>
      </w:r>
    </w:p>
    <w:p>
      <w:pPr>
        <w:spacing w:after="0" w:line="5" w:lineRule="exact"/>
        <w:rPr>
          <w:sz w:val="20"/>
          <w:szCs w:val="20"/>
          <w:color w:val="auto"/>
        </w:rPr>
      </w:pPr>
    </w:p>
    <w:p>
      <w:pPr>
        <w:ind w:left="6560"/>
        <w:spacing w:after="0"/>
        <w:rPr>
          <w:sz w:val="20"/>
          <w:szCs w:val="20"/>
          <w:color w:val="auto"/>
        </w:rPr>
      </w:pPr>
      <w:r>
        <w:rPr>
          <w:rFonts w:ascii="Courier New" w:cs="Courier New" w:eastAsia="Courier New" w:hAnsi="Courier New"/>
          <w:sz w:val="17"/>
          <w:szCs w:val="17"/>
          <w:color w:val="auto"/>
        </w:rPr>
        <w:t>2,727</w:t>
      </w:r>
    </w:p>
    <w:p>
      <w:pPr>
        <w:spacing w:after="0" w:line="5" w:lineRule="exact"/>
        <w:rPr>
          <w:sz w:val="20"/>
          <w:szCs w:val="20"/>
          <w:color w:val="auto"/>
        </w:rPr>
      </w:pPr>
    </w:p>
    <w:p>
      <w:pPr>
        <w:ind w:left="5940"/>
        <w:spacing w:after="0"/>
        <w:rPr>
          <w:sz w:val="20"/>
          <w:szCs w:val="20"/>
          <w:color w:val="auto"/>
        </w:rPr>
      </w:pPr>
      <w:r>
        <w:rPr>
          <w:rFonts w:ascii="Courier New" w:cs="Courier New" w:eastAsia="Courier New" w:hAnsi="Courier New"/>
          <w:sz w:val="17"/>
          <w:szCs w:val="17"/>
          <w:color w:val="auto"/>
        </w:rPr>
        <w:t>1,509</w:t>
      </w:r>
    </w:p>
    <w:p>
      <w:pPr>
        <w:spacing w:after="0" w:line="5" w:lineRule="exact"/>
        <w:rPr>
          <w:sz w:val="20"/>
          <w:szCs w:val="20"/>
          <w:color w:val="auto"/>
        </w:rPr>
      </w:pPr>
    </w:p>
    <w:p>
      <w:pPr>
        <w:ind w:left="5840"/>
        <w:spacing w:after="0"/>
        <w:rPr>
          <w:sz w:val="20"/>
          <w:szCs w:val="20"/>
          <w:color w:val="auto"/>
        </w:rPr>
      </w:pPr>
      <w:r>
        <w:rPr>
          <w:rFonts w:ascii="Courier New" w:cs="Courier New" w:eastAsia="Courier New" w:hAnsi="Courier New"/>
          <w:sz w:val="17"/>
          <w:szCs w:val="17"/>
          <w:color w:val="auto"/>
        </w:rPr>
        <w:t>1,766</w:t>
      </w:r>
    </w:p>
    <w:p>
      <w:pPr>
        <w:spacing w:after="0" w:line="5" w:lineRule="exact"/>
        <w:rPr>
          <w:sz w:val="20"/>
          <w:szCs w:val="20"/>
          <w:color w:val="auto"/>
        </w:rPr>
      </w:pPr>
    </w:p>
    <w:p>
      <w:pPr>
        <w:ind w:left="6240"/>
        <w:spacing w:after="0"/>
        <w:rPr>
          <w:sz w:val="20"/>
          <w:szCs w:val="20"/>
          <w:color w:val="auto"/>
        </w:rPr>
      </w:pPr>
      <w:r>
        <w:rPr>
          <w:rFonts w:ascii="Courier New" w:cs="Courier New" w:eastAsia="Courier New" w:hAnsi="Courier New"/>
          <w:sz w:val="17"/>
          <w:szCs w:val="17"/>
          <w:color w:val="auto"/>
        </w:rPr>
        <w:t>66</w:t>
      </w:r>
    </w:p>
    <w:p>
      <w:pPr>
        <w:spacing w:after="0" w:line="5" w:lineRule="exact"/>
        <w:rPr>
          <w:sz w:val="20"/>
          <w:szCs w:val="20"/>
          <w:color w:val="auto"/>
        </w:rPr>
      </w:pPr>
    </w:p>
    <w:p>
      <w:pPr>
        <w:ind w:left="6240"/>
        <w:spacing w:after="0"/>
        <w:rPr>
          <w:sz w:val="20"/>
          <w:szCs w:val="20"/>
          <w:color w:val="auto"/>
        </w:rPr>
      </w:pPr>
      <w:r>
        <w:rPr>
          <w:rFonts w:ascii="Courier New" w:cs="Courier New" w:eastAsia="Courier New" w:hAnsi="Courier New"/>
          <w:sz w:val="17"/>
          <w:szCs w:val="17"/>
          <w:color w:val="auto"/>
        </w:rPr>
        <w:t>758</w:t>
      </w:r>
    </w:p>
    <w:p>
      <w:pPr>
        <w:spacing w:after="0" w:line="5" w:lineRule="exact"/>
        <w:rPr>
          <w:sz w:val="20"/>
          <w:szCs w:val="20"/>
          <w:color w:val="auto"/>
        </w:rPr>
      </w:pPr>
    </w:p>
    <w:p>
      <w:pPr>
        <w:ind w:left="5520"/>
        <w:spacing w:after="0"/>
        <w:rPr>
          <w:sz w:val="20"/>
          <w:szCs w:val="20"/>
          <w:color w:val="auto"/>
        </w:rPr>
      </w:pPr>
      <w:r>
        <w:rPr>
          <w:rFonts w:ascii="Courier New" w:cs="Courier New" w:eastAsia="Courier New" w:hAnsi="Courier New"/>
          <w:sz w:val="17"/>
          <w:szCs w:val="17"/>
          <w:color w:val="auto"/>
        </w:rPr>
        <w:t>7,342</w:t>
      </w:r>
    </w:p>
    <w:p>
      <w:pPr>
        <w:spacing w:after="0" w:line="5" w:lineRule="exact"/>
        <w:rPr>
          <w:sz w:val="20"/>
          <w:szCs w:val="20"/>
          <w:color w:val="auto"/>
        </w:rPr>
      </w:pPr>
    </w:p>
    <w:p>
      <w:pPr>
        <w:ind w:left="6560"/>
        <w:spacing w:after="0"/>
        <w:rPr>
          <w:sz w:val="20"/>
          <w:szCs w:val="20"/>
          <w:color w:val="auto"/>
        </w:rPr>
      </w:pPr>
      <w:r>
        <w:rPr>
          <w:rFonts w:ascii="Courier New" w:cs="Courier New" w:eastAsia="Courier New" w:hAnsi="Courier New"/>
          <w:sz w:val="17"/>
          <w:szCs w:val="17"/>
          <w:color w:val="auto"/>
        </w:rPr>
        <w:t>7,212</w:t>
      </w:r>
    </w:p>
    <w:p>
      <w:pPr>
        <w:spacing w:after="0" w:line="5" w:lineRule="exact"/>
        <w:rPr>
          <w:sz w:val="20"/>
          <w:szCs w:val="20"/>
          <w:color w:val="auto"/>
        </w:rPr>
      </w:pPr>
    </w:p>
    <w:p>
      <w:pPr>
        <w:ind w:left="5740"/>
        <w:spacing w:after="0"/>
        <w:rPr>
          <w:sz w:val="20"/>
          <w:szCs w:val="20"/>
          <w:color w:val="auto"/>
        </w:rPr>
      </w:pPr>
      <w:r>
        <w:rPr>
          <w:rFonts w:ascii="Courier New" w:cs="Courier New" w:eastAsia="Courier New" w:hAnsi="Courier New"/>
          <w:sz w:val="17"/>
          <w:szCs w:val="17"/>
          <w:color w:val="auto"/>
        </w:rPr>
        <w:t>3,054</w:t>
      </w:r>
    </w:p>
    <w:p>
      <w:pPr>
        <w:spacing w:after="0" w:line="5" w:lineRule="exact"/>
        <w:rPr>
          <w:sz w:val="20"/>
          <w:szCs w:val="20"/>
          <w:color w:val="auto"/>
        </w:rPr>
      </w:pPr>
    </w:p>
    <w:p>
      <w:pPr>
        <w:ind w:left="5620"/>
        <w:spacing w:after="0"/>
        <w:rPr>
          <w:sz w:val="20"/>
          <w:szCs w:val="20"/>
          <w:color w:val="auto"/>
        </w:rPr>
      </w:pPr>
      <w:r>
        <w:rPr>
          <w:rFonts w:ascii="Courier New" w:cs="Courier New" w:eastAsia="Courier New" w:hAnsi="Courier New"/>
          <w:sz w:val="17"/>
          <w:szCs w:val="17"/>
          <w:color w:val="auto"/>
        </w:rPr>
        <w:t>12,074</w:t>
      </w:r>
    </w:p>
    <w:p>
      <w:pPr>
        <w:spacing w:after="0" w:line="5"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7"/>
          <w:szCs w:val="17"/>
          <w:color w:val="auto"/>
        </w:rPr>
        <w:t>3,069</w:t>
      </w:r>
    </w:p>
    <w:p>
      <w:pPr>
        <w:spacing w:after="0" w:line="5" w:lineRule="exact"/>
        <w:rPr>
          <w:sz w:val="20"/>
          <w:szCs w:val="20"/>
          <w:color w:val="auto"/>
        </w:rPr>
      </w:pPr>
    </w:p>
    <w:p>
      <w:pPr>
        <w:ind w:left="6460"/>
        <w:spacing w:after="0"/>
        <w:rPr>
          <w:sz w:val="20"/>
          <w:szCs w:val="20"/>
          <w:color w:val="auto"/>
        </w:rPr>
      </w:pPr>
      <w:r>
        <w:rPr>
          <w:rFonts w:ascii="Courier New" w:cs="Courier New" w:eastAsia="Courier New" w:hAnsi="Courier New"/>
          <w:sz w:val="17"/>
          <w:szCs w:val="17"/>
          <w:color w:val="auto"/>
        </w:rPr>
        <w:t>1,540</w:t>
      </w:r>
    </w:p>
    <w:p>
      <w:pPr>
        <w:spacing w:after="0" w:line="5" w:lineRule="exact"/>
        <w:rPr>
          <w:sz w:val="20"/>
          <w:szCs w:val="20"/>
          <w:color w:val="auto"/>
        </w:rPr>
      </w:pPr>
    </w:p>
    <w:p>
      <w:pPr>
        <w:ind w:left="542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646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6560"/>
        <w:spacing w:after="0"/>
        <w:rPr>
          <w:sz w:val="20"/>
          <w:szCs w:val="20"/>
          <w:color w:val="auto"/>
        </w:rPr>
      </w:pPr>
      <w:r>
        <w:rPr>
          <w:rFonts w:ascii="Courier New" w:cs="Courier New" w:eastAsia="Courier New" w:hAnsi="Courier New"/>
          <w:sz w:val="17"/>
          <w:szCs w:val="17"/>
          <w:color w:val="auto"/>
        </w:rPr>
        <w:t>195</w:t>
      </w:r>
    </w:p>
    <w:p>
      <w:pPr>
        <w:spacing w:after="0" w:line="5" w:lineRule="exact"/>
        <w:rPr>
          <w:sz w:val="20"/>
          <w:szCs w:val="20"/>
          <w:color w:val="auto"/>
        </w:rPr>
      </w:pPr>
    </w:p>
    <w:p>
      <w:pPr>
        <w:ind w:left="6140"/>
        <w:spacing w:after="0"/>
        <w:rPr>
          <w:sz w:val="20"/>
          <w:szCs w:val="20"/>
          <w:color w:val="auto"/>
        </w:rPr>
      </w:pPr>
      <w:r>
        <w:rPr>
          <w:rFonts w:ascii="Courier New" w:cs="Courier New" w:eastAsia="Courier New" w:hAnsi="Courier New"/>
          <w:sz w:val="17"/>
          <w:szCs w:val="17"/>
          <w:color w:val="auto"/>
        </w:rPr>
        <w:t>6,125</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12,074</w:t>
      </w:r>
    </w:p>
    <w:p>
      <w:pPr>
        <w:spacing w:after="0" w:line="5" w:lineRule="exact"/>
        <w:rPr>
          <w:sz w:val="20"/>
          <w:szCs w:val="20"/>
          <w:color w:val="auto"/>
        </w:rPr>
      </w:pPr>
    </w:p>
    <w:p>
      <w:pPr>
        <w:ind w:left="6460"/>
        <w:spacing w:after="0"/>
        <w:rPr>
          <w:sz w:val="20"/>
          <w:szCs w:val="20"/>
          <w:color w:val="auto"/>
        </w:rPr>
      </w:pPr>
      <w:r>
        <w:rPr>
          <w:rFonts w:ascii="Courier New" w:cs="Courier New" w:eastAsia="Courier New" w:hAnsi="Courier New"/>
          <w:sz w:val="17"/>
          <w:szCs w:val="17"/>
          <w:color w:val="auto"/>
        </w:rPr>
        <w:t>7,322</w:t>
      </w:r>
    </w:p>
    <w:p>
      <w:pPr>
        <w:spacing w:after="0" w:line="5" w:lineRule="exact"/>
        <w:rPr>
          <w:sz w:val="20"/>
          <w:szCs w:val="20"/>
          <w:color w:val="auto"/>
        </w:rPr>
      </w:pPr>
    </w:p>
    <w:p>
      <w:pPr>
        <w:ind w:left="5520"/>
        <w:spacing w:after="0"/>
        <w:rPr>
          <w:sz w:val="20"/>
          <w:szCs w:val="20"/>
          <w:color w:val="auto"/>
        </w:rPr>
      </w:pPr>
      <w:r>
        <w:rPr>
          <w:rFonts w:ascii="Courier New" w:cs="Courier New" w:eastAsia="Courier New" w:hAnsi="Courier New"/>
          <w:sz w:val="17"/>
          <w:szCs w:val="17"/>
          <w:color w:val="auto"/>
        </w:rPr>
        <w:t>7,322</w:t>
      </w:r>
    </w:p>
    <w:p>
      <w:pPr>
        <w:spacing w:after="0" w:line="5" w:lineRule="exact"/>
        <w:rPr>
          <w:sz w:val="20"/>
          <w:szCs w:val="20"/>
          <w:color w:val="auto"/>
        </w:rPr>
      </w:pPr>
    </w:p>
    <w:p>
      <w:pPr>
        <w:ind w:left="6660"/>
        <w:spacing w:after="0"/>
        <w:rPr>
          <w:sz w:val="20"/>
          <w:szCs w:val="20"/>
          <w:color w:val="auto"/>
        </w:rPr>
      </w:pPr>
      <w:r>
        <w:rPr>
          <w:rFonts w:ascii="Courier New" w:cs="Courier New" w:eastAsia="Courier New" w:hAnsi="Courier New"/>
          <w:sz w:val="17"/>
          <w:szCs w:val="17"/>
          <w:color w:val="auto"/>
        </w:rPr>
        <w:t>4,587</w:t>
      </w:r>
    </w:p>
    <w:p>
      <w:pPr>
        <w:spacing w:after="0" w:line="5" w:lineRule="exact"/>
        <w:rPr>
          <w:sz w:val="20"/>
          <w:szCs w:val="20"/>
          <w:color w:val="auto"/>
        </w:rPr>
      </w:pPr>
    </w:p>
    <w:p>
      <w:pPr>
        <w:ind w:left="5840"/>
        <w:spacing w:after="0"/>
        <w:rPr>
          <w:sz w:val="20"/>
          <w:szCs w:val="20"/>
          <w:color w:val="auto"/>
        </w:rPr>
      </w:pPr>
      <w:r>
        <w:rPr>
          <w:rFonts w:ascii="Courier New" w:cs="Courier New" w:eastAsia="Courier New" w:hAnsi="Courier New"/>
          <w:sz w:val="17"/>
          <w:szCs w:val="17"/>
          <w:color w:val="auto"/>
        </w:rPr>
        <w:t>4,587</w:t>
      </w:r>
    </w:p>
    <w:p>
      <w:pPr>
        <w:spacing w:after="0" w:line="5" w:lineRule="exact"/>
        <w:rPr>
          <w:sz w:val="20"/>
          <w:szCs w:val="20"/>
          <w:color w:val="auto"/>
        </w:rPr>
      </w:pPr>
    </w:p>
    <w:p>
      <w:pPr>
        <w:ind w:left="5740"/>
        <w:spacing w:after="0"/>
        <w:rPr>
          <w:sz w:val="20"/>
          <w:szCs w:val="20"/>
          <w:color w:val="auto"/>
        </w:rPr>
      </w:pPr>
      <w:r>
        <w:rPr>
          <w:rFonts w:ascii="Courier New" w:cs="Courier New" w:eastAsia="Courier New" w:hAnsi="Courier New"/>
          <w:sz w:val="17"/>
          <w:szCs w:val="17"/>
          <w:color w:val="auto"/>
        </w:rPr>
        <w:t>795</w:t>
      </w:r>
    </w:p>
    <w:p>
      <w:pPr>
        <w:spacing w:after="0" w:line="5" w:lineRule="exact"/>
        <w:rPr>
          <w:sz w:val="20"/>
          <w:szCs w:val="20"/>
          <w:color w:val="auto"/>
        </w:rPr>
      </w:pPr>
    </w:p>
    <w:p>
      <w:pPr>
        <w:ind w:left="594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5620"/>
        <w:spacing w:after="0"/>
        <w:rPr>
          <w:sz w:val="20"/>
          <w:szCs w:val="20"/>
          <w:color w:val="auto"/>
        </w:rPr>
      </w:pPr>
      <w:r>
        <w:rPr>
          <w:rFonts w:ascii="Courier New" w:cs="Courier New" w:eastAsia="Courier New" w:hAnsi="Courier New"/>
          <w:sz w:val="17"/>
          <w:szCs w:val="17"/>
          <w:color w:val="auto"/>
        </w:rPr>
        <w:t>73</w:t>
      </w:r>
    </w:p>
    <w:p>
      <w:pPr>
        <w:spacing w:after="0" w:line="5" w:lineRule="exact"/>
        <w:rPr>
          <w:sz w:val="20"/>
          <w:szCs w:val="20"/>
          <w:color w:val="auto"/>
        </w:rPr>
      </w:pPr>
    </w:p>
    <w:p>
      <w:pPr>
        <w:ind w:left="5840"/>
        <w:spacing w:after="0"/>
        <w:rPr>
          <w:sz w:val="20"/>
          <w:szCs w:val="20"/>
          <w:color w:val="auto"/>
        </w:rPr>
      </w:pPr>
      <w:r>
        <w:rPr>
          <w:rFonts w:ascii="Courier New" w:cs="Courier New" w:eastAsia="Courier New" w:hAnsi="Courier New"/>
          <w:sz w:val="17"/>
          <w:szCs w:val="17"/>
          <w:color w:val="auto"/>
        </w:rPr>
        <w:t>869</w:t>
      </w:r>
    </w:p>
    <w:p>
      <w:pPr>
        <w:spacing w:after="0" w:line="5" w:lineRule="exact"/>
        <w:rPr>
          <w:sz w:val="20"/>
          <w:szCs w:val="20"/>
          <w:color w:val="auto"/>
        </w:rPr>
      </w:pPr>
    </w:p>
    <w:p>
      <w:pPr>
        <w:ind w:left="6140"/>
        <w:spacing w:after="0"/>
        <w:rPr>
          <w:sz w:val="20"/>
          <w:szCs w:val="20"/>
          <w:color w:val="auto"/>
        </w:rPr>
      </w:pPr>
      <w:r>
        <w:rPr>
          <w:rFonts w:ascii="Courier New" w:cs="Courier New" w:eastAsia="Courier New" w:hAnsi="Courier New"/>
          <w:sz w:val="17"/>
          <w:szCs w:val="17"/>
          <w:color w:val="auto"/>
        </w:rPr>
        <w:t>304</w:t>
      </w:r>
    </w:p>
    <w:p>
      <w:pPr>
        <w:spacing w:after="0" w:line="5" w:lineRule="exact"/>
        <w:rPr>
          <w:sz w:val="20"/>
          <w:szCs w:val="20"/>
          <w:color w:val="auto"/>
        </w:rPr>
      </w:pPr>
    </w:p>
    <w:p>
      <w:pPr>
        <w:ind w:left="5420"/>
        <w:spacing w:after="0"/>
        <w:rPr>
          <w:sz w:val="20"/>
          <w:szCs w:val="20"/>
          <w:color w:val="auto"/>
        </w:rPr>
      </w:pPr>
      <w:r>
        <w:rPr>
          <w:rFonts w:ascii="Courier New" w:cs="Courier New" w:eastAsia="Courier New" w:hAnsi="Courier New"/>
          <w:sz w:val="17"/>
          <w:szCs w:val="17"/>
          <w:color w:val="auto"/>
        </w:rPr>
        <w:t>565</w:t>
      </w:r>
    </w:p>
    <w:p>
      <w:pPr>
        <w:spacing w:after="0" w:line="5" w:lineRule="exact"/>
        <w:rPr>
          <w:sz w:val="20"/>
          <w:szCs w:val="20"/>
          <w:color w:val="auto"/>
        </w:rPr>
      </w:pPr>
    </w:p>
    <w:p>
      <w:pPr>
        <w:ind w:left="5740"/>
        <w:spacing w:after="0"/>
        <w:rPr>
          <w:sz w:val="20"/>
          <w:szCs w:val="20"/>
          <w:color w:val="auto"/>
        </w:rPr>
      </w:pPr>
      <w:r>
        <w:rPr>
          <w:rFonts w:ascii="Courier New" w:cs="Courier New" w:eastAsia="Courier New" w:hAnsi="Courier New"/>
          <w:sz w:val="17"/>
          <w:szCs w:val="17"/>
          <w:color w:val="auto"/>
        </w:rPr>
        <w:t>1,525</w:t>
      </w:r>
    </w:p>
    <w:p>
      <w:pPr>
        <w:spacing w:after="0" w:line="5" w:lineRule="exact"/>
        <w:rPr>
          <w:sz w:val="20"/>
          <w:szCs w:val="20"/>
          <w:color w:val="auto"/>
        </w:rPr>
      </w:pPr>
    </w:p>
    <w:p>
      <w:pPr>
        <w:ind w:left="604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666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5940"/>
        <w:spacing w:after="0"/>
        <w:rPr>
          <w:sz w:val="20"/>
          <w:szCs w:val="20"/>
          <w:color w:val="auto"/>
        </w:rPr>
      </w:pPr>
      <w:r>
        <w:rPr>
          <w:rFonts w:ascii="Courier New" w:cs="Courier New" w:eastAsia="Courier New" w:hAnsi="Courier New"/>
          <w:sz w:val="17"/>
          <w:szCs w:val="17"/>
          <w:color w:val="auto"/>
        </w:rPr>
        <w:t>2,090</w:t>
      </w:r>
    </w:p>
    <w:p>
      <w:pPr>
        <w:spacing w:after="0" w:line="5" w:lineRule="exact"/>
        <w:rPr>
          <w:sz w:val="20"/>
          <w:szCs w:val="20"/>
          <w:color w:val="auto"/>
        </w:rPr>
      </w:pPr>
    </w:p>
    <w:p>
      <w:pPr>
        <w:ind w:left="5840"/>
        <w:spacing w:after="0"/>
        <w:rPr>
          <w:sz w:val="20"/>
          <w:szCs w:val="20"/>
          <w:color w:val="auto"/>
        </w:rPr>
      </w:pPr>
      <w:r>
        <w:rPr>
          <w:rFonts w:ascii="Courier New" w:cs="Courier New" w:eastAsia="Courier New" w:hAnsi="Courier New"/>
          <w:sz w:val="17"/>
          <w:szCs w:val="17"/>
          <w:color w:val="auto"/>
        </w:rPr>
        <w:t>10.52</w:t>
      </w:r>
    </w:p>
    <w:p>
      <w:pPr>
        <w:spacing w:after="0" w:line="5" w:lineRule="exact"/>
        <w:rPr>
          <w:sz w:val="20"/>
          <w:szCs w:val="20"/>
          <w:color w:val="auto"/>
        </w:rPr>
      </w:pPr>
    </w:p>
    <w:p>
      <w:pPr>
        <w:ind w:left="6240"/>
        <w:spacing w:after="0"/>
        <w:rPr>
          <w:sz w:val="20"/>
          <w:szCs w:val="20"/>
          <w:color w:val="auto"/>
        </w:rPr>
      </w:pPr>
      <w:r>
        <w:rPr>
          <w:rFonts w:ascii="Courier New" w:cs="Courier New" w:eastAsia="Courier New" w:hAnsi="Courier New"/>
          <w:sz w:val="17"/>
          <w:szCs w:val="17"/>
          <w:color w:val="auto"/>
        </w:rPr>
        <w:t>0</w:t>
      </w:r>
    </w:p>
    <w:sectPr>
      <w:pgSz w:w="11900" w:h="16838" w:orient="portrait"/>
      <w:cols w:equalWidth="0" w:num="1">
        <w:col w:w="10179"/>
      </w:cols>
      <w:pgMar w:left="280" w:top="5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1"/>
    </w:lvl>
    <w:lvl w:ilvl="1">
      <w:lvlJc w:val="left"/>
      <w:lvlText w:val="%2"/>
      <w:numFmt w:val="decimal"/>
      <w:start w:val="27"/>
    </w:lvl>
  </w:abstractNum>
  <w:abstractNum w:abstractNumId="2">
    <w:nsid w:val="2EB141F2"/>
    <w:multiLevelType w:val="hybridMultilevel"/>
    <w:lvl w:ilvl="0">
      <w:lvlJc w:val="left"/>
      <w:lvlText w:val="(%1)"/>
      <w:numFmt w:val="lowerLetter"/>
      <w:start w:val="2"/>
    </w:lvl>
    <w:lvl w:ilvl="1">
      <w:lvlJc w:val="left"/>
      <w:lvlText w:val="%2"/>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4"/>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2019-12-13T07:26:59Z</dcterms:created>
  <dcterms:modified xsi:type="dcterms:W3CDTF">2019-12-13T07:26:59Z</dcterms:modified>
</cp:coreProperties>
</file>