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337820</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243205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2540" w:hanging="545"/>
        <w:spacing w:after="0" w:line="501" w:lineRule="auto"/>
        <w:tabs>
          <w:tab w:leader="none" w:pos="48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September 30, 2011</w:t>
      </w:r>
    </w:p>
    <w:p>
      <w:pPr>
        <w:spacing w:after="0" w:line="81"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39" w:right="239" w:bottom="1440" w:gutter="0" w:footer="0" w:header="0"/>
        </w:sectPr>
      </w:pPr>
    </w:p>
    <w:p>
      <w:pPr>
        <w:spacing w:after="0" w:line="210"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2900" w:space="720"/>
            <w:col w:w="7800"/>
          </w:cols>
          <w:pgMar w:left="240" w:top="639"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TEXAS INSTRUMENTS INCORPORATED</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ectPr>
          <w:pgSz w:w="11900" w:h="16838" w:orient="portrait"/>
          <w:cols w:equalWidth="0" w:num="1">
            <w:col w:w="11420"/>
          </w:cols>
          <w:pgMar w:left="240" w:top="639"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639" w:right="239" w:bottom="1440" w:gutter="0" w:footer="0" w:header="0"/>
          <w:type w:val="continuous"/>
        </w:sectPr>
      </w:pPr>
    </w:p>
    <w:p>
      <w:pPr>
        <w:spacing w:after="0" w:line="183"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12500 TI Boulevard, P.O. Box 660199, Dallas, Texas</w:t>
      </w:r>
    </w:p>
    <w:p>
      <w:pPr>
        <w:spacing w:after="0" w:line="8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75266-0199</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20" w:lineRule="exact"/>
        <w:rPr>
          <w:sz w:val="24"/>
          <w:szCs w:val="24"/>
          <w:color w:val="auto"/>
        </w:rPr>
      </w:pPr>
    </w:p>
    <w:p>
      <w:pPr>
        <w:sectPr>
          <w:pgSz w:w="11900" w:h="16838" w:orient="portrait"/>
          <w:cols w:equalWidth="0" w:num="2">
            <w:col w:w="7420" w:space="720"/>
            <w:col w:w="3280"/>
          </w:cols>
          <w:pgMar w:left="240" w:top="63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108" w:lineRule="exact"/>
        <w:rPr>
          <w:sz w:val="24"/>
          <w:szCs w:val="24"/>
          <w:color w:val="auto"/>
        </w:rPr>
      </w:pPr>
    </w:p>
    <w:p>
      <w:pPr>
        <w:sectPr>
          <w:pgSz w:w="11900" w:h="16838" w:orient="portrait"/>
          <w:cols w:equalWidth="0" w:num="4">
            <w:col w:w="1940" w:space="720"/>
            <w:col w:w="4780" w:space="720"/>
            <w:col w:w="1900" w:space="720"/>
            <w:col w:w="640"/>
          </w:cols>
          <w:pgMar w:left="240" w:top="63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34" w:lineRule="exact"/>
        <w:rPr>
          <w:sz w:val="24"/>
          <w:szCs w:val="24"/>
          <w:color w:val="auto"/>
        </w:rPr>
      </w:pPr>
    </w:p>
    <w:p>
      <w:pPr>
        <w:sectPr>
          <w:pgSz w:w="11900" w:h="16838" w:orient="portrait"/>
          <w:cols w:equalWidth="0" w:num="5">
            <w:col w:w="1940" w:space="720"/>
            <w:col w:w="100" w:space="600"/>
            <w:col w:w="4080" w:space="720"/>
            <w:col w:w="1960" w:space="660"/>
            <w:col w:w="640"/>
          </w:cols>
          <w:pgMar w:left="240" w:top="639"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1,142,649,874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Sept.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3,466</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3,740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10,315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1,722</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5,091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1,744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5,224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5380" w:type="dxa"/>
            <w:vAlign w:val="bottom"/>
          </w:tcPr>
          <w:p>
            <w:pPr>
              <w:ind w:left="40"/>
              <w:spacing w:after="0"/>
              <w:rPr>
                <w:sz w:val="20"/>
                <w:szCs w:val="20"/>
                <w:color w:val="auto"/>
              </w:rPr>
            </w:pPr>
            <w:r>
              <w:rPr>
                <w:rFonts w:ascii="Arial" w:cs="Arial" w:eastAsia="Arial" w:hAnsi="Arial"/>
                <w:sz w:val="18"/>
                <w:szCs w:val="18"/>
                <w:color w:val="auto"/>
              </w:rPr>
              <w:t>Acquisition cost</w:t>
            </w:r>
          </w:p>
        </w:tc>
        <w:tc>
          <w:tcPr>
            <w:tcW w:w="96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780</w:t>
            </w:r>
          </w:p>
        </w:tc>
        <w:tc>
          <w:tcPr>
            <w:tcW w:w="10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1,235</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2,607</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1,157</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1,196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380" w:type="dxa"/>
            <w:vAlign w:val="bottom"/>
          </w:tcPr>
          <w:p>
            <w:pPr>
              <w:spacing w:after="0"/>
              <w:rPr>
                <w:sz w:val="24"/>
                <w:szCs w:val="24"/>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For 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r>
      <w:tr>
        <w:trPr>
          <w:trHeight w:val="234"/>
        </w:trPr>
        <w:tc>
          <w:tcPr>
            <w:tcW w:w="5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Sept. 30,</w:t>
            </w:r>
          </w:p>
        </w:tc>
        <w:tc>
          <w:tcPr>
            <w:tcW w:w="96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34"/>
        </w:trPr>
        <w:tc>
          <w:tcPr>
            <w:tcW w:w="5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53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0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2,286</w:t>
            </w:r>
          </w:p>
        </w:tc>
      </w:tr>
      <w:tr>
        <w:trPr>
          <w:trHeight w:val="27"/>
        </w:trPr>
        <w:tc>
          <w:tcPr>
            <w:tcW w:w="5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gains, net of taxes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84"/>
        </w:trPr>
        <w:tc>
          <w:tcPr>
            <w:tcW w:w="5380" w:type="dxa"/>
            <w:vAlign w:val="bottom"/>
          </w:tcPr>
          <w:p>
            <w:pPr>
              <w:ind w:left="180"/>
              <w:spacing w:after="0"/>
              <w:rPr>
                <w:sz w:val="20"/>
                <w:szCs w:val="20"/>
                <w:color w:val="auto"/>
              </w:rPr>
            </w:pPr>
            <w:r>
              <w:rPr>
                <w:rFonts w:ascii="Arial" w:cs="Arial" w:eastAsia="Arial" w:hAnsi="Arial"/>
                <w:sz w:val="18"/>
                <w:szCs w:val="18"/>
                <w:color w:val="auto"/>
              </w:rPr>
              <w:t>Change in fair value of derivative instrument, net of taxes</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5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53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596</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2,263</w:t>
            </w: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 30,</w:t>
            </w:r>
          </w:p>
        </w:tc>
        <w:tc>
          <w:tcPr>
            <w:tcW w:w="320" w:type="dxa"/>
            <w:vAlign w:val="bottom"/>
          </w:tcPr>
          <w:p>
            <w:pPr>
              <w:spacing w:after="0"/>
              <w:rPr>
                <w:sz w:val="18"/>
                <w:szCs w:val="18"/>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($26) and ($18)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7,716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and current portion of 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3,668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280" w:type="dxa"/>
            <w:vAlign w:val="bottom"/>
          </w:tcPr>
          <w:p>
            <w:pPr>
              <w:spacing w:after="0"/>
              <w:rPr>
                <w:sz w:val="19"/>
                <w:szCs w:val="19"/>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issued.</w:t>
            </w:r>
          </w:p>
        </w:tc>
        <w:tc>
          <w:tcPr>
            <w:tcW w:w="2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Common stock, $1 par value. Authorized – 2,400,000,000 shares. Shares issued: September 30, 2011 –</w:t>
            </w:r>
          </w:p>
        </w:tc>
        <w:tc>
          <w:tcPr>
            <w:tcW w:w="2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1,740,552,451; December 31, 2010 – 1,740,166,101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24,695</w:t>
            </w: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5"/>
              </w:rPr>
              <w:t>Less treasury common stock at cost. Shares: September 30, 2011 – 597,902,577; December 31, 2010 –</w:t>
            </w:r>
          </w:p>
        </w:tc>
        <w:tc>
          <w:tcPr>
            <w:tcW w:w="28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572,722,397</w:t>
            </w:r>
          </w:p>
        </w:tc>
        <w:tc>
          <w:tcPr>
            <w:tcW w:w="2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52"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337" w:right="239" w:bottom="152"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Nine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Sept.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Gains on sales of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2,285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asset sales and insurance recovery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 redemptions and maturities of short-term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 and redemptions of long-term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Issuance costs for long-term debt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Sales and other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increase (decrease) in cash and cash equivalents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480" w:hanging="1510"/>
        <w:spacing w:after="0"/>
        <w:tabs>
          <w:tab w:leader="none" w:pos="24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(89)</w:t>
      </w:r>
    </w:p>
    <w:p>
      <w:pPr>
        <w:spacing w:after="0" w:line="82"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1,319</w:t>
      </w:r>
      <w:r>
        <w:rPr>
          <w:rFonts w:ascii="Arial" w:cs="Arial" w:eastAsia="Arial" w:hAnsi="Arial"/>
          <w:sz w:val="16"/>
          <w:szCs w:val="16"/>
          <w:color w:val="auto"/>
        </w:rPr>
        <w:t>1,182</w:t>
      </w:r>
    </w:p>
    <w:p>
      <w:pPr>
        <w:spacing w:after="0" w:line="90" w:lineRule="exact"/>
        <w:rPr>
          <w:sz w:val="20"/>
          <w:szCs w:val="20"/>
          <w:color w:val="auto"/>
        </w:rPr>
      </w:pPr>
    </w:p>
    <w:p>
      <w:pPr>
        <w:spacing w:after="0"/>
        <w:tabs>
          <w:tab w:leader="none" w:pos="820" w:val="left"/>
          <w:tab w:leader="none" w:pos="1460" w:val="left"/>
          <w:tab w:leader="none" w:pos="22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1,581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7880" w:space="720"/>
            <w:col w:w="2820"/>
          </w:cols>
          <w:pgMar w:left="240" w:top="121"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157" w:lineRule="exact"/>
        <w:rPr>
          <w:sz w:val="20"/>
          <w:szCs w:val="20"/>
          <w:color w:val="auto"/>
        </w:rPr>
      </w:pPr>
    </w:p>
    <w:p>
      <w:pPr>
        <w:ind w:left="320" w:hanging="318"/>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more than 80,000 customers all over the world buy our products.</w:t>
      </w:r>
    </w:p>
    <w:p>
      <w:pPr>
        <w:spacing w:after="0" w:line="170" w:lineRule="exact"/>
        <w:rPr>
          <w:rFonts w:ascii="Arial" w:cs="Arial" w:eastAsia="Arial" w:hAnsi="Arial"/>
          <w:sz w:val="18"/>
          <w:szCs w:val="18"/>
          <w:color w:val="auto"/>
        </w:rPr>
      </w:pPr>
    </w:p>
    <w:p>
      <w:pPr>
        <w:ind w:left="320" w:right="120"/>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The consolidated financial statements have been prepared in accordance with accounting principles generally accepted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(U.S. GAAP) and on the same basis as the audited financial statements included in our annual report on Form 10-K for the year ended December 31, 2010. The consolidated statements of income, statements of comprehensive income and statements of cash flows for the periods ended September 30, 2011 and 2010, and the balance sheet as of September 30, 2011, are not audited but reflect all adjustments that are of a normal recurring nature and are necessary for a fair statement of the results of the periods shown. The consolidated balance sheet as of December 31, 2010,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2010. The results for the three- and nine-month periods are not necessarily indicative of a full year’s results.</w:t>
      </w:r>
    </w:p>
    <w:p>
      <w:pPr>
        <w:spacing w:after="0" w:line="179" w:lineRule="exact"/>
        <w:rPr>
          <w:rFonts w:ascii="Arial" w:cs="Arial" w:eastAsia="Arial" w:hAnsi="Arial"/>
          <w:sz w:val="18"/>
          <w:szCs w:val="18"/>
          <w:color w:val="auto"/>
        </w:rPr>
      </w:pPr>
    </w:p>
    <w:p>
      <w:pPr>
        <w:ind w:left="320" w:right="24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181" w:lineRule="exact"/>
        <w:rPr>
          <w:rFonts w:ascii="Arial" w:cs="Arial" w:eastAsia="Arial" w:hAnsi="Arial"/>
          <w:sz w:val="18"/>
          <w:szCs w:val="18"/>
          <w:color w:val="auto"/>
        </w:rPr>
      </w:pPr>
    </w:p>
    <w:p>
      <w:pPr>
        <w:ind w:left="320" w:right="120"/>
        <w:spacing w:after="0" w:line="308" w:lineRule="auto"/>
        <w:rPr>
          <w:rFonts w:ascii="Arial" w:cs="Arial" w:eastAsia="Arial" w:hAnsi="Arial"/>
          <w:sz w:val="18"/>
          <w:szCs w:val="18"/>
          <w:color w:val="auto"/>
        </w:rPr>
      </w:pPr>
      <w:r>
        <w:rPr>
          <w:rFonts w:ascii="Arial" w:cs="Arial" w:eastAsia="Arial" w:hAnsi="Arial"/>
          <w:sz w:val="17"/>
          <w:szCs w:val="17"/>
          <w:color w:val="auto"/>
        </w:rPr>
        <w:t>On September 23, 2011, we completed the acquisition of National Semiconductor Corporation (National). The consolidated financial statements include the balances and results of operations of National from the date of acquisition. See Note 2 for more detailed information.</w:t>
      </w:r>
    </w:p>
    <w:p>
      <w:pPr>
        <w:spacing w:after="0" w:line="146" w:lineRule="exact"/>
        <w:rPr>
          <w:rFonts w:ascii="Arial" w:cs="Arial" w:eastAsia="Arial" w:hAnsi="Arial"/>
          <w:sz w:val="18"/>
          <w:szCs w:val="18"/>
          <w:color w:val="auto"/>
        </w:rPr>
      </w:pPr>
    </w:p>
    <w:p>
      <w:pPr>
        <w:ind w:left="320" w:right="4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Use of Derivatives and Hedging </w:t>
      </w:r>
      <w:r>
        <w:rPr>
          <w:rFonts w:ascii="Arial" w:cs="Arial" w:eastAsia="Arial" w:hAnsi="Arial"/>
          <w:sz w:val="16"/>
          <w:szCs w:val="16"/>
          <w:color w:val="auto"/>
        </w:rPr>
        <w:t>— In connection with the issuance of long-term debt in May 2011, as more fully described in Note 5, we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swap designated as a hedge of the variability of cash flows related to interest payments on the variable-rate portion of the debt. Gains and losses from changes in the fair value of the interest rate swap are credited or charged to accumulated other comprehensive income (AOCI).</w:t>
      </w:r>
    </w:p>
    <w:p>
      <w:pPr>
        <w:spacing w:after="0" w:line="146" w:lineRule="exact"/>
        <w:rPr>
          <w:rFonts w:ascii="Arial" w:cs="Arial" w:eastAsia="Arial" w:hAnsi="Arial"/>
          <w:sz w:val="18"/>
          <w:szCs w:val="18"/>
          <w:color w:val="auto"/>
        </w:rPr>
      </w:pPr>
    </w:p>
    <w:p>
      <w:pPr>
        <w:ind w:left="320" w:right="20"/>
        <w:spacing w:after="0" w:line="257" w:lineRule="auto"/>
        <w:rPr>
          <w:rFonts w:ascii="Arial" w:cs="Arial" w:eastAsia="Arial" w:hAnsi="Arial"/>
          <w:sz w:val="18"/>
          <w:szCs w:val="18"/>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apply hedge accounting to our foreign currency derivative instruments.</w:t>
      </w:r>
    </w:p>
    <w:p>
      <w:pPr>
        <w:spacing w:after="0" w:line="18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We do not use derivatives for speculative or trading purposes.</w:t>
      </w:r>
    </w:p>
    <w:p>
      <w:pPr>
        <w:spacing w:after="0" w:line="225" w:lineRule="exact"/>
        <w:rPr>
          <w:rFonts w:ascii="Arial" w:cs="Arial" w:eastAsia="Arial" w:hAnsi="Arial"/>
          <w:sz w:val="18"/>
          <w:szCs w:val="18"/>
          <w:color w:val="auto"/>
        </w:rPr>
      </w:pPr>
    </w:p>
    <w:p>
      <w:pPr>
        <w:ind w:left="32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September 30, 2011.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cash equivalents, short-term investments and certain long-term investments are carried at fair value and are discussed in Note 8. The carrying values for other current financial assets and liabilities, such as accounts receivable and accounts payable, approximate fair value due to the short maturity of such instruments. The fair value of our long-term debt approximates the carrying value.</w:t>
      </w:r>
    </w:p>
    <w:p>
      <w:pPr>
        <w:spacing w:after="0" w:line="186" w:lineRule="exact"/>
        <w:rPr>
          <w:rFonts w:ascii="Arial" w:cs="Arial" w:eastAsia="Arial" w:hAnsi="Arial"/>
          <w:sz w:val="18"/>
          <w:szCs w:val="18"/>
          <w:color w:val="auto"/>
        </w:rPr>
      </w:pPr>
    </w:p>
    <w:p>
      <w:pPr>
        <w:ind w:left="320" w:right="3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Accounting Standards Adopted </w:t>
      </w:r>
      <w:r>
        <w:rPr>
          <w:rFonts w:ascii="Arial" w:cs="Arial" w:eastAsia="Arial" w:hAnsi="Arial"/>
          <w:sz w:val="18"/>
          <w:szCs w:val="18"/>
          <w:color w:val="auto"/>
        </w:rPr>
        <w:t>— In October 2009, the Financial Accounting Standards Board (FASB) concurrently issued the following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Updates (ASUs):</w:t>
      </w:r>
    </w:p>
    <w:p>
      <w:pPr>
        <w:spacing w:after="0" w:line="170" w:lineRule="exact"/>
        <w:rPr>
          <w:rFonts w:ascii="Arial" w:cs="Arial" w:eastAsia="Arial" w:hAnsi="Arial"/>
          <w:sz w:val="18"/>
          <w:szCs w:val="18"/>
          <w:color w:val="auto"/>
        </w:rPr>
      </w:pPr>
    </w:p>
    <w:p>
      <w:pPr>
        <w:ind w:left="700" w:right="200" w:hanging="10"/>
        <w:spacing w:after="0" w:line="288" w:lineRule="auto"/>
        <w:tabs>
          <w:tab w:leader="none" w:pos="875"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ASU No. 2009 - 14 -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ind w:left="700" w:right="620" w:hanging="10"/>
        <w:spacing w:after="0" w:line="261" w:lineRule="auto"/>
        <w:tabs>
          <w:tab w:leader="none" w:pos="875"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ASU No. 2009 - 13 - </w:t>
      </w:r>
      <w:r>
        <w:rPr>
          <w:rFonts w:ascii="Arial" w:cs="Arial" w:eastAsia="Arial" w:hAnsi="Arial"/>
          <w:sz w:val="18"/>
          <w:szCs w:val="18"/>
          <w:i w:val="1"/>
          <w:iCs w:val="1"/>
          <w:color w:val="auto"/>
        </w:rPr>
        <w:t>Revenue Recognition (Topic 605): Multiple-Deliverable Revenue Arrangements</w:t>
      </w:r>
      <w:r>
        <w:rPr>
          <w:rFonts w:ascii="Arial" w:cs="Arial" w:eastAsia="Arial" w:hAnsi="Arial"/>
          <w:sz w:val="18"/>
          <w:szCs w:val="18"/>
          <w:color w:val="auto"/>
        </w:rPr>
        <w:t>. This standard modifies the revenue recognition guidance for arrangements that involve the delivery of multiple elements,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121" w:right="239" w:bottom="1440" w:gutter="0" w:footer="0" w:header="0"/>
        </w:sectPr>
      </w:pPr>
    </w:p>
    <w:bookmarkStart w:id="7" w:name="page8"/>
    <w:bookmarkEnd w:id="7"/>
    <w:p>
      <w:pPr>
        <w:ind w:left="712" w:right="120"/>
        <w:spacing w:after="0" w:line="264" w:lineRule="auto"/>
        <w:rPr>
          <w:sz w:val="20"/>
          <w:szCs w:val="20"/>
          <w:color w:val="auto"/>
        </w:rPr>
      </w:pPr>
      <w:r>
        <w:rPr>
          <w:rFonts w:ascii="Arial" w:cs="Arial" w:eastAsia="Arial" w:hAnsi="Arial"/>
          <w:sz w:val="18"/>
          <w:szCs w:val="18"/>
          <w:color w:val="auto"/>
        </w:rPr>
        <w:t>such as product, software, services and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w:t>
      </w:r>
    </w:p>
    <w:p>
      <w:pPr>
        <w:spacing w:after="0" w:line="181" w:lineRule="exact"/>
        <w:rPr>
          <w:sz w:val="20"/>
          <w:szCs w:val="20"/>
          <w:color w:val="auto"/>
        </w:rPr>
      </w:pPr>
    </w:p>
    <w:p>
      <w:pPr>
        <w:ind w:left="332" w:right="100"/>
        <w:spacing w:after="0" w:line="342" w:lineRule="auto"/>
        <w:rPr>
          <w:sz w:val="20"/>
          <w:szCs w:val="20"/>
          <w:color w:val="auto"/>
        </w:rPr>
      </w:pPr>
      <w:r>
        <w:rPr>
          <w:rFonts w:ascii="Arial" w:cs="Arial" w:eastAsia="Arial" w:hAnsi="Arial"/>
          <w:sz w:val="16"/>
          <w:szCs w:val="16"/>
          <w:color w:val="auto"/>
        </w:rPr>
        <w:t>We adopted these standards in the first quarter of 2011 by applying them on a prospective basis to revenue arrangements entered into or materially modified beginning January 1, 2011. The adoption of these standards did not have a significant impact on our financial position or results of operations.</w:t>
      </w:r>
    </w:p>
    <w:p>
      <w:pPr>
        <w:spacing w:after="0" w:line="124" w:lineRule="exact"/>
        <w:rPr>
          <w:sz w:val="20"/>
          <w:szCs w:val="20"/>
          <w:color w:val="auto"/>
        </w:rPr>
      </w:pPr>
    </w:p>
    <w:p>
      <w:pPr>
        <w:ind w:left="332" w:right="20"/>
        <w:spacing w:after="0" w:line="255" w:lineRule="auto"/>
        <w:rPr>
          <w:sz w:val="20"/>
          <w:szCs w:val="20"/>
          <w:color w:val="auto"/>
        </w:rPr>
      </w:pPr>
      <w:r>
        <w:rPr>
          <w:rFonts w:ascii="Arial" w:cs="Arial" w:eastAsia="Arial" w:hAnsi="Arial"/>
          <w:sz w:val="18"/>
          <w:szCs w:val="18"/>
          <w:i w:val="1"/>
          <w:iCs w:val="1"/>
          <w:color w:val="auto"/>
        </w:rPr>
        <w:t xml:space="preserve">New Accounting Standard Not Yet Adopted </w:t>
      </w:r>
      <w:r>
        <w:rPr>
          <w:rFonts w:ascii="Arial" w:cs="Arial" w:eastAsia="Arial" w:hAnsi="Arial"/>
          <w:sz w:val="18"/>
          <w:szCs w:val="18"/>
          <w:color w:val="auto"/>
        </w:rPr>
        <w:t>— In May 2011, the FASB issued ASU No. 2011-04,</w:t>
      </w:r>
      <w:r>
        <w:rPr>
          <w:rFonts w:ascii="Arial" w:cs="Arial" w:eastAsia="Arial" w:hAnsi="Arial"/>
          <w:sz w:val="18"/>
          <w:szCs w:val="18"/>
          <w:i w:val="1"/>
          <w:iCs w:val="1"/>
          <w:color w:val="auto"/>
        </w:rPr>
        <w:t xml:space="preserve"> Fair Value Measurement (Topic 820): Amendments to Achieve Common Fair Value Measurement and Disclosure Requirements in U.S. GAAP and IFRS. </w:t>
      </w:r>
      <w:r>
        <w:rPr>
          <w:rFonts w:ascii="Arial" w:cs="Arial" w:eastAsia="Arial" w:hAnsi="Arial"/>
          <w:sz w:val="18"/>
          <w:szCs w:val="18"/>
          <w:color w:val="auto"/>
        </w:rPr>
        <w:t>This standard results in a common requirement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FASB and the International Accounting Standards Board (IASB) for measuring fair value and for disclosing information about fair value measurements. While this new standard will not affect how we measure or account for assets and liabilities at fair value, the disclosure requirements will be required for interim and annual periods beginning January 1, 2012. There will be no impact to our financial condition or results of operation from the adoption of this new standard.</w:t>
      </w:r>
    </w:p>
    <w:p>
      <w:pPr>
        <w:spacing w:after="0" w:line="193" w:lineRule="exact"/>
        <w:rPr>
          <w:sz w:val="20"/>
          <w:szCs w:val="20"/>
          <w:color w:val="auto"/>
        </w:rPr>
      </w:pPr>
    </w:p>
    <w:p>
      <w:pPr>
        <w:jc w:val="both"/>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National Semiconductor acquisition</w:t>
      </w:r>
      <w:r>
        <w:rPr>
          <w:rFonts w:ascii="Arial" w:cs="Arial" w:eastAsia="Arial" w:hAnsi="Arial"/>
          <w:sz w:val="18"/>
          <w:szCs w:val="18"/>
          <w:color w:val="auto"/>
        </w:rPr>
        <w:t>. On September 23, 2011, we completed the acquisition of 100% of National’s issued and outstanding common stock. National designs, develops, manufactures and markets a wide range of semiconductor products, focusing on providing high-performance energy efficient analog and mixed-signal solutions. The purpose of the acquisition was to grow revenue by combining National’s products with TI’s larger sales force and customer base.</w:t>
      </w:r>
    </w:p>
    <w:p>
      <w:pPr>
        <w:spacing w:after="0" w:line="186" w:lineRule="exact"/>
        <w:rPr>
          <w:rFonts w:ascii="Arial" w:cs="Arial" w:eastAsia="Arial" w:hAnsi="Arial"/>
          <w:sz w:val="18"/>
          <w:szCs w:val="18"/>
          <w:color w:val="auto"/>
        </w:rPr>
      </w:pPr>
    </w:p>
    <w:p>
      <w:pPr>
        <w:ind w:left="332" w:right="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accounted for this transaction under </w:t>
      </w:r>
      <w:r>
        <w:rPr>
          <w:rFonts w:ascii="Arial" w:cs="Arial" w:eastAsia="Arial" w:hAnsi="Arial"/>
          <w:sz w:val="18"/>
          <w:szCs w:val="18"/>
          <w:i w:val="1"/>
          <w:iCs w:val="1"/>
          <w:color w:val="auto"/>
        </w:rPr>
        <w:t>Accounting Standards Codification (ASC) 805 - Business Combinations</w:t>
      </w:r>
      <w:r>
        <w:rPr>
          <w:rFonts w:ascii="Arial" w:cs="Arial" w:eastAsia="Arial" w:hAnsi="Arial"/>
          <w:sz w:val="18"/>
          <w:szCs w:val="18"/>
          <w:color w:val="auto"/>
        </w:rPr>
        <w:t>, and National’s operating results are included in the Analog segment. The amount of National’s revenue included in our consolidated statement of income for the period from the closing date to September 30, 2011, was $18 million.</w:t>
      </w:r>
    </w:p>
    <w:p>
      <w:pPr>
        <w:spacing w:after="0" w:line="181" w:lineRule="exact"/>
        <w:rPr>
          <w:rFonts w:ascii="Arial" w:cs="Arial" w:eastAsia="Arial" w:hAnsi="Arial"/>
          <w:sz w:val="18"/>
          <w:szCs w:val="18"/>
          <w:color w:val="auto"/>
        </w:rPr>
      </w:pPr>
    </w:p>
    <w:p>
      <w:pPr>
        <w:ind w:left="332" w:right="20"/>
        <w:spacing w:after="0" w:line="276" w:lineRule="auto"/>
        <w:rPr>
          <w:rFonts w:ascii="Arial" w:cs="Arial" w:eastAsia="Arial" w:hAnsi="Arial"/>
          <w:sz w:val="18"/>
          <w:szCs w:val="18"/>
          <w:color w:val="auto"/>
        </w:rPr>
      </w:pPr>
      <w:r>
        <w:rPr>
          <w:rFonts w:ascii="Arial" w:cs="Arial" w:eastAsia="Arial" w:hAnsi="Arial"/>
          <w:sz w:val="17"/>
          <w:szCs w:val="17"/>
          <w:color w:val="auto"/>
        </w:rPr>
        <w:t>As of September 30, 2011, the allocation of the consideration transferred to the assets acquired and liabilities assumed from National is not yet complete. The preliminary estimates of fair value by major class of the assets acquired and liabilities assumed at the acquisition date are shown below. Because the acquisition closing was near our September 30 quarter-end date, these amounts are based on preliminary valuations. They include work performed by third-party valuation specialists retained to assist management in its valuation efforts, as well as our own estimates and assumptions. These preliminary fair value estimates are subject to change as valuations are finalized.</w:t>
      </w:r>
    </w:p>
    <w:p>
      <w:pPr>
        <w:spacing w:after="0" w:line="322" w:lineRule="exact"/>
        <w:rPr>
          <w:sz w:val="20"/>
          <w:szCs w:val="20"/>
          <w:color w:val="auto"/>
        </w:rPr>
      </w:pPr>
    </w:p>
    <w:tbl>
      <w:tblPr>
        <w:tblLayout w:type="fixed"/>
        <w:tblInd w:w="332" w:type="dxa"/>
        <w:tblCellMar>
          <w:top w:w="0" w:type="dxa"/>
          <w:left w:w="0" w:type="dxa"/>
          <w:bottom w:w="0" w:type="dxa"/>
          <w:right w:w="0" w:type="dxa"/>
        </w:tblCellMar>
      </w:tblPr>
      <w:tr>
        <w:trPr>
          <w:trHeight w:val="270"/>
        </w:trPr>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Acquired intangible assets (see detail below)</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2,974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Assumed current liabilities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Deferred taxes and other assumed non-current liabilities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gridSpan w:val="3"/>
            <w:vMerge w:val="restart"/>
          </w:tcPr>
          <w:p>
            <w:pPr>
              <w:spacing w:after="0"/>
              <w:rPr>
                <w:sz w:val="20"/>
                <w:szCs w:val="20"/>
                <w:color w:val="auto"/>
              </w:rPr>
            </w:pPr>
            <w:r>
              <w:rPr>
                <w:rFonts w:ascii="Arial" w:cs="Arial" w:eastAsia="Arial" w:hAnsi="Arial"/>
                <w:sz w:val="18"/>
                <w:szCs w:val="18"/>
                <w:color w:val="auto"/>
              </w:rPr>
              <w:t>The acquisition date fair value of the consideration transferred is as follows:</w:t>
            </w: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63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Fair value of vested share-based awards assumed by TI</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63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to National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125" w:right="279" w:bottom="1440" w:gutter="0" w:footer="0" w:header="0"/>
        </w:sectPr>
      </w:pPr>
    </w:p>
    <w:bookmarkStart w:id="8" w:name="page9"/>
    <w:bookmarkEnd w:id="8"/>
    <w:p>
      <w:pPr>
        <w:ind w:left="340"/>
        <w:spacing w:after="0"/>
        <w:rPr>
          <w:sz w:val="20"/>
          <w:szCs w:val="20"/>
          <w:color w:val="auto"/>
        </w:rPr>
      </w:pPr>
      <w:r>
        <w:rPr>
          <w:rFonts w:ascii="Arial" w:cs="Arial" w:eastAsia="Arial" w:hAnsi="Arial"/>
          <w:sz w:val="17"/>
          <w:szCs w:val="17"/>
          <w:color w:val="auto"/>
        </w:rPr>
        <w:t>The total cash flow impact of $5.390 billion results from the $6.535 billion cash payment offset by $1.145 billion cash balance of National at closing.</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Identifiable intangible assets acquired and their estimated useful lives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Asset amount</w:t>
            </w:r>
          </w:p>
        </w:tc>
        <w:tc>
          <w:tcPr>
            <w:tcW w:w="100" w:type="dxa"/>
            <w:vAlign w:val="bottom"/>
          </w:tcPr>
          <w:p>
            <w:pPr>
              <w:spacing w:after="0"/>
              <w:rPr>
                <w:sz w:val="20"/>
                <w:szCs w:val="20"/>
                <w:color w:val="auto"/>
              </w:rPr>
            </w:pPr>
          </w:p>
        </w:tc>
        <w:tc>
          <w:tcPr>
            <w:tcW w:w="3080" w:type="dxa"/>
            <w:vAlign w:val="bottom"/>
          </w:tcPr>
          <w:p>
            <w:pPr>
              <w:ind w:left="80"/>
              <w:spacing w:after="0"/>
              <w:rPr>
                <w:sz w:val="20"/>
                <w:szCs w:val="20"/>
                <w:color w:val="auto"/>
              </w:rPr>
            </w:pPr>
            <w:r>
              <w:rPr>
                <w:rFonts w:ascii="Arial" w:cs="Arial" w:eastAsia="Arial" w:hAnsi="Arial"/>
                <w:sz w:val="18"/>
                <w:szCs w:val="18"/>
                <w:b w:val="1"/>
                <w:bCs w:val="1"/>
                <w:color w:val="auto"/>
                <w:w w:val="90"/>
              </w:rPr>
              <w:t>Weighted average useful life (in years)</w:t>
            </w:r>
          </w:p>
        </w:tc>
      </w:tr>
      <w:tr>
        <w:trPr>
          <w:trHeight w:val="34"/>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w:t>
            </w:r>
          </w:p>
        </w:tc>
        <w:tc>
          <w:tcPr>
            <w:tcW w:w="31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31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8</w:t>
            </w: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Identified intangible assets subject to amortization</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3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identified intangible assets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20" w:hanging="166"/>
        <w:spacing w:after="0" w:line="277" w:lineRule="auto"/>
        <w:tabs>
          <w:tab w:leader="none" w:pos="63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In-process research and development is not amortized until the associated project has been completed. Alternatively, if the associated project is not viable, it will be expensed.</w:t>
      </w:r>
    </w:p>
    <w:p>
      <w:pPr>
        <w:spacing w:after="0" w:line="170"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We utilize the straight-line method of amortization for acquired intangible assets. Amortization of acquired intangible assets prior to the National acquisition was $19 million and $38 million for the nine months ended September 30, 2011 and 2010, respectively. Amortization of acquired intangible assets from the National acquisition is a component of acquisition cost, which is detailed later in this note. We recognized $6 million for the period from the acquisition date to September 30, 2011.</w:t>
      </w:r>
    </w:p>
    <w:p>
      <w:pPr>
        <w:spacing w:after="0" w:line="187"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The remaining consideration, after adjusting for identified intangible assets and the net assets and liabilities recorded at fair value, was $3.527 billion and was applied to goodwill. This goodwill is attributed to National’s product portfolio and workforce expertise. None of the goodwill related to the National acquisition is deductible for tax purposes.</w:t>
      </w:r>
    </w:p>
    <w:p>
      <w:pPr>
        <w:spacing w:after="0" w:line="181"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The following unaudited summaries of pro forma combined results of operation for the three months and nine months ended September 30, 2011 and 2010, give effect to the acquisition as if it had been completed on January 1, 2010. These pro forma summaries combine the historical results of TI for the three months and nine months ended September 30, 2011 and 2010, with the historical results of National (which had a year-end in May) for the three months and nine months ended August 28, 2011, and August 29, 2010, respectively. These pro forma summaries do not reflect any operating efficiencies, cost savings or revenue enhancements that may be achieved by the combined companies. In addition, certain non-recurring expenses, such as restructuring costs and retention bonuses, that are expected to be incurred within the first twelve months after the acquisition are not reflected in the pro forma summaries. These pro 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For Nine Months Ended</w:t>
            </w: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Sept. 30,</w:t>
            </w:r>
          </w:p>
        </w:tc>
        <w:tc>
          <w:tcPr>
            <w:tcW w:w="1060" w:type="dxa"/>
            <w:vAlign w:val="bottom"/>
          </w:tcPr>
          <w:p>
            <w:pPr>
              <w:spacing w:after="0"/>
              <w:rPr>
                <w:sz w:val="20"/>
                <w:szCs w:val="20"/>
                <w:color w:val="auto"/>
              </w:rPr>
            </w:pPr>
          </w:p>
        </w:tc>
      </w:tr>
      <w:tr>
        <w:trPr>
          <w:trHeight w:val="34"/>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34"/>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589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2,269</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 diluted</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5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cost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the acquisition cost line of the Consolidated Statements of Income are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Nine Months Ended</w:t>
            </w:r>
          </w:p>
        </w:tc>
        <w:tc>
          <w:tcPr>
            <w:tcW w:w="42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Sept.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 30,</w:t>
            </w:r>
          </w:p>
        </w:tc>
        <w:tc>
          <w:tcPr>
            <w:tcW w:w="420" w:type="dxa"/>
            <w:vAlign w:val="bottom"/>
          </w:tcPr>
          <w:p>
            <w:pPr>
              <w:spacing w:after="0"/>
              <w:rPr>
                <w:sz w:val="20"/>
                <w:szCs w:val="20"/>
                <w:color w:val="auto"/>
              </w:rPr>
            </w:pPr>
          </w:p>
        </w:tc>
      </w:tr>
      <w:tr>
        <w:trPr>
          <w:trHeight w:val="34"/>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1"/>
                <w:szCs w:val="2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Accrual of retention bonuses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Transaction costs include expenses incurred in connection with the National acquisition, such as investment advisory, legal, accounting and printing fees, as well as the costs associated with the bridge financing obtained in April 2011.</w:t>
      </w:r>
    </w:p>
    <w:p>
      <w:pPr>
        <w:spacing w:after="0" w:line="170" w:lineRule="exact"/>
        <w:rPr>
          <w:sz w:val="20"/>
          <w:szCs w:val="20"/>
          <w:color w:val="auto"/>
        </w:rPr>
      </w:pPr>
    </w:p>
    <w:p>
      <w:pPr>
        <w:jc w:val="both"/>
        <w:ind w:left="340" w:right="280"/>
        <w:spacing w:after="0" w:line="264" w:lineRule="auto"/>
        <w:rPr>
          <w:sz w:val="20"/>
          <w:szCs w:val="20"/>
          <w:color w:val="auto"/>
        </w:rPr>
      </w:pPr>
      <w:r>
        <w:rPr>
          <w:rFonts w:ascii="Arial" w:cs="Arial" w:eastAsia="Arial" w:hAnsi="Arial"/>
          <w:sz w:val="18"/>
          <w:szCs w:val="18"/>
          <w:color w:val="auto"/>
        </w:rPr>
        <w:t>Restructuring costs associated with the National acquisition consist of severance and other benefit payments for former National employees who have been or will be terminated after the closing date. About 350 jobs will be eliminated by the end of 2012. Additional restructuring charges of about $30 million for this action will continue through the third quarter of 2012.</w:t>
      </w:r>
    </w:p>
    <w:p>
      <w:pPr>
        <w:spacing w:after="0" w:line="181" w:lineRule="exact"/>
        <w:rPr>
          <w:sz w:val="20"/>
          <w:szCs w:val="20"/>
          <w:color w:val="auto"/>
        </w:rPr>
      </w:pPr>
    </w:p>
    <w:p>
      <w:pPr>
        <w:ind w:left="340" w:right="920"/>
        <w:spacing w:after="0" w:line="277" w:lineRule="auto"/>
        <w:rPr>
          <w:sz w:val="20"/>
          <w:szCs w:val="20"/>
          <w:color w:val="auto"/>
        </w:rPr>
      </w:pPr>
      <w:r>
        <w:rPr>
          <w:rFonts w:ascii="Arial" w:cs="Arial" w:eastAsia="Arial" w:hAnsi="Arial"/>
          <w:sz w:val="18"/>
          <w:szCs w:val="18"/>
          <w:color w:val="auto"/>
        </w:rPr>
        <w:t>Stock-based compensation of $41 million was recognized for the accelerated vesting on employees being terminated. Additional stock-based compensation will be recognized over any remaining service periods.</w:t>
      </w:r>
    </w:p>
    <w:p>
      <w:pPr>
        <w:spacing w:after="0" w:line="170" w:lineRule="exact"/>
        <w:rPr>
          <w:sz w:val="20"/>
          <w:szCs w:val="20"/>
          <w:color w:val="auto"/>
        </w:rPr>
      </w:pPr>
    </w:p>
    <w:p>
      <w:pPr>
        <w:jc w:val="both"/>
        <w:ind w:left="340" w:right="60"/>
        <w:spacing w:after="0" w:line="264" w:lineRule="auto"/>
        <w:rPr>
          <w:sz w:val="20"/>
          <w:szCs w:val="20"/>
          <w:color w:val="auto"/>
        </w:rPr>
      </w:pPr>
      <w:r>
        <w:rPr>
          <w:rFonts w:ascii="Arial" w:cs="Arial" w:eastAsia="Arial" w:hAnsi="Arial"/>
          <w:sz w:val="18"/>
          <w:szCs w:val="18"/>
          <w:color w:val="auto"/>
        </w:rPr>
        <w:t>The accrual of retention bonuses reflects amounts to be paid to former National employees who fulfill agreed upon service obligations. This expense will be recognized ratably over the service period. We accrued $6 million in the third quarter and the remaining expected charges of about $75 million will be recognized by the end of the first quarter of 2012.</w:t>
      </w:r>
    </w:p>
    <w:p>
      <w:pPr>
        <w:spacing w:after="0" w:line="181"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Amortization of intangible assets is based on an estimated average useful life varying between 5 and 10 years. Annual amortization for the next 5 years is about $325 million per year. See Note 3 for additional details.</w:t>
      </w:r>
    </w:p>
    <w:p>
      <w:pPr>
        <w:spacing w:after="0" w:line="17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Goodwill and other acquisition-related intangibles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Changes in goodwill as of September 30, 2011, by segment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Embedded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Analog</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Processing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Wireless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Additions from acquisitions</w:t>
            </w: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3,527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3,527</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September 30, 2011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4,451</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300"/>
        <w:spacing w:after="0" w:line="308" w:lineRule="auto"/>
        <w:rPr>
          <w:sz w:val="20"/>
          <w:szCs w:val="20"/>
          <w:color w:val="auto"/>
        </w:rPr>
      </w:pPr>
      <w:r>
        <w:rPr>
          <w:rFonts w:ascii="Arial" w:cs="Arial" w:eastAsia="Arial" w:hAnsi="Arial"/>
          <w:sz w:val="17"/>
          <w:szCs w:val="17"/>
          <w:color w:val="auto"/>
        </w:rPr>
        <w:t>There was no impairment of goodwill during the nine months ended September 30, 2011. Goodwill in the Analog segment increased as a result of the National acquisition. The goodwill balances shown on our balance sheets are net of total accumulated amortization of $221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components of acquisition-related intangible assets as of September 30, 2011 and December 31,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 30, 2011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 31, 2010</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6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80" w:type="dxa"/>
            <w:vAlign w:val="bottom"/>
          </w:tcPr>
          <w:p>
            <w:pPr>
              <w:spacing w:after="0"/>
              <w:rPr>
                <w:sz w:val="23"/>
                <w:szCs w:val="2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3"/>
                <w:szCs w:val="23"/>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3"/>
                <w:szCs w:val="23"/>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3"/>
                <w:szCs w:val="23"/>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4"/>
        </w:trPr>
        <w:tc>
          <w:tcPr>
            <w:tcW w:w="2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7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4 - 10 years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2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5 - 8 years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3 - 10 years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260" w:type="dxa"/>
            <w:vAlign w:val="bottom"/>
          </w:tcPr>
          <w:p>
            <w:pPr>
              <w:ind w:left="180"/>
              <w:spacing w:after="0"/>
              <w:rPr>
                <w:sz w:val="20"/>
                <w:szCs w:val="20"/>
                <w:color w:val="auto"/>
              </w:rPr>
            </w:pPr>
            <w:r>
              <w:rPr>
                <w:rFonts w:ascii="Arial" w:cs="Arial" w:eastAsia="Arial" w:hAnsi="Arial"/>
                <w:sz w:val="18"/>
                <w:szCs w:val="18"/>
                <w:color w:val="auto"/>
              </w:rPr>
              <w:t>In-process research and</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Not yet subject to amortization.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2011, we recognized intangible assets associated with acquisitions of $2.974 billion.</w:t>
      </w:r>
    </w:p>
    <w:p>
      <w:pPr>
        <w:spacing w:after="0" w:line="225" w:lineRule="exact"/>
        <w:rPr>
          <w:sz w:val="20"/>
          <w:szCs w:val="20"/>
          <w:color w:val="auto"/>
        </w:rPr>
      </w:pPr>
    </w:p>
    <w:p>
      <w:pPr>
        <w:jc w:val="both"/>
        <w:ind w:left="340" w:right="780"/>
        <w:spacing w:after="0" w:line="342" w:lineRule="auto"/>
        <w:rPr>
          <w:sz w:val="20"/>
          <w:szCs w:val="20"/>
          <w:color w:val="auto"/>
        </w:rPr>
      </w:pPr>
      <w:r>
        <w:rPr>
          <w:rFonts w:ascii="Arial" w:cs="Arial" w:eastAsia="Arial" w:hAnsi="Arial"/>
          <w:sz w:val="16"/>
          <w:szCs w:val="16"/>
          <w:color w:val="auto"/>
        </w:rPr>
        <w:t>Amortization of acquisition-related intangibles was $25 million for the nine months ended September 30, 2011, primarily related to developed technology. This amount included $6 million of amortization expense related to the intangible assets acquired through the National acquisition.</w:t>
      </w:r>
    </w:p>
    <w:p>
      <w:pPr>
        <w:spacing w:after="0" w:line="340" w:lineRule="exact"/>
        <w:rPr>
          <w:sz w:val="20"/>
          <w:szCs w:val="20"/>
          <w:color w:val="auto"/>
        </w:rPr>
      </w:pPr>
    </w:p>
    <w:p>
      <w:pPr>
        <w:ind w:left="340" w:right="30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Losses associated with the earthquake in Japan</w:t>
      </w:r>
      <w:r>
        <w:rPr>
          <w:rFonts w:ascii="Arial" w:cs="Arial" w:eastAsia="Arial" w:hAnsi="Arial"/>
          <w:sz w:val="18"/>
          <w:szCs w:val="18"/>
          <w:color w:val="auto"/>
        </w:rPr>
        <w:t>. On March 11, 2011, a magnitude 9.0 earthquake struck near two of our three semiconductor wafer manufacturing facilities in Japan. Our manufacturing site in Miho suffered substantial damage during the earthquake, our facility in Aizu experienced significantly less damage, and our site in Hiji was undamaged. We maintain earthquake insurance policies in Japan for limited coverage for property damage and business interruption losses.</w:t>
      </w:r>
    </w:p>
    <w:p>
      <w:pPr>
        <w:spacing w:after="0" w:line="186" w:lineRule="exact"/>
        <w:rPr>
          <w:rFonts w:ascii="Arial" w:cs="Arial" w:eastAsia="Arial" w:hAnsi="Arial"/>
          <w:sz w:val="18"/>
          <w:szCs w:val="18"/>
          <w:color w:val="auto"/>
        </w:rPr>
      </w:pPr>
    </w:p>
    <w:p>
      <w:pPr>
        <w:jc w:val="both"/>
        <w:ind w:left="340" w:right="200"/>
        <w:spacing w:after="0" w:line="342" w:lineRule="auto"/>
        <w:rPr>
          <w:rFonts w:ascii="Arial" w:cs="Arial" w:eastAsia="Arial" w:hAnsi="Arial"/>
          <w:sz w:val="18"/>
          <w:szCs w:val="18"/>
          <w:color w:val="auto"/>
        </w:rPr>
      </w:pPr>
      <w:r>
        <w:rPr>
          <w:rFonts w:ascii="Arial" w:cs="Arial" w:eastAsia="Arial" w:hAnsi="Arial"/>
          <w:sz w:val="16"/>
          <w:szCs w:val="16"/>
          <w:color w:val="auto"/>
        </w:rPr>
        <w:t>Assessment and recovery efforts began immediately at these facilities and officially ended in August. Our Aizu factory recovered first and has been in production since the second quarter, while our Miho factory opened a mini-line for products in mid-April and was back to full production this summer.</w:t>
      </w:r>
    </w:p>
    <w:p>
      <w:pPr>
        <w:spacing w:after="0" w:line="123" w:lineRule="exact"/>
        <w:rPr>
          <w:rFonts w:ascii="Arial" w:cs="Arial" w:eastAsia="Arial" w:hAnsi="Arial"/>
          <w:sz w:val="18"/>
          <w:szCs w:val="18"/>
          <w:color w:val="auto"/>
        </w:rPr>
      </w:pPr>
    </w:p>
    <w:p>
      <w:pPr>
        <w:ind w:left="340" w:right="20"/>
        <w:spacing w:after="0" w:line="257" w:lineRule="auto"/>
        <w:rPr>
          <w:rFonts w:ascii="Arial" w:cs="Arial" w:eastAsia="Arial" w:hAnsi="Arial"/>
          <w:sz w:val="18"/>
          <w:szCs w:val="18"/>
          <w:color w:val="auto"/>
        </w:rPr>
      </w:pPr>
      <w:r>
        <w:rPr>
          <w:rFonts w:ascii="Arial" w:cs="Arial" w:eastAsia="Arial" w:hAnsi="Arial"/>
          <w:sz w:val="18"/>
          <w:szCs w:val="18"/>
          <w:color w:val="auto"/>
        </w:rPr>
        <w:t>During the first nine months of 2011, we incurred gross operating losses recorded in Other of $98 million related to property damage, the underutilization expense we incurred from having our manufacturing assets only partially loaded and costs associated with recovery teams assembled from across the world. These losses have been offset by about $20 million in insurance proceeds related to property damage claims. Almost all of these costs and proceeds are included in cost of revenue in the Consolidated Statements of Income. In the third quarter of 2011, we benefited from a net reduction in cost of revenue of $1 million.</w:t>
      </w:r>
    </w:p>
    <w:p>
      <w:pPr>
        <w:spacing w:after="0" w:line="188" w:lineRule="exact"/>
        <w:rPr>
          <w:rFonts w:ascii="Arial" w:cs="Arial" w:eastAsia="Arial" w:hAnsi="Arial"/>
          <w:sz w:val="18"/>
          <w:szCs w:val="18"/>
          <w:color w:val="auto"/>
        </w:rPr>
      </w:pPr>
    </w:p>
    <w:p>
      <w:pPr>
        <w:ind w:left="340" w:right="380"/>
        <w:spacing w:after="0" w:line="342" w:lineRule="auto"/>
        <w:rPr>
          <w:rFonts w:ascii="Arial" w:cs="Arial" w:eastAsia="Arial" w:hAnsi="Arial"/>
          <w:sz w:val="18"/>
          <w:szCs w:val="18"/>
          <w:color w:val="auto"/>
        </w:rPr>
      </w:pPr>
      <w:r>
        <w:rPr>
          <w:rFonts w:ascii="Arial" w:cs="Arial" w:eastAsia="Arial" w:hAnsi="Arial"/>
          <w:sz w:val="16"/>
          <w:szCs w:val="16"/>
          <w:color w:val="auto"/>
        </w:rPr>
        <w:t>In addition to the costs associated with the earthquake, we also had an impact to revenue. In the third quarter of 2011 and for the first nine months of 2011, we recognized $22 million in insurance proceeds related to business interruption claims. These proceeds were recorded as revenue in Other.</w:t>
      </w:r>
    </w:p>
    <w:p>
      <w:pPr>
        <w:spacing w:after="0" w:line="123" w:lineRule="exact"/>
        <w:rPr>
          <w:rFonts w:ascii="Arial" w:cs="Arial" w:eastAsia="Arial" w:hAnsi="Arial"/>
          <w:sz w:val="18"/>
          <w:szCs w:val="18"/>
          <w:color w:val="auto"/>
        </w:rPr>
      </w:pPr>
    </w:p>
    <w:p>
      <w:pPr>
        <w:ind w:left="340" w:right="240"/>
        <w:spacing w:after="0" w:line="277" w:lineRule="auto"/>
        <w:rPr>
          <w:rFonts w:ascii="Arial" w:cs="Arial" w:eastAsia="Arial" w:hAnsi="Arial"/>
          <w:sz w:val="18"/>
          <w:szCs w:val="18"/>
          <w:color w:val="auto"/>
        </w:rPr>
      </w:pPr>
      <w:r>
        <w:rPr>
          <w:rFonts w:ascii="Arial" w:cs="Arial" w:eastAsia="Arial" w:hAnsi="Arial"/>
          <w:sz w:val="18"/>
          <w:szCs w:val="18"/>
          <w:color w:val="auto"/>
        </w:rPr>
        <w:t>We continue to be in discussions with our insurers and their advisors, but at this time, we cannot estimate the timing and amount of future proceeds we may ultimately receive from these policies.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Debt</w:t>
      </w:r>
      <w:r>
        <w:rPr>
          <w:rFonts w:ascii="Arial" w:cs="Arial" w:eastAsia="Arial" w:hAnsi="Arial"/>
          <w:sz w:val="18"/>
          <w:szCs w:val="18"/>
          <w:color w:val="auto"/>
        </w:rPr>
        <w:t>. The balances include amounts assumed related to the National acquisition measured at fair value as of the acquisition date.</w:t>
      </w:r>
    </w:p>
    <w:p>
      <w:pPr>
        <w:spacing w:after="0" w:line="225" w:lineRule="exact"/>
        <w:rPr>
          <w:rFonts w:ascii="Arial" w:cs="Arial" w:eastAsia="Arial" w:hAnsi="Arial"/>
          <w:sz w:val="18"/>
          <w:szCs w:val="18"/>
          <w:color w:val="auto"/>
        </w:rPr>
      </w:pPr>
    </w:p>
    <w:p>
      <w:pPr>
        <w:ind w:left="340" w:right="2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Short-term </w:t>
      </w:r>
      <w:r>
        <w:rPr>
          <w:rFonts w:ascii="Arial" w:cs="Arial" w:eastAsia="Arial" w:hAnsi="Arial"/>
          <w:sz w:val="18"/>
          <w:szCs w:val="18"/>
          <w:color w:val="auto"/>
        </w:rPr>
        <w:t>— On July 14, 2011, in anticipation of the acquisition, we issued an aggregate of $1.2 billion of commercial paper, which was supported by</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revolving credit facilities. As of September 30, 2011, the balance of commercial paper outstanding was $1.2 billion.</w:t>
      </w:r>
    </w:p>
    <w:p>
      <w:pPr>
        <w:spacing w:after="0" w:line="170" w:lineRule="exact"/>
        <w:rPr>
          <w:rFonts w:ascii="Arial" w:cs="Arial" w:eastAsia="Arial" w:hAnsi="Arial"/>
          <w:sz w:val="18"/>
          <w:szCs w:val="18"/>
          <w:color w:val="auto"/>
        </w:rPr>
      </w:pPr>
    </w:p>
    <w:p>
      <w:pPr>
        <w:ind w:left="3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Long-term </w:t>
      </w:r>
      <w:r>
        <w:rPr>
          <w:rFonts w:ascii="Arial" w:cs="Arial" w:eastAsia="Arial" w:hAnsi="Arial"/>
          <w:sz w:val="18"/>
          <w:szCs w:val="18"/>
          <w:color w:val="auto"/>
        </w:rPr>
        <w:t>— On May 23, 2011, we issued an aggregate principal amount of $3.50 billion of fixed- and floating-rate long-term debt to help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proceeds of the offering were $3.497 billion, net of the original issuance discount. We also incurred $12 million of issuance costs that are included in other assets and will be amortized to interest and debt expense over the term of the debt.</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connection with this issuance, we also entered into an interest rate swap transaction related to the $1.0 billion notional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1" w:name="page12"/>
    <w:bookmarkEnd w:id="11"/>
    <w:p>
      <w:pPr>
        <w:jc w:val="both"/>
        <w:ind w:left="340" w:right="20"/>
        <w:spacing w:after="0" w:line="279" w:lineRule="auto"/>
        <w:rPr>
          <w:sz w:val="20"/>
          <w:szCs w:val="20"/>
          <w:color w:val="auto"/>
        </w:rPr>
      </w:pPr>
      <w:r>
        <w:rPr>
          <w:rFonts w:ascii="Arial" w:cs="Arial" w:eastAsia="Arial" w:hAnsi="Arial"/>
          <w:sz w:val="17"/>
          <w:szCs w:val="17"/>
          <w:color w:val="auto"/>
        </w:rPr>
        <w:t>amount of our floating-rate debt due 2013. Under this swap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The net effect of this swap is to convert the variable interest rate to a fixed rate of 0.922 percent.</w:t>
      </w:r>
    </w:p>
    <w:p>
      <w:pPr>
        <w:spacing w:after="0" w:line="17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following table summarizes the long-term debt outstanding as of September 30, 2011, including the $1.0 billion in face value of National’s long-term debt (fair value of $1.105 billion) assumed in connection with the acquisition:</w:t>
      </w:r>
    </w:p>
    <w:p>
      <w:pPr>
        <w:spacing w:after="0" w:line="333"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Notes due 2012 at 6.15% (assumed with National acquisition)</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Notes due 2013 at 0.875%</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2014 at 1.375%</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2016 at 2.375%</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7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Add net unamortized premium (assumed with National acquisition)</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57"/>
        </w:trPr>
        <w:tc>
          <w:tcPr>
            <w:tcW w:w="77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4,215</w:t>
            </w:r>
          </w:p>
        </w:tc>
      </w:tr>
      <w:tr>
        <w:trPr>
          <w:trHeight w:val="20"/>
        </w:trPr>
        <w:tc>
          <w:tcPr>
            <w:tcW w:w="7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2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September 30, 2011, the estimated annual effective tax rate for 2011 is about 25 percent, which differs from the 35 percent statutory corporate tax rate primarily due to the effects of non-U.S. tax rates.</w:t>
      </w:r>
    </w:p>
    <w:p>
      <w:pPr>
        <w:spacing w:after="0" w:line="181"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Sept. 30, 2011</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Sept. 30, 2010</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1"/>
                <w:szCs w:val="21"/>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591</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591</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1,157</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3"/>
              </w:rPr>
              <w:t>For Nine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Nine Months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Sept. 30, 2011</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Sept. 30, 2010</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1"/>
                <w:szCs w:val="21"/>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4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1,938</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1,908</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1,156</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1,938</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2,286</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1,909</w:t>
            </w:r>
          </w:p>
        </w:tc>
        <w:tc>
          <w:tcPr>
            <w:tcW w:w="120" w:type="dxa"/>
            <w:vAlign w:val="bottom"/>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Options to purchase 50 million and 96 million shares of common stock that were outstanding during the third quarters of 2011 and 2010, respectively, and 40 million and 96 million shares outstanding during the first nine months of 2011 and 2010, respectively, were not included in the computation of diluted EPS because their exercise price was greater than the average market price of the common shares and, therefore, the effect would be anti-dilutive.</w:t>
      </w:r>
    </w:p>
    <w:p>
      <w:pPr>
        <w:spacing w:after="0" w:line="147" w:lineRule="exact"/>
        <w:rPr>
          <w:sz w:val="20"/>
          <w:szCs w:val="20"/>
          <w:color w:val="auto"/>
        </w:rPr>
      </w:pPr>
    </w:p>
    <w:p>
      <w:pPr>
        <w:ind w:left="340" w:right="6540" w:hanging="332"/>
        <w:spacing w:after="0" w:line="50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48" w:lineRule="exact"/>
        <w:rPr>
          <w:rFonts w:ascii="Arial" w:cs="Arial" w:eastAsia="Arial" w:hAnsi="Arial"/>
          <w:sz w:val="18"/>
          <w:szCs w:val="18"/>
          <w:color w:val="auto"/>
        </w:rPr>
      </w:pPr>
    </w:p>
    <w:p>
      <w:pPr>
        <w:ind w:left="340" w:right="280"/>
        <w:spacing w:after="0" w:line="277"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 value discussion below).</w:t>
      </w:r>
    </w:p>
    <w:p>
      <w:pPr>
        <w:spacing w:after="0" w:line="170" w:lineRule="exact"/>
        <w:rPr>
          <w:rFonts w:ascii="Arial" w:cs="Arial" w:eastAsia="Arial" w:hAnsi="Arial"/>
          <w:sz w:val="18"/>
          <w:szCs w:val="18"/>
          <w:color w:val="auto"/>
        </w:rPr>
      </w:pPr>
    </w:p>
    <w:p>
      <w:pPr>
        <w:ind w:left="340" w:right="680"/>
        <w:spacing w:after="0" w:line="277" w:lineRule="auto"/>
        <w:rPr>
          <w:rFonts w:ascii="Arial" w:cs="Arial" w:eastAsia="Arial" w:hAnsi="Arial"/>
          <w:sz w:val="18"/>
          <w:szCs w:val="18"/>
          <w:color w:val="auto"/>
        </w:rPr>
      </w:pPr>
      <w:r>
        <w:rPr>
          <w:rFonts w:ascii="Arial" w:cs="Arial" w:eastAsia="Arial" w:hAnsi="Arial"/>
          <w:sz w:val="18"/>
          <w:szCs w:val="18"/>
          <w:color w:val="auto"/>
        </w:rPr>
        <w:t>Unrealized gains and losses on available-for-sale securities are recorded as an increase or decrease, net of taxes, in AOCI. We record other-than-temporary losses (impairments) on available-for-sale securities in OI&amp;E.</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Changes in the fair value of debt securities classified as trading securities are recorded in OI&amp;E.</w:t>
      </w:r>
    </w:p>
    <w:p>
      <w:pPr>
        <w:spacing w:after="0" w:line="225" w:lineRule="exact"/>
        <w:rPr>
          <w:rFonts w:ascii="Arial" w:cs="Arial" w:eastAsia="Arial" w:hAnsi="Arial"/>
          <w:sz w:val="18"/>
          <w:szCs w:val="18"/>
          <w:color w:val="auto"/>
        </w:rPr>
      </w:pPr>
    </w:p>
    <w:p>
      <w:pPr>
        <w:ind w:left="340" w:right="80"/>
        <w:spacing w:after="0" w:line="264" w:lineRule="auto"/>
        <w:rPr>
          <w:rFonts w:ascii="Arial" w:cs="Arial" w:eastAsia="Arial" w:hAnsi="Arial"/>
          <w:sz w:val="18"/>
          <w:szCs w:val="18"/>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selling, general and administrative expense.</w:t>
      </w:r>
    </w:p>
    <w:p>
      <w:pPr>
        <w:spacing w:after="0" w:line="181" w:lineRule="exact"/>
        <w:rPr>
          <w:sz w:val="20"/>
          <w:szCs w:val="20"/>
          <w:color w:val="auto"/>
        </w:rPr>
      </w:pPr>
    </w:p>
    <w:p>
      <w:pPr>
        <w:ind w:left="360" w:right="16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 30, 2011</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 31, 2010</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Short-Term</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Long-Term</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Cash and Cash</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Short-Term</w:t>
            </w:r>
          </w:p>
        </w:tc>
        <w:tc>
          <w:tcPr>
            <w:tcW w:w="14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34"/>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 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180"/>
        <w:spacing w:after="0" w:line="276" w:lineRule="auto"/>
        <w:rPr>
          <w:sz w:val="20"/>
          <w:szCs w:val="20"/>
          <w:color w:val="auto"/>
        </w:rPr>
      </w:pPr>
      <w:r>
        <w:rPr>
          <w:rFonts w:ascii="Arial" w:cs="Arial" w:eastAsia="Arial" w:hAnsi="Arial"/>
          <w:sz w:val="17"/>
          <w:szCs w:val="17"/>
          <w:color w:val="auto"/>
        </w:rPr>
        <w:t>As of September 30, 2011, and December 31, 2010, the majority of unrealized losses included in AOCI were associated with auction-rate securities classified as securities that are available-for-sale. We have determined that our available-for-sale investments with unrealized losses are not other-than-temporarily impaired as we expect to recover the entire cost basis of these securities and we do not intend to sell these investments, nor do we expect to be required to sell these investments before a recovery of the cost basis. In the second quarter of 2011, we recategorized certain auction-rate securities from an available-for-sale classification to a trading classification as we intend to sell them.</w:t>
      </w:r>
    </w:p>
    <w:p>
      <w:pPr>
        <w:spacing w:after="0" w:line="173" w:lineRule="exact"/>
        <w:rPr>
          <w:sz w:val="20"/>
          <w:szCs w:val="20"/>
          <w:color w:val="auto"/>
        </w:rPr>
      </w:pPr>
    </w:p>
    <w:p>
      <w:pPr>
        <w:ind w:left="340" w:right="80"/>
        <w:spacing w:after="0" w:line="342" w:lineRule="auto"/>
        <w:rPr>
          <w:sz w:val="20"/>
          <w:szCs w:val="20"/>
          <w:color w:val="auto"/>
        </w:rPr>
      </w:pPr>
      <w:r>
        <w:rPr>
          <w:rFonts w:ascii="Arial" w:cs="Arial" w:eastAsia="Arial" w:hAnsi="Arial"/>
          <w:sz w:val="16"/>
          <w:szCs w:val="16"/>
          <w:color w:val="auto"/>
        </w:rPr>
        <w:t>For the nine months ended September 30, 2011 and 2010, the proceeds from sales, redemptions and maturities of short-term available-for-sale securities, excluding cash equivalents, were $3.25 billion and $2.18 billion, respectively. Gross realized gains and losses from these sales were not significant.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2011:</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34"/>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1,947</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Greater than three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w:t>
      </w:r>
    </w:p>
    <w:p>
      <w:pPr>
        <w:spacing w:after="0" w:line="90" w:lineRule="exact"/>
        <w:rPr>
          <w:sz w:val="20"/>
          <w:szCs w:val="20"/>
          <w:color w:val="auto"/>
        </w:rPr>
      </w:pPr>
    </w:p>
    <w:p>
      <w:pPr>
        <w:jc w:val="both"/>
        <w:ind w:left="340" w:right="140"/>
        <w:spacing w:after="0" w:line="264" w:lineRule="auto"/>
        <w:rPr>
          <w:sz w:val="20"/>
          <w:szCs w:val="20"/>
          <w:color w:val="auto"/>
        </w:rPr>
      </w:pPr>
      <w:r>
        <w:rPr>
          <w:rFonts w:ascii="Arial" w:cs="Arial" w:eastAsia="Arial" w:hAnsi="Arial"/>
          <w:sz w:val="18"/>
          <w:szCs w:val="18"/>
          <w:color w:val="auto"/>
        </w:rPr>
        <w:t>We measure and report our financial assets and certain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w:t>
      </w:r>
    </w:p>
    <w:p>
      <w:pPr>
        <w:sectPr>
          <w:pgSz w:w="11900" w:h="16838" w:orient="portrait"/>
          <w:cols w:equalWidth="0" w:num="1">
            <w:col w:w="11420"/>
          </w:cols>
          <w:pgMar w:left="240" w:top="28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3" w:right="239" w:bottom="144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18"/>
          <w:szCs w:val="18"/>
          <w:color w:val="auto"/>
        </w:rPr>
        <w:t>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Our auction-rate securities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 To date, we have collected all interest on all of our auction-rate securities when due and expect to continue to do so in the future.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our assets and liabilities that are accounted for at fair value on a recurring basis as of September 30, 2011 and December 31,</w:t>
      </w:r>
    </w:p>
    <w:p>
      <w:pPr>
        <w:spacing w:after="0" w:line="35"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color w:val="auto"/>
        </w:rPr>
        <w:t>2010. These tables do not include cash on hand, assets held by our postretirement plans or assets and liabilities that are measured at historical cost or any basis other than fair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 30,</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Auction-rate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2,481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Liabilities (a):</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 31,</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Corporate obligations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Auction-rate securities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Liabilities (a):</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400" w:hanging="8"/>
        <w:spacing w:after="0" w:line="324" w:lineRule="auto"/>
        <w:tabs>
          <w:tab w:leader="none" w:pos="8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liabilities above are a component of Accrued expenses and other liabilities or Deferred credits and other liabilities on our balance sheets, depending on the expected timing of payment.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changes in the fair values for Level 3 assets and liabilities.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1500" w:type="dxa"/>
            <w:vAlign w:val="bottom"/>
          </w:tcPr>
          <w:p>
            <w:pPr>
              <w:spacing w:after="0"/>
              <w:rPr>
                <w:sz w:val="20"/>
                <w:szCs w:val="20"/>
                <w:color w:val="auto"/>
              </w:rPr>
            </w:pPr>
          </w:p>
        </w:tc>
      </w:tr>
      <w:tr>
        <w:trPr>
          <w:trHeight w:val="34"/>
        </w:trPr>
        <w:tc>
          <w:tcPr>
            <w:tcW w:w="7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5"/>
        </w:trPr>
        <w:tc>
          <w:tcPr>
            <w:tcW w:w="7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Contingent</w:t>
            </w:r>
          </w:p>
        </w:tc>
      </w:tr>
      <w:tr>
        <w:trPr>
          <w:trHeight w:val="275"/>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Auction-rate securities</w:t>
            </w:r>
          </w:p>
        </w:tc>
        <w:tc>
          <w:tcPr>
            <w:tcW w:w="320" w:type="dxa"/>
            <w:vAlign w:val="bottom"/>
          </w:tcPr>
          <w:p>
            <w:pPr>
              <w:spacing w:after="0"/>
              <w:rPr>
                <w:sz w:val="23"/>
                <w:szCs w:val="23"/>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consideration</w:t>
            </w:r>
          </w:p>
        </w:tc>
      </w:tr>
      <w:tr>
        <w:trPr>
          <w:trHeight w:val="244"/>
        </w:trPr>
        <w:tc>
          <w:tcPr>
            <w:tcW w:w="7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 December 31, 2009</w:t>
            </w:r>
          </w:p>
        </w:tc>
        <w:tc>
          <w:tcPr>
            <w:tcW w:w="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into Level 2</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Ending Balance, September 30, 2010</w:t>
            </w: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in unrealized loss - included in AOCI</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into Level 2</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Ending Balance, December 31, 2010</w:t>
            </w: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7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unrealized loss - included in AOCI</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 September 30, 2011</w:t>
            </w:r>
          </w:p>
        </w:tc>
        <w:tc>
          <w:tcPr>
            <w:tcW w:w="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7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8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Postretirement benefit plans</w:t>
      </w:r>
      <w:r>
        <w:rPr>
          <w:rFonts w:ascii="Arial" w:cs="Arial" w:eastAsia="Arial" w:hAnsi="Arial"/>
          <w:sz w:val="17"/>
          <w:szCs w:val="17"/>
          <w:color w:val="auto"/>
        </w:rPr>
        <w:t>. Because the acquisition closed shortly before the end of the quarter, we have not included the effect of National’s postretirement benefit plans in the disclosures below. Components of net periodic employee benefit cost are as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5"/>
              </w:rPr>
              <w:t>U.S.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34"/>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For three months ended Sept. 30,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CCEEFF"/>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 *</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5"/>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34"/>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For nine months ended Sept. 30,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60" w:type="dxa"/>
            <w:vAlign w:val="bottom"/>
            <w:tcBorders>
              <w:bottom w:val="single" w:sz="8" w:color="CCEEFF"/>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 *</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restructuring and non-restructuring related settlement charges.</w:t>
      </w:r>
    </w:p>
    <w:p>
      <w:pPr>
        <w:spacing w:after="0" w:line="225" w:lineRule="exact"/>
        <w:rPr>
          <w:sz w:val="20"/>
          <w:szCs w:val="20"/>
          <w:color w:val="auto"/>
        </w:rPr>
      </w:pPr>
    </w:p>
    <w:p>
      <w:pPr>
        <w:ind w:left="340" w:right="2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81"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192" w:lineRule="exact"/>
        <w:rPr>
          <w:rFonts w:ascii="Arial" w:cs="Arial" w:eastAsia="Arial" w:hAnsi="Arial"/>
          <w:sz w:val="18"/>
          <w:szCs w:val="18"/>
          <w:color w:val="auto"/>
        </w:rPr>
      </w:pPr>
    </w:p>
    <w:p>
      <w:pPr>
        <w:ind w:left="340" w:right="30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rFonts w:ascii="Arial" w:cs="Arial" w:eastAsia="Arial" w:hAnsi="Arial"/>
          <w:sz w:val="18"/>
          <w:szCs w:val="18"/>
          <w:color w:val="auto"/>
        </w:rPr>
      </w:pPr>
    </w:p>
    <w:p>
      <w:pPr>
        <w:ind w:left="340" w:right="2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Discontinued operations indemnities - </w:t>
      </w:r>
      <w:r>
        <w:rPr>
          <w:rFonts w:ascii="Arial" w:cs="Arial" w:eastAsia="Arial" w:hAnsi="Arial"/>
          <w:sz w:val="17"/>
          <w:szCs w:val="17"/>
          <w:color w:val="auto"/>
        </w:rPr>
        <w:t>In connection with the 2006 sale of the former Sensors &amp; Controls business (S&amp;C), we have agreed to indemnify</w:t>
      </w:r>
      <w:r>
        <w:rPr>
          <w:rFonts w:ascii="Arial" w:cs="Arial" w:eastAsia="Arial" w:hAnsi="Arial"/>
          <w:sz w:val="17"/>
          <w:szCs w:val="17"/>
          <w:i w:val="1"/>
          <w:iCs w:val="1"/>
          <w:color w:val="auto"/>
        </w:rPr>
        <w:t xml:space="preserve"> </w:t>
      </w:r>
      <w:r>
        <w:rPr>
          <w:rFonts w:ascii="Arial" w:cs="Arial" w:eastAsia="Arial" w:hAnsi="Arial"/>
          <w:sz w:val="17"/>
          <w:szCs w:val="17"/>
          <w:color w:val="auto"/>
        </w:rPr>
        <w:t>Sensata Technologies, Inc., for specified litigation matters and certain liabilities, including environmental liabilities. In a settlement of litigation with a third party, we have agreed to indemnify that party for certain events relating to S&amp;C products, which events we consider remote. We believe our remaining exposure from both of these indemnities is approximately $200 million. As of September 30, 2011, we believe future payments related to these indemnity obligations will not have a material effect on our financial condition, results of operations or liquidity.</w:t>
      </w:r>
    </w:p>
    <w:p>
      <w:pPr>
        <w:spacing w:after="0" w:line="388"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Our Analog segment includes the following components that are based on product lines: High-Volume Analog &amp; Logic (HVAL), High-Performance Analog (HPA) and Power Management (Power). Following the National acquisition which closed on September 23, 2011, our Analog segment also includes National’s ongoing operations under the name of Silicon Valley Analog (SVA).</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7" w:name="page18"/>
    <w:bookmarkEnd w:id="17"/>
    <w:p>
      <w:pPr>
        <w:ind w:left="340" w:right="260"/>
        <w:spacing w:after="0" w:line="264" w:lineRule="auto"/>
        <w:rPr>
          <w:sz w:val="20"/>
          <w:szCs w:val="20"/>
          <w:color w:val="auto"/>
        </w:rPr>
      </w:pPr>
      <w:r>
        <w:rPr>
          <w:rFonts w:ascii="Arial" w:cs="Arial" w:eastAsia="Arial" w:hAnsi="Arial"/>
          <w:sz w:val="18"/>
          <w:szCs w:val="18"/>
          <w:color w:val="auto"/>
        </w:rPr>
        <w:t>Other includes our other operating segments that neither meet the quantitative thresholds for individually reportable segments, nor are they aggregated with other operating segments. These operating segments primarily include our smaller semiconductor product lines and our handheld graphing and scientific calculators.</w:t>
      </w:r>
    </w:p>
    <w:p>
      <w:pPr>
        <w:spacing w:after="0" w:line="181"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Acquisition cost is recorded in Other. The expense associated with the incremental fair value write-up of both inventory and property, plant and equipment will be recorded in Other as well. This inventory-related expense will be classified as cost of revenue, and we expect it to cease after the fourth quarter of 2011. This property, plant and equipment-related expense will primarily be recognized as cost of revenue, tracking the depreciable lives of the underlying assets.</w:t>
      </w:r>
    </w:p>
    <w:p>
      <w:pPr>
        <w:spacing w:after="0" w:line="187" w:lineRule="exact"/>
        <w:rPr>
          <w:sz w:val="20"/>
          <w:szCs w:val="20"/>
          <w:color w:val="auto"/>
        </w:rPr>
      </w:pPr>
    </w:p>
    <w:p>
      <w:pPr>
        <w:ind w:left="340" w:right="4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18"/>
                <w:szCs w:val="18"/>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6"/>
              </w:rPr>
              <w:t>Sept.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8"/>
                <w:szCs w:val="18"/>
                <w:b w:val="1"/>
                <w:bCs w:val="1"/>
                <w:color w:val="auto"/>
                <w:w w:val="79"/>
              </w:rPr>
              <w:t>2011</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3,466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24"/>
                <w:szCs w:val="24"/>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6"/>
              </w:rPr>
              <w:t>Sept.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Arial" w:cs="Arial" w:eastAsia="Arial" w:hAnsi="Arial"/>
                <w:sz w:val="18"/>
                <w:szCs w:val="18"/>
                <w:b w:val="1"/>
                <w:bCs w:val="1"/>
                <w:color w:val="auto"/>
                <w:w w:val="79"/>
              </w:rPr>
              <w:t>2011</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ind w:left="328" w:hanging="328"/>
        <w:spacing w:after="0" w:line="264"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On September 15, 2011, we announced a 31 percent increase in our quarterly cash dividend rate. The new quarterly dividend will increase from $0.13 to $0.17 per share, resulting in annual dividend payments of $0.68 per share. The new quarterly cash dividend will be payable November 21, 2011, to stockholders of record on October 31, 2011.</w:t>
      </w:r>
    </w:p>
    <w:p>
      <w:pPr>
        <w:spacing w:after="0" w:line="208"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8"/>
          </w:cols>
          <w:pgMar w:left="572" w:top="58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the world’s fourth largest semiconductor company in 2010 as measured by revenue, according to an external source. Additionally, we sell calculators and related products.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September 23, 2011, we completed the acquisition of National Semiconductor Corporation (National). The acquisition brings to TI a portfolio of 12,000 analog products and strong customer design tools, and is consistent with our strategy to grow our Analog business. National is now part of TI’s Analog segment under the name Silicon Valley Analog.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80,000 customers generated 43 percent of our revenue in 2010. According to external sources, the worldwide market for analog semiconductors was about $42 billion in 2010. Our Analog segment’s revenue in 2010 was about $6 billion, or about 14 percent of this fragmented market, the leading position. We believe that we are well positioned to increase our market share over time.</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Analog segment includes the following components that are based on product lines: High-Volume Analog &amp; Logic (HVAL), High-Performance Analog (HPA), and Power Management (Power). Following the National acquisition, the Analog segment also includes Silicon Valley Analog (SVA).</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those of our HPA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012" w:right="25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t>HPA products: These include standard analog semiconductors, such as amplifiers, data converters and interface semiconductors (our portfolio includes nearly 16,000 products),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Power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SVA products: Acquired through the National acquisition, these include standard analog products, particularly in the areas of power management, data converters, interface and operational amplifiers. Similar to HPA, this portfolio of over 12,000 products is marketed to many different customers who use them in manufacturing a wide range of products sold in many end markets. Historically, the industrial market has accounted for almost half of the revenue from these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15 percent of our revenue in 2010. According to external sources, the worldwide market for embedded processors was about $18 billion in 2010. Our Embedded Processing segment’s revenue in 2010 was about $2 billion, or about 11 percent of this fragmented market. We believe we are well positioned to increase our market share over time.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Growth in the wireless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the fastest growing wireless segment. Smartphones and tablets also use other semiconductors to enable connectivity through means other than the cellular network (such as Bluetooth® devices, WiFi networks, GPS location services, and Near Field Communication (NFC)).</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and our Wireless portfolio includes both standard products and custom products. Sales of Wireless products generated about $3 billion, or 21 percent of our revenue, in 2010, with a significant portion of those sales to a single customer.</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Wireless investments are concentrated on our connectivity products and OMAP applications processors, areas we believe offer significant growth opportunities and which will enable us to take advantage of the increasing demand for more powerful and more functional mobile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$1.7 billion in 2010, to cease by the end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entered into in connection with acquisitions and divestitures.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in projectors to create high-definition images) and custom semiconductors known as application-specific integrated circuits (ASICs). This segment generated about $3 billion, or 21 percent of our revenue, in 2010. We also include in Other certain acquisition-related costs that are not used in evaluating results and allocating resources to our segments. These costs include certain fair value adjustments, restructuring</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expenses, transaction expenses, acquisition-related retention bonuses and the amortization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2010, external foundries provided 60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2011 results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third-quarter revenue was $3.47 billion, net income was $601 million and earnings per share (EPS) were 51 cents. EPS includes 9 cents in charges associated with the company’s acquisition of National.</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highlight of the third quarter was the completion of our purchase of National. Together we now have a combined portfolio of almost 45,000 Analog products that we are taking to customers all over the world.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 for the third quarter was higher than we expected though, overall, the quarter was below the seasonal average. We expect the same in the fourth quarter as economic uncertainty continues to weigh on demand in almost every major market segment in which we operate. We are well prepared to continue to gain share in our core businesses, no matter the economic conditions.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3"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34290</wp:posOffset>
            </wp:positionV>
            <wp:extent cx="301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 30, 2011</w:t>
            </w:r>
          </w:p>
        </w:tc>
        <w:tc>
          <w:tcPr>
            <w:tcW w:w="1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 30, 2010</w:t>
            </w:r>
          </w:p>
        </w:tc>
        <w:tc>
          <w:tcPr>
            <w:tcW w:w="16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June 30, 2011</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3,458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1,722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1,705</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395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424</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21"/>
                <w:szCs w:val="21"/>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814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905</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909</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179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237</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672</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6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0.52</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0.57</w:t>
            </w:r>
          </w:p>
        </w:tc>
      </w:tr>
      <w:tr>
        <w:trPr>
          <w:trHeight w:val="251"/>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0.71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0.56</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6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1,144</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1,184</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1,156</w:t>
            </w:r>
          </w:p>
        </w:tc>
      </w:tr>
      <w:tr>
        <w:trPr>
          <w:trHeight w:val="251"/>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1,180</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6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0.13</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6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6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$13 million and $10 million for the quarters ending September 30, 2011, September 30, 2010 and June 30,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National Acquisition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completed our acquisition of National on September 23, 2011. We recorded the assets acquired and liabilities assumed measured at fair value as of that date. The total consideration transferred for the acquisition was $6.56 billion and the fair value of the net assets acquired and liabilities assumed was $3.03 billion, resulting in goodwill of $3.53 billion. The results of National’s operations from the acquisition date are included in the Analog segment. See Note 2 to the Financial Statements for more details regarding the acquisition.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Special Items Included in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the financial impact of the March earthquake in Japan. See Note 4 to the Financial Statements for more details.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direct result of the National acquisition, we incurred various incremental costs that we recorded in Other. These include certain adjustments to write-up the value of acquired inventory and property, plant and equipment to fair value as of the acquisition date. These fair value adjustments have an impact on future operating results solely due to that write-up in value. These costs are incremental to the normal amortization and depreciation of the acquired assets based on their carrying or book value at the acquisition date. We believe these incremental costs are separately identifiable from the ongoing operating results of SVA included in the Analog segment and so we have classified them as a part of Other. We believe this presentation provides greater transparency of the operating results of our reporting business segments without the impact of mandatory accounting adjustments to fair value.</w:t>
      </w:r>
    </w:p>
    <w:p>
      <w:pPr>
        <w:spacing w:after="0" w:line="16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the third quarter, the amount of incremental costs recognized was $7 million, attributable to the fair value write-up of acquired inventory that was sold after the date of acquisition. These costs are included in cost of revenue. The total fair value write-up of acquired inventory was $96 million. We expect to recognize the remainder of the write-up in cost of revenue in the fourth quarter.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total fair value write-up for the acquired property, plant and equipment was $469 million, which will be depreciated at a rate of about $10 million quarterly and will be included primarily in cost of revenue.</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Reflected on the face of the income statement is acquisition cost, which includes charges such as restructuring expense (primarily for severance and stock compensation expense), administrative fees, retention bonuses and amortization of intangible assets. This cost is included in Other.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tax provision for the third quarter contained a $10 million discrete tax charge associated with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This management’s discussion and analysis (MD&amp;A) includes two measures that were not prepared in accordance with generally accepted accounting principles in the United States (non-GAAP measures): days sales outstanding and inventory days. For a reconciliation to GAAP and an explanation of the purpose for providing these non-GAAP measures, see the Non-GAAP Financial Information section at the end of the MD&amp;A.</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for the third quarter of 2011 was $3.47 billion, declining $274 million, or 7 percent, from the year-ago quarter across all segments. Revenue was about even with the prior quarter.</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Gross profit for the third quarter of 2011 was $1.74 billion, or 50.3 percent of revenue, a decrease of $295 million, or 14 percent, from the year-ago quarter. The decrease in gross profit from the year-ago quarter was due to a combination of, in decreasing order, lower revenue, costs associated with lower levels of factory utilization in the quarter as we lowered production in response to weaker demand, and scrap charges for inventory obsolescence on certain custom programs. The impact of lower utilization for the third quarter was about $90 million. Compared with the prior quarter, gross profit was about even. Negatively affecting gross profit were scrap charges for inventory obsolescence on certain custom programs and, to a lesser extent, lower levels of factory utilization. Partially offsetting these reductions were a $23 million of net benefit resulting from proceeds from ongoing insurance claims associated with the March earthquake in Japan (compared with net costs of $50 million in the second quarter of 2011) and lower compensation-related costs.</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expenses for the third quarter of 2011 were $395 million for R&amp;D and $388 million for SG&amp;A. R&amp;D expense decreased $22 million, or 5 percent, from the year-ago quarter primarily due about equally to lower product development costs and lower compensation-related costs. Compared with the prior quarter, R&amp;D expense decreased $29 million, or 7 percent, primarily due to lower compensation-related costs. SG&amp;A expense was about even with the year-ago quarter. Compared with the prior quarter, SG&amp;A expense decreased $23 million, or 6 percent, due to lower compensation-related costs.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Acquisition cost for the third quarter was $147 million, compared with $13 million in the prior quarter. This cost is included in Other. See Note 2 to the Financial Statements for additional detail regarding these charges.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third quarter of 2011, our operating profit was $814 million, or 23.5 percent of revenue, compared with $1.23 billion, or 32.8 percent of revenue, for the year-ago quarter and $905 million, or 26.2 percent of revenue, for the prior quarter.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41" w:right="27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decrease from the year-ago quarter was due to lower gross profit and, to a lesser extent, acquisition cost. Compared with the prior quarter, operating profit decreased $91 million, or 10 percent, due to acquisition cost, which was partially offset by lower operating expenses.</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Interest and debt expense was $15 million compared with $6 million for the prior quarter. The increase was due to the accrual of a full quarter's worth of interest expense on our $3.5 billion of long-term debt issued in May 2011. See Note 5 to Financial Statements for details regarding debt outstanding.</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Other income and expense (net) for the third quarter was a net expense of $19 million compared with income of $8 million for the year-ago quarter and $10 million for the prior quarter. The decrease in each comparison was due to an expense associated with a lawsuit related to a divested business.</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2011, our estimated annual effective tax rate for 2011 is about 25 percent. Quarterly income taxes are calculated using the estimated annual effective tax rate. See Note 6 to the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2011, our tax provision was $179 million compared with $376 million in the year-ago quarter and $237 million in the prior quarter.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tax provision in each comparison was primarily due to lower income before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2011, our net income was $601 million compared with $859 million for the year-ago quarter and $672 million for the prior quarter.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EPS was $0.51 compared with $0.71 for the year-ago quarter and $0.56 for the prior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Orders in the third quarter were $3.07 billion, a decrease of 10 percent from the year-ago quarter and 15 percent from the prior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89"/>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3Q11</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3Q11</w:t>
            </w:r>
          </w:p>
        </w:tc>
      </w:tr>
      <w:tr>
        <w:trPr>
          <w:trHeight w:val="248"/>
        </w:trPr>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vs. 3Q10</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vs. 2Q11</w:t>
            </w: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8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w:t>
            </w:r>
          </w:p>
        </w:tc>
        <w:tc>
          <w:tcPr>
            <w:tcW w:w="1820" w:type="dxa"/>
            <w:vAlign w:val="bottom"/>
            <w:gridSpan w:val="3"/>
          </w:tcPr>
          <w:p>
            <w:pPr>
              <w:jc w:val="right"/>
              <w:ind w:right="70"/>
              <w:spacing w:after="0"/>
              <w:rPr>
                <w:sz w:val="20"/>
                <w:szCs w:val="20"/>
                <w:color w:val="auto"/>
              </w:rPr>
            </w:pPr>
            <w:r>
              <w:rPr>
                <w:rFonts w:ascii="Arial" w:cs="Arial" w:eastAsia="Arial" w:hAnsi="Arial"/>
                <w:sz w:val="18"/>
                <w:szCs w:val="18"/>
                <w:color w:val="auto"/>
              </w:rPr>
              <w:t>(7) %</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Analog revenue decreased 2 percent from the year-ago quarter due to decreased shipments of HPA products. Revenue from National is reported in the Analog segment as SVA and contributed $18 million from the acquisition date through September 30, 2011. Analog revenue decreased 2 percent from the prior quarter primarily due to lower revenue from HPA and Power products resulting from a lower proportion of shipments of higher-priced products. Revenue from HVAL products was about even compared with the year-ago quarter but increased from the prior quarter due to an increased proportion of shipments of higher-priced products. Operating profit decreased from both the year-ago quarter and prior quarter due to lower gross profit.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89"/>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3Q11</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3Q11</w:t>
            </w:r>
          </w:p>
        </w:tc>
      </w:tr>
      <w:tr>
        <w:trPr>
          <w:trHeight w:val="248"/>
        </w:trPr>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3Q10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vs. 3Q10</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vs. 2Q11</w:t>
            </w: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1820" w:type="dxa"/>
            <w:vAlign w:val="bottom"/>
            <w:gridSpan w:val="3"/>
          </w:tcPr>
          <w:p>
            <w:pPr>
              <w:jc w:val="right"/>
              <w:ind w:right="70"/>
              <w:spacing w:after="0"/>
              <w:rPr>
                <w:sz w:val="20"/>
                <w:szCs w:val="20"/>
                <w:color w:val="auto"/>
              </w:rPr>
            </w:pPr>
            <w:r>
              <w:rPr>
                <w:rFonts w:ascii="Arial" w:cs="Arial" w:eastAsia="Arial" w:hAnsi="Arial"/>
                <w:sz w:val="18"/>
                <w:szCs w:val="18"/>
                <w:color w:val="auto"/>
              </w:rPr>
              <w:t>(20) %</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675"/>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ind w:right="180"/>
        <w:spacing w:after="0" w:line="264" w:lineRule="auto"/>
        <w:rPr>
          <w:sz w:val="20"/>
          <w:szCs w:val="20"/>
          <w:color w:val="auto"/>
        </w:rPr>
      </w:pPr>
      <w:r>
        <w:rPr>
          <w:rFonts w:ascii="Arial" w:cs="Arial" w:eastAsia="Arial" w:hAnsi="Arial"/>
          <w:sz w:val="18"/>
          <w:szCs w:val="18"/>
          <w:color w:val="auto"/>
        </w:rPr>
        <w:t>Embedded Processing revenue decreased 7 percent from the year-ago quarter and 10 percent from the prior quarter, primarily due to decreased shipments of higher-priced catalog products. Lower shipments of products sold into communications infrastructure applications also contributed to the decline from the prior quarter. Operating profit decreased in both comparisons due to lower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3Q11</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380" w:type="dxa"/>
            <w:vAlign w:val="bottom"/>
          </w:tcPr>
          <w:p>
            <w:pPr>
              <w:spacing w:after="0"/>
              <w:rPr>
                <w:sz w:val="19"/>
                <w:szCs w:val="19"/>
                <w:color w:val="auto"/>
              </w:rPr>
            </w:pPr>
          </w:p>
        </w:tc>
      </w:tr>
      <w:tr>
        <w:trPr>
          <w:trHeight w:val="248"/>
        </w:trPr>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vs. 3Q10</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vs. 2Q11</w:t>
            </w:r>
          </w:p>
        </w:tc>
        <w:tc>
          <w:tcPr>
            <w:tcW w:w="380" w:type="dxa"/>
            <w:vAlign w:val="bottom"/>
          </w:tcPr>
          <w:p>
            <w:pPr>
              <w:spacing w:after="0"/>
              <w:rPr>
                <w:sz w:val="21"/>
                <w:szCs w:val="2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820" w:type="dxa"/>
            <w:vAlign w:val="bottom"/>
            <w:gridSpan w:val="4"/>
          </w:tcPr>
          <w:p>
            <w:pPr>
              <w:jc w:val="right"/>
              <w:ind w:right="70"/>
              <w:spacing w:after="0"/>
              <w:rPr>
                <w:sz w:val="20"/>
                <w:szCs w:val="20"/>
                <w:color w:val="auto"/>
              </w:rPr>
            </w:pPr>
            <w:r>
              <w:rPr>
                <w:rFonts w:ascii="Arial" w:cs="Arial" w:eastAsia="Arial" w:hAnsi="Arial"/>
                <w:sz w:val="18"/>
                <w:szCs w:val="18"/>
                <w:color w:val="auto"/>
              </w:rPr>
              <w:t>(5) %</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Wireless revenue decreased 24 percent from the year-ago quarter due to decreased shipments of baseband products. Wireless revenue increased 4 percent from the prior quarter due to increased shipments of baseband products. Baseband revenue for the third quarter of 2011 was $263 million, a decrease of $175 million, or 40 percent, from the year-ago quarter, and increased $35 million, or 16 percent, from the prior quarter. Revenue from applications processors increased compared with the year-ago quarter, a result of an increased proportion of shipments of higher-priced products. Compared with the prior quarter, revenue from application processors increased due to higher shipments. Revenue from connectivity products decreased in both comparisons due to lower shipments. The decrease in Wireless operating profit from the year-ago quarter was primarily due to lower revenue and associated gross profit. The decrease in operating profit from the prior quarter was due to lower gross profit partially offset by lower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3Q11</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380" w:type="dxa"/>
            <w:vAlign w:val="bottom"/>
          </w:tcPr>
          <w:p>
            <w:pPr>
              <w:spacing w:after="0"/>
              <w:rPr>
                <w:sz w:val="19"/>
                <w:szCs w:val="19"/>
                <w:color w:val="auto"/>
              </w:rPr>
            </w:pPr>
          </w:p>
        </w:tc>
      </w:tr>
      <w:tr>
        <w:trPr>
          <w:trHeight w:val="248"/>
        </w:trPr>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vs. 3Q10</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vs. 2Q11</w:t>
            </w:r>
          </w:p>
        </w:tc>
        <w:tc>
          <w:tcPr>
            <w:tcW w:w="380" w:type="dxa"/>
            <w:vAlign w:val="bottom"/>
          </w:tcPr>
          <w:p>
            <w:pPr>
              <w:spacing w:after="0"/>
              <w:rPr>
                <w:sz w:val="21"/>
                <w:szCs w:val="2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820" w:type="dxa"/>
            <w:vAlign w:val="bottom"/>
            <w:gridSpan w:val="4"/>
          </w:tcPr>
          <w:p>
            <w:pPr>
              <w:jc w:val="right"/>
              <w:ind w:right="70"/>
              <w:spacing w:after="0"/>
              <w:rPr>
                <w:sz w:val="20"/>
                <w:szCs w:val="20"/>
                <w:color w:val="auto"/>
              </w:rPr>
            </w:pPr>
            <w:r>
              <w:rPr>
                <w:rFonts w:ascii="Arial" w:cs="Arial" w:eastAsia="Arial" w:hAnsi="Arial"/>
                <w:sz w:val="18"/>
                <w:szCs w:val="18"/>
                <w:color w:val="auto"/>
              </w:rPr>
              <w:t>(11) %</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*Includes $23 million of net proceeds received in the third quarter of 2011 from ongoing insurance claims associated with the earthquake and $50 million of net costs recognized in the second quarter of 2011. Acquisition cost associated with the National acquisition was $147 million in the third quarter of 2011 and $13 million in the second quarter of 2011.</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Other revenue decreased 3 percent from the year-ago quarter, due about equally to the sale of a cable modem product line in the fourth quarter of 2010 and declines across most product areas. These declines were partially offset by increased revenue from transitional supply agreements and the proceeds from ongoing insurance claims associated with the earthquake. Compared with the prior quarter, revenue increased 10 percent due to increased shipments of DLP products and, to a lesser extent, insurance proceeds. Operating profit for the third quarter of 2011 decreased from the year-ago quarter and the prior quarter due to acquisition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2011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2011, we report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was $10.32 billion, down $126 million from the year-ago period as increased shipments in our core businesses offset declines in baseband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core businesses consist of Analog and Embedded Processing and the part of our Wireless segment that is focused on smartphones and tablet computers.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from baseband products in the Wireless segment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decreased $453 million from the year-ago period due to lower shipments.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$5.22 billion, a decrease of $398 million, or 7 percent, from the year-ago period due primarily to lower revenue and lower factory utilization.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was 50.6 percent of revenue compared with 53.9 percent in the year-ago period.</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R&amp;D expense of $1.24 billion increased $63 million, or 5 percent, from the year-ago period due to higher product development costs and, to a lesser extent, higher compensation-related costs associated with increased staffing levels. R&amp;D expense as a percent of revenue was 12.0 percent compared with 11.3 percent in the year-ago period.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SG&amp;A expense was $1.19 billion, an increase of $65 million, or 6 percent, from the year-ago period, due to increased investments in sales and marketing activities and, to a lesser extent, higher compensation-related costs associated with increased staffing levels. SG&amp;A expense as a percent of revenue was 11.6 percent compared with 10.8 percent in the year-ago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cost was $162 million in the first nine months of 2011.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profit was $2.63 billion, or 25.5 percent of revenue, compared with $3.28 billion, or 31.5 percent of revenue, in the year-ago period. The decrease was primarily due to lower gross profit and acquisition cost.</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tax provision was $669 million compared with $1.02 billion in the year-ago period. The decrease was due to lower income before income taxes and, to a lesser extent, the effects of non-U.S. tax rates and the reinstatement in the fourth quarter of 2010 of the federal research tax credit.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$1.94 billion compared with $2.29 billion in the year-ago period. EPS was $1.62 compared with $1.85 in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2011</w:t>
            </w:r>
          </w:p>
        </w:tc>
        <w:tc>
          <w:tcPr>
            <w:tcW w:w="560" w:type="dxa"/>
            <w:vAlign w:val="bottom"/>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vs.</w:t>
            </w:r>
          </w:p>
        </w:tc>
        <w:tc>
          <w:tcPr>
            <w:tcW w:w="560" w:type="dxa"/>
            <w:vAlign w:val="bottom"/>
          </w:tcPr>
          <w:p>
            <w:pPr>
              <w:spacing w:after="0"/>
              <w:rPr>
                <w:sz w:val="18"/>
                <w:szCs w:val="18"/>
                <w:color w:val="auto"/>
              </w:rPr>
            </w:pPr>
          </w:p>
        </w:tc>
      </w:tr>
      <w:tr>
        <w:trPr>
          <w:trHeight w:val="234"/>
        </w:trPr>
        <w:tc>
          <w:tcPr>
            <w:tcW w:w="6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2010</w:t>
            </w:r>
          </w:p>
        </w:tc>
        <w:tc>
          <w:tcPr>
            <w:tcW w:w="560" w:type="dxa"/>
            <w:vAlign w:val="bottom"/>
          </w:tcPr>
          <w:p>
            <w:pPr>
              <w:spacing w:after="0"/>
              <w:rPr>
                <w:sz w:val="20"/>
                <w:szCs w:val="20"/>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4,680</w:t>
            </w: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4,461</w:t>
            </w:r>
          </w:p>
        </w:tc>
        <w:tc>
          <w:tcPr>
            <w:tcW w:w="1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1,278</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2120" w:type="dxa"/>
            <w:vAlign w:val="bottom"/>
            <w:gridSpan w:val="3"/>
          </w:tcPr>
          <w:p>
            <w:pPr>
              <w:jc w:val="right"/>
              <w:ind w:right="290"/>
              <w:spacing w:after="0"/>
              <w:rPr>
                <w:sz w:val="20"/>
                <w:szCs w:val="20"/>
                <w:color w:val="auto"/>
              </w:rPr>
            </w:pPr>
            <w:r>
              <w:rPr>
                <w:rFonts w:ascii="Arial" w:cs="Arial" w:eastAsia="Arial" w:hAnsi="Arial"/>
                <w:sz w:val="18"/>
                <w:szCs w:val="18"/>
                <w:color w:val="auto"/>
              </w:rPr>
              <w:t>(8) %</w:t>
            </w:r>
          </w:p>
        </w:tc>
      </w:tr>
      <w:tr>
        <w:trPr>
          <w:trHeight w:val="27"/>
        </w:trPr>
        <w:tc>
          <w:tcPr>
            <w:tcW w:w="6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7"/>
        </w:trPr>
        <w:tc>
          <w:tcPr>
            <w:tcW w:w="6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Analog revenue increased 5 percent from the year-ago period due to increased shipments across all product lines. For the first nine months of 2011, operating profit decreased 8 percent compared with the year-ago period, due to lower gross profit.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76"/>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2011</w:t>
            </w:r>
          </w:p>
        </w:tc>
        <w:tc>
          <w:tcPr>
            <w:tcW w:w="660" w:type="dxa"/>
            <w:vAlign w:val="bottom"/>
          </w:tcPr>
          <w:p>
            <w:pPr>
              <w:spacing w:after="0"/>
              <w:rPr>
                <w:sz w:val="24"/>
                <w:szCs w:val="24"/>
                <w:color w:val="auto"/>
              </w:rPr>
            </w:pPr>
          </w:p>
        </w:tc>
      </w:tr>
      <w:tr>
        <w:trPr>
          <w:trHeight w:val="216"/>
        </w:trPr>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vs.</w:t>
            </w:r>
          </w:p>
        </w:tc>
        <w:tc>
          <w:tcPr>
            <w:tcW w:w="66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2010</w:t>
            </w:r>
          </w:p>
        </w:tc>
        <w:tc>
          <w:tcPr>
            <w:tcW w:w="660" w:type="dxa"/>
            <w:vAlign w:val="bottom"/>
          </w:tcPr>
          <w:p>
            <w:pPr>
              <w:spacing w:after="0"/>
              <w:rPr>
                <w:sz w:val="20"/>
                <w:szCs w:val="20"/>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1,668</w:t>
            </w:r>
          </w:p>
        </w:tc>
        <w:tc>
          <w:tcPr>
            <w:tcW w:w="6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w:t>
            </w:r>
          </w:p>
        </w:tc>
        <w:tc>
          <w:tcPr>
            <w:tcW w:w="1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356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7"/>
        </w:trPr>
        <w:tc>
          <w:tcPr>
            <w:tcW w:w="6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Embedded Processing revenue increased 9 percent from the year-ago period due to increased shipments across all product lines. Compared with the year ago-period, operating profit increased 2 percent due to higher revenue and associated gross profit.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73"/>
        </w:trPr>
        <w:tc>
          <w:tcPr>
            <w:tcW w:w="5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YTD 2011</w:t>
            </w:r>
          </w:p>
        </w:tc>
      </w:tr>
      <w:tr>
        <w:trPr>
          <w:trHeight w:val="230"/>
        </w:trPr>
        <w:tc>
          <w:tcPr>
            <w:tcW w:w="5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vs.</w:t>
            </w:r>
          </w:p>
        </w:tc>
      </w:tr>
      <w:tr>
        <w:trPr>
          <w:trHeight w:val="234"/>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YTD 2010</w:t>
            </w:r>
          </w:p>
        </w:tc>
      </w:tr>
      <w:tr>
        <w:trPr>
          <w:trHeight w:val="41"/>
        </w:trPr>
        <w:tc>
          <w:tcPr>
            <w:tcW w:w="59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1,797</w:t>
            </w:r>
          </w:p>
        </w:tc>
        <w:tc>
          <w:tcPr>
            <w:tcW w:w="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2,211</w:t>
            </w:r>
          </w:p>
        </w:tc>
        <w:tc>
          <w:tcPr>
            <w:tcW w:w="24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301</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502</w:t>
            </w:r>
          </w:p>
        </w:tc>
        <w:tc>
          <w:tcPr>
            <w:tcW w:w="2480" w:type="dxa"/>
            <w:vAlign w:val="bottom"/>
            <w:gridSpan w:val="3"/>
          </w:tcPr>
          <w:p>
            <w:pPr>
              <w:jc w:val="right"/>
              <w:ind w:right="260"/>
              <w:spacing w:after="0"/>
              <w:rPr>
                <w:sz w:val="20"/>
                <w:szCs w:val="20"/>
                <w:color w:val="auto"/>
              </w:rPr>
            </w:pPr>
            <w:r>
              <w:rPr>
                <w:rFonts w:ascii="Arial" w:cs="Arial" w:eastAsia="Arial" w:hAnsi="Arial"/>
                <w:sz w:val="18"/>
                <w:szCs w:val="18"/>
                <w:color w:val="auto"/>
              </w:rPr>
              <w:t>(40) %</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7"/>
        </w:trPr>
        <w:tc>
          <w:tcPr>
            <w:tcW w:w="5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Wireless revenue decreased 19 percent from the year-ago period due to decreased shipments of baseband products. Baseband revenue was $825 million, a decrease of 35 percent from the year-ago period. Partially offsetting this decrease was increased revenue from increased shipments of higher-priced applications processor products. Compared with the year-ago period, operating profit decreased due to lower revenue and associated gross profit.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YTD 2011</w:t>
            </w:r>
          </w:p>
        </w:tc>
      </w:tr>
      <w:tr>
        <w:trPr>
          <w:trHeight w:val="230"/>
        </w:trPr>
        <w:tc>
          <w:tcPr>
            <w:tcW w:w="5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YTD</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56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vs.</w:t>
            </w:r>
          </w:p>
        </w:tc>
      </w:tr>
      <w:tr>
        <w:trPr>
          <w:trHeight w:val="234"/>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20"/>
                <w:szCs w:val="20"/>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YTD 2010</w:t>
            </w:r>
          </w:p>
        </w:tc>
      </w:tr>
      <w:tr>
        <w:trPr>
          <w:trHeight w:val="41"/>
        </w:trPr>
        <w:tc>
          <w:tcPr>
            <w:tcW w:w="59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2,170</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2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692</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(34) %</w:t>
            </w: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7"/>
        </w:trPr>
        <w:tc>
          <w:tcPr>
            <w:tcW w:w="5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*Included in the first nine months of 2011 are (i) acquisition cost of $162 million and (ii) gross operating losses of $98 million less insurance proceeds of $20 million and $22 million related to ongoing property damage and business interruption claims, respectively.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revenue decreased 3 percent from the year-ago period due to lower royalties and, to a lesser extent, the sale of a cable modem product line in the fourth quarter of 2010. These decreases were partially offset by increased revenue from transitional supply agreements. Operating profit decreased from the year-ago period due lower gross profit and, to a lesser extent, acquisition cost.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the end of the third quarter of 2011, total cash (cash and cash equivalents plus short-term investments) was $2.62 billion, a decrease of $450 million from the end of 2010. This reflects the issuance of long-term debt in May 2011 and commercial paper in July 2011, the impact of sales and maturities of our short-term investments, and cash balances of National, less cash used to acquire National.</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receivable were $1.78 billion at the end of the third quarter. This was an increase of $266 million from the end of 2010. Days sales outstanding were 46 at the end of the quarter compared with 39 at the end of 2010. The increase in accounts receivable was primarily due to receivables acquired through the National acquisition, and to a lesser extent, calculators, which was the result of seasonally higher revenue. Excluding the impact of National, days sales outstanding would have been 43 days (non-GAAP).</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Inventory was $1.97 billion at the end of the third quarter. This was an increase of $445 million from the end of 2010. This increase included $215 million of remaining inventory that was acquired as part of the National acquisition, which was valued at fair value in accordance with the acquisition method of accounting for business combinations. Days of inventory at the end of the third quarter were 103 compared with 83 at the end of 2010. Excluding the inventory and the cost of revenue impact associated with National, our days of inventory would have been 92 days at the end of the third quarter (non-GAAP). The remaining increase in inventory was due to rebuilding inventory to support higher customer service levels with shorter lead times.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sources of liquidity are our cash flows from operations, cash and cash equivalents, short-term investments and revolving credit facilities. Cash flow from operations for the first nine months of 2011 was $2.29 billion, a decrease of $305 million from the year-ago period primarily due to the decrease in net income.</w:t>
      </w:r>
    </w:p>
    <w:p>
      <w:pPr>
        <w:spacing w:after="0" w:line="262"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As of September 30, 2011, we have $1.58 billion of cash and cash equivalents and $1.04 billion of short-term investments. We maintain lines of credit to provide additional liquidity through bank loans and to support commercial paper borrowings. As of September 30, 2011, we had a variable-rate revolving credit facility that allows us to borrow for general corporate purposes up to $920 million until August 2012. We have an additional variable-rate revolving credit facility that allows us to borrow an additional $1 billion until July 2012. In July 2011, we issued $1.2 billion of commercial paper supported by these credit facilities.</w:t>
      </w:r>
    </w:p>
    <w:p>
      <w:pPr>
        <w:spacing w:after="0" w:line="2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first nine months of 2011, investing activities used cash of $5.18 billion compared with $509 million for the year-ago period. Capital expenditures in the first nine months of 2011 totaled $663 million. This was a decrease of $235 million from the year-ago period due to decreased expenditures for assembly/test and wafer manufacturing equipment. In the first nine months of 2011, we used $5.39 billion to acquire National, which is net of $1.15 billion of cash acquired as detailed in Note 2 to the Financial Statements. We funded the acquisition with a combination of existing cash on hand and proceeds from debt and investment sales. During the first nine months of 2011, sales and maturities of short-term investments, net of purchases, provided cash of $791 million compared with $364 million in the year-ago period.</w:t>
      </w:r>
    </w:p>
    <w:p>
      <w:pPr>
        <w:spacing w:after="0" w:line="2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Financing activities provided net cash of $3.15 billion for the first nine months of 2011 and used $2.17 billion in the year-ago period. For the first nine months of 2011, we received proceeds of $3.50 billion from the issuance in May of fixed- and variable-rate long-term debt (net of the original issuance discount) and $1.2 billion from the issuance of commercial paper in July. The commercial paper was issued for general corporate purposes and to maintain cash balances at desired levels. In conjunction with the issuance of long-term debt, we also entered into an interest rate swap that effectively fixes the interest rate on the long-term variable-rate debt. See Note 5 to the Financial Statements for additional details. During the first nine months of 2011, we used $1.67 billion of cash to repurchase 49 million shares of our common stock and paid dividends of $451 million. In the same period last year, we used $1.85 billion of cash to repurchase 74 million shares of common stock and paid $439 million in dividends. Employee exercises of TI stock options provided cash proceeds of $563 million compared with $20 million for the year-ago period.</w:t>
      </w:r>
    </w:p>
    <w:p>
      <w:pPr>
        <w:spacing w:after="0" w:line="2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15, 2011, we announced a 31 percent increase in our quarterly cash dividend rate. The new quarterly dividend increased from $0.13 to $0.17 per share, resulting in annual dividend payments of $0.68 per share. The new quarterly cash dividend will be payable November 21, 2011, to stockholders of record on October 31, 2011. This is the eighth consecutive year we have increased our dividend. We have paid dividends to our shareholders on an uninterrupted basis since June 1, 1962.</w:t>
      </w:r>
    </w:p>
    <w:p>
      <w:pPr>
        <w:spacing w:after="0" w:line="26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2011, we expect approximately: an annual effective tax rate of 25 percent; R&amp;D expense of $1.7 billion; capital expenditures of $900 million; and depreciation of $900 million.</w:t>
      </w:r>
    </w:p>
    <w:p>
      <w:pPr>
        <w:spacing w:after="0" w:line="2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EPS will be negatively impacted by about 15 cents from acquisition-related costs in the fourth quarter. These costs will include about $160 million of acquisition cost and about $100 million included in cost of revenue.</w:t>
      </w:r>
    </w:p>
    <w:p>
      <w:pPr>
        <w:spacing w:after="0" w:line="25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Information concerning our long-term contractual obligations is contained on page 43 of Exhibit 13 to our Form 10-K for the year ended December 31, 2010, and is incorporated by reference, with the exception of the maturity dates of our long-term contractual obligations related to our $3.5 billion principal amount of fixed- and variable-rate debt issued in May 2011 and National's long-term debt securities that we assumed as of the acquisition date. See Note 5 to the Financial Statements for detailed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the MD&amp;A, we have presented non-GAAP financial information on both days of inventory and days sales outstanding excluding the impact of balances and activity related to our National acquisition, which was consummated on September 23, 2011. These non-GAAP measures should be considered in addition to, and not as a substitute for, nor should they be considered superior to, the comparable measures prepared in accordance with GAAP.</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quarterly results include National’s results of operations for the period from the closing of the acquisition to the end of the quarter. Acquisition accounting requires us to include National's balance sheet items, written up to fair value. Because the acquisition closed so shortly before TI’s quarter ended on September 30, operating ratios that compare balance sheet amounts to income statement amounts may not be representative of our actual results for the full quarter.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provided this non-GAAP presentation of days of inventory and days sales outstanding information to give investors additional insight into TI’s underlying business conditions and results without the impact of these anomalies. The table below provides a reconciliation of the non-GAAP measures to our third-quarter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1440" w:type="dxa"/>
            <w:vAlign w:val="bottom"/>
          </w:tcPr>
          <w:p>
            <w:pPr>
              <w:spacing w:after="0"/>
              <w:rPr>
                <w:sz w:val="20"/>
                <w:szCs w:val="20"/>
                <w:color w:val="auto"/>
              </w:rPr>
            </w:pPr>
          </w:p>
        </w:tc>
      </w:tr>
      <w:tr>
        <w:trPr>
          <w:trHeight w:val="270"/>
        </w:trPr>
        <w:tc>
          <w:tcPr>
            <w:tcW w:w="5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 2011</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TI Excluding</w:t>
            </w:r>
          </w:p>
        </w:tc>
      </w:t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TI As Reported</w:t>
            </w:r>
          </w:p>
        </w:tc>
        <w:tc>
          <w:tcPr>
            <w:tcW w:w="1600" w:type="dxa"/>
            <w:vAlign w:val="bottom"/>
          </w:tcPr>
          <w:p>
            <w:pPr>
              <w:jc w:val="right"/>
              <w:ind w:right="710"/>
              <w:spacing w:after="0"/>
              <w:rPr>
                <w:sz w:val="20"/>
                <w:szCs w:val="20"/>
                <w:color w:val="auto"/>
              </w:rPr>
            </w:pPr>
            <w:r>
              <w:rPr>
                <w:rFonts w:ascii="Arial" w:cs="Arial" w:eastAsia="Arial" w:hAnsi="Arial"/>
                <w:sz w:val="18"/>
                <w:szCs w:val="18"/>
                <w:b w:val="1"/>
                <w:bCs w:val="1"/>
                <w:color w:val="auto"/>
              </w:rPr>
              <w:t>Less</w:t>
            </w:r>
          </w:p>
        </w:tc>
        <w:tc>
          <w:tcPr>
            <w:tcW w:w="28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National</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(GAAP)</w:t>
            </w: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National</w:t>
            </w:r>
          </w:p>
        </w:tc>
        <w:tc>
          <w:tcPr>
            <w:tcW w:w="28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(Non-GAAP)</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72"/>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1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of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 days</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 days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Accounts receivable, net of allowances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1,784</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(140)</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1,644</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3,466</w:t>
            </w:r>
          </w:p>
        </w:tc>
        <w:tc>
          <w:tcPr>
            <w:tcW w:w="1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46 days</w:t>
            </w: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 days</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2010, and is incorporated by reference to such exhibit, with the exception of interest rate risk, which is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long-term debt and an associated interest rate swap (which is designed to offset the impact of changes in interest rates).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Prior to the second quarter of 2011, we had no debt. Therefore, our primary exposure to changes in interest rates was limited to the effect on the fair values of our investments in cash equivalents and short-term investments.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September 30, 2011, a hypothetical 10 basis point increase or decrease in interest rates would change the fair value of our long-term debt by a decrease or increase of $13 million, respectively. Because interest rates on our long-term debts are fixed or have been swapped to fixed rates, changes in interest rates would not affect the cash flows associated with long-term debt. A hypothetical 10 basis point increase or decrease in interest rates would not change the fair value of our $1.2 billion of outstanding commercial paper because of its short duration.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w:t>
      </w:r>
    </w:p>
    <w:p>
      <w:pPr>
        <w:sectPr>
          <w:pgSz w:w="11900" w:h="16838" w:orient="portrait"/>
          <w:cols w:equalWidth="0" w:num="1">
            <w:col w:w="11420"/>
          </w:cols>
          <w:pgMar w:left="240" w:top="796"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96" w:right="239" w:bottom="1440" w:gutter="0" w:footer="0" w:header="0"/>
          <w:type w:val="continuous"/>
        </w:sectPr>
      </w:pPr>
    </w:p>
    <w:bookmarkStart w:id="31" w:name="page32"/>
    <w:bookmarkEnd w:id="31"/>
    <w:p>
      <w:pPr>
        <w:spacing w:after="0" w:line="297" w:lineRule="auto"/>
        <w:rPr>
          <w:sz w:val="20"/>
          <w:szCs w:val="20"/>
          <w:color w:val="auto"/>
        </w:rPr>
      </w:pPr>
      <w:r>
        <w:rPr>
          <w:rFonts w:ascii="Arial" w:cs="Arial" w:eastAsia="Arial" w:hAnsi="Arial"/>
          <w:sz w:val="16"/>
          <w:szCs w:val="16"/>
          <w:color w:val="auto"/>
        </w:rPr>
        <w:t>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665" w:right="31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Information concerning risk factors is contained on pages 9-12 of our Form 10-K for the year ended December 31, 2010 and in Item 1A of TI’s Form 10-Q for the quarter ended June 30, 2011, and is incorporated by reference, with the exception of the additional risk factor discussed below.</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ability to successfully integrate acquisitions could affect our business plans and results of operations.</w:t>
      </w:r>
    </w:p>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2011, we acquired National Semiconductor Corporation. Such a transaction can involve significant integration challenges and there can be no assurance that pre-acquisition due diligence will have identified all possible issues and risks that might arise with respect to the acquisition. If we are unable to timely and successfully integrate the acquired operations, product lines and technology, we may not be able to realize the expected benefits of the acquisition, which could adversely affect our business plans and operating results.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56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Total Number</w:t>
            </w:r>
          </w:p>
        </w:tc>
        <w:tc>
          <w:tcPr>
            <w:tcW w:w="20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of Shares</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Purchased as</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Part of</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Publicly</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Announced</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6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Plans or</w:t>
            </w:r>
          </w:p>
        </w:tc>
        <w:tc>
          <w:tcPr>
            <w:tcW w:w="2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Plans or</w:t>
            </w:r>
          </w:p>
        </w:tc>
      </w:tr>
      <w:tr>
        <w:trPr>
          <w:trHeight w:val="261"/>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0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3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2020" w:type="dxa"/>
            <w:vAlign w:val="bottom"/>
            <w:tcBorders>
              <w:bottom w:val="single" w:sz="8" w:color="auto"/>
            </w:tcBorders>
          </w:tcPr>
          <w:p>
            <w:pPr>
              <w:jc w:val="center"/>
              <w:ind w:right="190"/>
              <w:spacing w:after="0" w:line="262"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5"/>
                <w:szCs w:val="25"/>
                <w:b w:val="1"/>
                <w:bCs w:val="1"/>
                <w:color w:val="auto"/>
                <w:w w:val="85"/>
                <w:vertAlign w:val="superscript"/>
              </w:rPr>
              <w:t>(1)</w:t>
            </w:r>
          </w:p>
        </w:tc>
      </w:tr>
      <w:tr>
        <w:trPr>
          <w:trHeight w:val="244"/>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through July 31, 2011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14,115,976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31.88</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14,115,976</w:t>
            </w:r>
          </w:p>
        </w:tc>
        <w:tc>
          <w:tcPr>
            <w:tcW w:w="2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$ 5.97 billion</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August 1 through August 31, 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20" w:type="dxa"/>
            <w:vAlign w:val="bottom"/>
          </w:tcPr>
          <w:p>
            <w:pPr>
              <w:ind w:left="740"/>
              <w:spacing w:after="0"/>
              <w:rPr>
                <w:sz w:val="20"/>
                <w:szCs w:val="20"/>
                <w:color w:val="auto"/>
              </w:rPr>
            </w:pPr>
            <w:r>
              <w:rPr>
                <w:rFonts w:ascii="Arial" w:cs="Arial" w:eastAsia="Arial" w:hAnsi="Arial"/>
                <w:sz w:val="18"/>
                <w:szCs w:val="18"/>
                <w:color w:val="auto"/>
              </w:rPr>
              <w:t>$ 5.97 billion</w:t>
            </w:r>
          </w:p>
        </w:tc>
      </w:tr>
      <w:tr>
        <w:trPr>
          <w:trHeight w:val="27"/>
        </w:trPr>
        <w:tc>
          <w:tcPr>
            <w:tcW w:w="3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September 1 through September 30, 2011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$ 5.97 billion</w:t>
            </w:r>
          </w:p>
        </w:tc>
      </w:tr>
      <w:tr>
        <w:trPr>
          <w:trHeight w:val="335"/>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14,115,976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31.88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xml:space="preserve">14,115,976 </w:t>
            </w:r>
            <w:r>
              <w:rPr>
                <w:rFonts w:ascii="Arial" w:cs="Arial" w:eastAsia="Arial" w:hAnsi="Arial"/>
                <w:sz w:val="25"/>
                <w:szCs w:val="25"/>
                <w:color w:val="auto"/>
                <w:vertAlign w:val="superscript"/>
              </w:rPr>
              <w:t>(2)</w:t>
            </w:r>
          </w:p>
        </w:tc>
        <w:tc>
          <w:tcPr>
            <w:tcW w:w="2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9"/>
              </w:rPr>
              <w:t xml:space="preserve">$ 5.97 billion </w:t>
            </w:r>
            <w:r>
              <w:rPr>
                <w:rFonts w:ascii="Arial" w:cs="Arial" w:eastAsia="Arial" w:hAnsi="Arial"/>
                <w:sz w:val="25"/>
                <w:szCs w:val="25"/>
                <w:color w:val="auto"/>
                <w:w w:val="99"/>
                <w:vertAlign w:val="superscript"/>
              </w:rPr>
              <w:t>(3)</w:t>
            </w:r>
          </w:p>
        </w:tc>
      </w:tr>
    </w:tbl>
    <w:p>
      <w:pPr>
        <w:spacing w:after="0" w:line="130" w:lineRule="exact"/>
        <w:rPr>
          <w:sz w:val="20"/>
          <w:szCs w:val="20"/>
          <w:color w:val="auto"/>
        </w:rPr>
      </w:pPr>
    </w:p>
    <w:p>
      <w:pPr>
        <w:ind w:left="340" w:right="20" w:hanging="318"/>
        <w:spacing w:after="0" w:line="216"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1" w:lineRule="exact"/>
        <w:rPr>
          <w:rFonts w:ascii="Arial" w:cs="Arial" w:eastAsia="Arial" w:hAnsi="Arial"/>
          <w:sz w:val="25"/>
          <w:szCs w:val="25"/>
          <w:color w:val="auto"/>
          <w:vertAlign w:val="superscript"/>
        </w:rPr>
      </w:pPr>
    </w:p>
    <w:p>
      <w:pPr>
        <w:ind w:left="340" w:hanging="318"/>
        <w:spacing w:after="0" w:line="180"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40" w:right="240" w:hanging="318"/>
        <w:spacing w:after="0" w:line="208"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As of September 30, 2011, this amount consisted of the remaining portion of the $7.5 billion authorization. No expiration date was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121"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ITEM 6. Exhibits.</w:t>
            </w:r>
          </w:p>
        </w:tc>
        <w:tc>
          <w:tcPr>
            <w:tcW w:w="9880" w:type="dxa"/>
            <w:vAlign w:val="bottom"/>
          </w:tcPr>
          <w:p>
            <w:pPr>
              <w:spacing w:after="0"/>
              <w:rPr>
                <w:sz w:val="20"/>
                <w:szCs w:val="20"/>
                <w:color w:val="auto"/>
              </w:rPr>
            </w:pPr>
          </w:p>
        </w:tc>
      </w:tr>
      <w:tr>
        <w:trPr>
          <w:trHeight w:val="36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880" w:type="dxa"/>
            <w:vAlign w:val="bottom"/>
          </w:tcPr>
          <w:p>
            <w:pPr>
              <w:spacing w:after="0"/>
              <w:rPr>
                <w:sz w:val="24"/>
                <w:szCs w:val="24"/>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880" w:type="dxa"/>
            <w:vAlign w:val="bottom"/>
          </w:tcPr>
          <w:p>
            <w:pPr>
              <w:spacing w:after="0"/>
              <w:rPr>
                <w:sz w:val="18"/>
                <w:szCs w:val="18"/>
                <w:color w:val="auto"/>
              </w:rPr>
            </w:pPr>
          </w:p>
        </w:tc>
      </w:t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101.sch</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101.cal</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101.lab</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40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 and</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costs savings from the acquisition.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312" w:lineRule="auto"/>
        <w:rPr>
          <w:sz w:val="20"/>
          <w:szCs w:val="20"/>
          <w:color w:val="auto"/>
        </w:rPr>
      </w:pPr>
      <w:r>
        <w:rPr>
          <w:rFonts w:ascii="Arial" w:cs="Arial" w:eastAsia="Arial" w:hAnsi="Arial"/>
          <w:sz w:val="16"/>
          <w:szCs w:val="16"/>
          <w:color w:val="auto"/>
        </w:rPr>
        <w:t>For a more detailed discussion of these factors, see the Risk Factors discussions in Item 1A of TI’s most recent Form 10-K, Item 1A of TI’s Form 10-Q for the quarter ended June 30, 2011 and Item 1A of this report on Form 10-Q. The forward-looking statements included in this report on Form 10-Q are made only as of the date of this report, and we undertake no obligation to update the forward-looking statements to reflect subsequent events or circumstances.</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125" w:right="49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November 4,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3" w:lineRule="exact"/>
        <w:rPr>
          <w:sz w:val="20"/>
          <w:szCs w:val="20"/>
          <w:color w:val="auto"/>
        </w:rPr>
      </w:pPr>
    </w:p>
    <w:p>
      <w:pPr>
        <w:ind w:left="440" w:right="20"/>
        <w:spacing w:after="0" w:line="277"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4, 2011</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3" w:lineRule="exact"/>
        <w:rPr>
          <w:sz w:val="20"/>
          <w:szCs w:val="20"/>
          <w:color w:val="auto"/>
        </w:rPr>
      </w:pPr>
    </w:p>
    <w:p>
      <w:pPr>
        <w:ind w:left="440" w:right="20"/>
        <w:spacing w:after="0" w:line="277" w:lineRule="auto"/>
        <w:tabs>
          <w:tab w:leader="none" w:pos="6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4, 2011</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5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0"/>
        <w:spacing w:after="0" w:line="26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2011,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4, 2011</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0"/>
        <w:spacing w:after="0" w:line="26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2011,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4, 2011</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S"/>
      <w:numFmt w:val="bullet"/>
      <w:start w:val="1"/>
    </w:lvl>
  </w:abstractNum>
  <w:abstractNum w:abstractNumId="1">
    <w:nsid w:val="109CF92E"/>
    <w:multiLevelType w:val="hybridMultilevel"/>
    <w:lvl w:ilvl="0">
      <w:lvlJc w:val="left"/>
      <w:lvlText w:val="%1"/>
      <w:numFmt w:val="decimal"/>
      <w:start w:val="262"/>
    </w:lvl>
  </w:abstractNum>
  <w:abstractNum w:abstractNumId="2">
    <w:nsid w:val="DED7263"/>
    <w:multiLevelType w:val="hybridMultilevel"/>
    <w:lvl w:ilvl="0">
      <w:lvlJc w:val="left"/>
      <w:lvlText w:val="%1."/>
      <w:numFmt w:val="decimal"/>
      <w:start w:val="1"/>
    </w:lvl>
    <w:lvl w:ilvl="1">
      <w:lvlJc w:val="left"/>
      <w:lvlText w:val="Ÿ"/>
      <w:numFmt w:val="bullet"/>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2019-12-10T03:57:33Z</dcterms:created>
  <dcterms:modified xsi:type="dcterms:W3CDTF">2019-12-10T03:57:33Z</dcterms:modified>
</cp:coreProperties>
</file>