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940"/>
        <w:spacing w:after="0"/>
        <w:rPr>
          <w:sz w:val="20"/>
          <w:szCs w:val="20"/>
          <w:color w:val="auto"/>
        </w:rPr>
      </w:pPr>
      <w:r>
        <w:rPr>
          <w:rFonts w:ascii="Arial" w:cs="Arial" w:eastAsia="Arial" w:hAnsi="Arial"/>
          <w:sz w:val="22"/>
          <w:szCs w:val="22"/>
          <w:b w:val="1"/>
          <w:bCs w:val="1"/>
          <w:color w:val="auto"/>
        </w:rPr>
        <w:t>DATE OF REPORT (DATE OF EARLIEST EVENT REPORTED): July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2"/>
              </w:rPr>
              <w:t>P.O. BOX 660199</w:t>
            </w:r>
          </w:p>
        </w:tc>
        <w:tc>
          <w:tcPr>
            <w:tcW w:w="1720" w:type="dxa"/>
            <w:vAlign w:val="bottom"/>
          </w:tcPr>
          <w:p>
            <w:pPr>
              <w:spacing w:after="0"/>
              <w:rPr>
                <w:sz w:val="18"/>
                <w:szCs w:val="18"/>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5"/>
              </w:rPr>
              <w:t>DALLAS, TEXAS 75266-0199</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902335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598" w:right="7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July 22, 2015, regarding its second-quarter 2015 results of operations and financial condition is attached hereto as Exhibit 99.</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00"/>
          </w:cols>
          <w:pgMar w:left="240" w:top="341" w:right="25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10120"/>
          </w:cols>
          <w:pgMar w:left="240" w:top="341" w:right="25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July 22, 2015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July 22, 2015</w:t>
            </w: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By:  /s/ Kevin P. March</w:t>
            </w:r>
          </w:p>
        </w:tc>
      </w:tr>
      <w:tr>
        <w:trPr>
          <w:trHeight w:val="195"/>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P. March</w:t>
            </w:r>
          </w:p>
        </w:tc>
      </w:t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2Q15 financial results and shareholder returns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DALLAS (July 22, 2015) – Texas Instruments Incorporated (TI) (NASDAQ: TXN) today reported second-quarter revenue of $3.23 billion, net income of $696 million and earnings per share of 65 cents.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1020" w:right="120" w:hanging="49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declined 2 percent year over year, inclusive of notably weak demand in communications equipment and continued strong demand in automotive.</w:t>
      </w:r>
    </w:p>
    <w:p>
      <w:pPr>
        <w:spacing w:after="0" w:line="62" w:lineRule="exact"/>
        <w:rPr>
          <w:rFonts w:ascii="Arial" w:cs="Arial" w:eastAsia="Arial" w:hAnsi="Arial"/>
          <w:sz w:val="18"/>
          <w:szCs w:val="18"/>
          <w:color w:val="auto"/>
        </w:rPr>
      </w:pPr>
    </w:p>
    <w:p>
      <w:pPr>
        <w:ind w:left="1020" w:right="60" w:hanging="49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so, our core businesses of Analog and Embedded Processing, together, grew slightly year over year and comprised 85 percent of second-quarter revenue. Analog delivered its eighth consecutive quarter of year-over-year growth.</w:t>
      </w:r>
    </w:p>
    <w:p>
      <w:pPr>
        <w:spacing w:after="0" w:line="62"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58.2 percent was up 1 percentage point from a year ago, reflecting the diversity and longevity of our product portfolio, as well as the efficiency of our manufacturing strategy.</w:t>
      </w:r>
    </w:p>
    <w:p>
      <w:pPr>
        <w:spacing w:after="0" w:line="62" w:lineRule="exact"/>
        <w:rPr>
          <w:rFonts w:ascii="Arial" w:cs="Arial" w:eastAsia="Arial" w:hAnsi="Arial"/>
          <w:sz w:val="18"/>
          <w:szCs w:val="18"/>
          <w:color w:val="auto"/>
        </w:rPr>
      </w:pPr>
    </w:p>
    <w:p>
      <w:pPr>
        <w:jc w:val="both"/>
        <w:ind w:left="1020" w:right="220" w:hanging="494"/>
        <w:spacing w:after="0" w:line="26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once again underscored the strength of our business model. Free cash flow for the trailing 12 months was up 13 percent from a year ago to $3.6 billion, or 27 percent of revenue. This represents an increase of 2 percentage points from a year ago and is consistent with our targeted range of 20-30 percent of revenue.</w:t>
      </w:r>
    </w:p>
    <w:p>
      <w:pPr>
        <w:spacing w:after="0" w:line="73" w:lineRule="exact"/>
        <w:rPr>
          <w:rFonts w:ascii="Arial" w:cs="Arial" w:eastAsia="Arial" w:hAnsi="Arial"/>
          <w:sz w:val="18"/>
          <w:szCs w:val="18"/>
          <w:color w:val="auto"/>
        </w:rPr>
      </w:pPr>
    </w:p>
    <w:p>
      <w:pPr>
        <w:ind w:left="1020" w:hanging="49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returned $4.1 billion to shareholders in the past 12 months through stock repurchases and dividends.</w:t>
      </w:r>
    </w:p>
    <w:p>
      <w:pPr>
        <w:spacing w:after="0" w:line="117" w:lineRule="exact"/>
        <w:rPr>
          <w:rFonts w:ascii="Arial" w:cs="Arial" w:eastAsia="Arial" w:hAnsi="Arial"/>
          <w:sz w:val="18"/>
          <w:szCs w:val="18"/>
          <w:color w:val="auto"/>
        </w:rPr>
      </w:pPr>
    </w:p>
    <w:p>
      <w:pPr>
        <w:ind w:left="1020" w:right="500" w:hanging="49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strategy to return to shareholders 100 percent of free cash flow plus proceeds from exercises of equity compensation minus net debt retirement reflects our confidence in the long-term sustainability of our business model.</w:t>
      </w:r>
    </w:p>
    <w:p>
      <w:pPr>
        <w:spacing w:after="0" w:line="62" w:lineRule="exact"/>
        <w:rPr>
          <w:rFonts w:ascii="Arial" w:cs="Arial" w:eastAsia="Arial" w:hAnsi="Arial"/>
          <w:sz w:val="18"/>
          <w:szCs w:val="18"/>
          <w:color w:val="auto"/>
        </w:rPr>
      </w:pPr>
    </w:p>
    <w:p>
      <w:pPr>
        <w:ind w:left="1020" w:right="500" w:hanging="494"/>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$3.3 billion of cash and short-term investments at the end of the quarter, 82 percent of which was owned by the company’s U.S. entities. Inventory ended the quarter at 126 days.</w:t>
      </w:r>
    </w:p>
    <w:p>
      <w:pPr>
        <w:spacing w:after="0" w:line="62" w:lineRule="exact"/>
        <w:rPr>
          <w:rFonts w:ascii="Arial" w:cs="Arial" w:eastAsia="Arial" w:hAnsi="Arial"/>
          <w:sz w:val="18"/>
          <w:szCs w:val="18"/>
          <w:color w:val="auto"/>
        </w:rPr>
      </w:pPr>
    </w:p>
    <w:p>
      <w:pPr>
        <w:jc w:val="both"/>
        <w:ind w:left="1020" w:right="120" w:hanging="494"/>
        <w:spacing w:after="0" w:line="312"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“While strength in demand varies by end markets, our market in total is expected to be weaker year over year in the third quarter than it was in the second. Consistent with this view, TI’s outlook is for revenue in the range of $3.15 billion to $3.41 billion, and earnings per share between 62 and 72 cents. For the year 2015, TI’s annual effective tax rate is expected to be about 30 percent, unchanged from previous guidance.”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5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67"/>
              <w:spacing w:after="0"/>
              <w:rPr>
                <w:sz w:val="20"/>
                <w:szCs w:val="20"/>
                <w:color w:val="auto"/>
              </w:rPr>
            </w:pPr>
            <w:r>
              <w:rPr>
                <w:rFonts w:ascii="Arial" w:cs="Arial" w:eastAsia="Arial" w:hAnsi="Arial"/>
                <w:sz w:val="14"/>
                <w:szCs w:val="14"/>
                <w:color w:val="auto"/>
              </w:rPr>
              <w:t>2Q15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7"/>
              <w:spacing w:after="0"/>
              <w:rPr>
                <w:sz w:val="20"/>
                <w:szCs w:val="20"/>
                <w:color w:val="auto"/>
              </w:rPr>
            </w:pPr>
            <w:r>
              <w:rPr>
                <w:rFonts w:ascii="Arial" w:cs="Arial" w:eastAsia="Arial" w:hAnsi="Arial"/>
                <w:sz w:val="14"/>
                <w:szCs w:val="14"/>
                <w:color w:val="auto"/>
              </w:rPr>
              <w:t>2Q14</w:t>
            </w:r>
          </w:p>
        </w:tc>
        <w:tc>
          <w:tcPr>
            <w:tcW w:w="16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color w:val="auto"/>
                <w:w w:val="97"/>
              </w:rPr>
              <w:t>Change</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1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5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44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424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40" w:type="dxa"/>
            <w:vAlign w:val="bottom"/>
            <w:gridSpan w:val="4"/>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2Q15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4"/>
                <w:szCs w:val="14"/>
                <w:color w:val="auto"/>
              </w:rPr>
              <w:t>Trailing 12 Months</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color w:val="auto"/>
              </w:rPr>
              <w:t>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98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gridSpan w:val="4"/>
          </w:tcPr>
          <w:p>
            <w:pPr>
              <w:jc w:val="right"/>
              <w:ind w:right="290"/>
              <w:spacing w:after="0" w:line="155" w:lineRule="exact"/>
              <w:rPr>
                <w:sz w:val="20"/>
                <w:szCs w:val="20"/>
                <w:color w:val="auto"/>
              </w:rPr>
            </w:pPr>
            <w:r>
              <w:rPr>
                <w:rFonts w:ascii="Arial" w:cs="Arial" w:eastAsia="Arial" w:hAnsi="Arial"/>
                <w:sz w:val="14"/>
                <w:szCs w:val="14"/>
                <w:color w:val="auto"/>
              </w:rPr>
              <w:t>2Q15</w:t>
            </w:r>
          </w:p>
        </w:tc>
        <w:tc>
          <w:tcPr>
            <w:tcW w:w="2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color w:val="auto"/>
              </w:rPr>
              <w:t>2Q14</w:t>
            </w: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15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820</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8"/>
              </w:rPr>
              <w:t>4,084</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3,587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228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125</w:t>
            </w:r>
          </w:p>
        </w:tc>
        <w:tc>
          <w:tcPr>
            <w:tcW w:w="78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80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2280" w:type="dxa"/>
            <w:vAlign w:val="bottom"/>
            <w:gridSpan w:val="2"/>
            <w:shd w:val="clear" w:color="auto" w:fill="CFF0FC"/>
          </w:tcPr>
          <w:p>
            <w:pPr>
              <w:jc w:val="right"/>
              <w:ind w:right="519"/>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695</w:t>
            </w:r>
          </w:p>
        </w:tc>
        <w:tc>
          <w:tcPr>
            <w:tcW w:w="78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8"/>
              </w:rPr>
              <w:t>3,608</w:t>
            </w:r>
          </w:p>
        </w:tc>
        <w:tc>
          <w:tcPr>
            <w:tcW w:w="80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3,199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Free cash flow % of revenue</w:t>
            </w: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gridSpan w:val="4"/>
          </w:tcPr>
          <w:p>
            <w:pPr>
              <w:jc w:val="right"/>
              <w:ind w:right="33"/>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12 months were 4 percent of revenue. The company’s long-term expectation is about 4 percent.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3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74"/>
              <w:spacing w:after="0"/>
              <w:rPr>
                <w:sz w:val="20"/>
                <w:szCs w:val="20"/>
                <w:color w:val="auto"/>
              </w:rPr>
            </w:pPr>
            <w:r>
              <w:rPr>
                <w:rFonts w:ascii="Arial" w:cs="Arial" w:eastAsia="Arial" w:hAnsi="Arial"/>
                <w:sz w:val="14"/>
                <w:szCs w:val="14"/>
                <w:color w:val="auto"/>
              </w:rPr>
              <w:t>2Q15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ind w:left="340"/>
              <w:spacing w:after="0"/>
              <w:rPr>
                <w:sz w:val="20"/>
                <w:szCs w:val="20"/>
                <w:color w:val="auto"/>
              </w:rPr>
            </w:pPr>
            <w:r>
              <w:rPr>
                <w:rFonts w:ascii="Arial" w:cs="Arial" w:eastAsia="Arial" w:hAnsi="Arial"/>
                <w:sz w:val="14"/>
                <w:szCs w:val="14"/>
                <w:color w:val="auto"/>
              </w:rPr>
              <w:t>Trailing 12 Months</w:t>
            </w:r>
          </w:p>
        </w:tc>
        <w:tc>
          <w:tcPr>
            <w:tcW w:w="1040" w:type="dxa"/>
            <w:vAlign w:val="bottom"/>
            <w:vMerge w:val="restart"/>
          </w:tcPr>
          <w:p>
            <w:pPr>
              <w:ind w:left="280"/>
              <w:spacing w:after="0"/>
              <w:rPr>
                <w:sz w:val="20"/>
                <w:szCs w:val="20"/>
                <w:color w:val="auto"/>
              </w:rPr>
            </w:pPr>
            <w:r>
              <w:rPr>
                <w:rFonts w:ascii="Arial" w:cs="Arial" w:eastAsia="Arial" w:hAnsi="Arial"/>
                <w:sz w:val="14"/>
                <w:szCs w:val="14"/>
                <w:color w:val="auto"/>
              </w:rPr>
              <w:t>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Borders>
              <w:bottom w:val="single" w:sz="8" w:color="CFF0FC"/>
            </w:tcBorders>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color w:val="auto"/>
              </w:rPr>
              <w:t>2Q15</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color w:val="auto"/>
              </w:rPr>
              <w:t>2Q14</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Stock repurchases</w:t>
            </w:r>
          </w:p>
        </w:tc>
        <w:tc>
          <w:tcPr>
            <w:tcW w:w="21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654</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2,931</w:t>
            </w:r>
          </w:p>
        </w:tc>
        <w:tc>
          <w:tcPr>
            <w:tcW w:w="2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21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4,213</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targeted cash return is 100 percent of free cash flow plus proceeds from exercises of equity compensation minus net debt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360045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445" w:right="7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gridSpan w:val="3"/>
          </w:tcPr>
          <w:p>
            <w:pPr>
              <w:jc w:val="right"/>
              <w:ind w:right="366"/>
              <w:spacing w:after="0"/>
              <w:rPr>
                <w:sz w:val="20"/>
                <w:szCs w:val="20"/>
                <w:color w:val="auto"/>
              </w:rPr>
            </w:pPr>
            <w:r>
              <w:rPr>
                <w:rFonts w:ascii="Arial" w:cs="Arial" w:eastAsia="Arial" w:hAnsi="Arial"/>
                <w:sz w:val="14"/>
                <w:szCs w:val="14"/>
                <w:b w:val="1"/>
                <w:bCs w:val="1"/>
                <w:color w:val="auto"/>
                <w:w w:val="94"/>
              </w:rPr>
              <w:t>For 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88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3,232</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 (COR)</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1,881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Acquisition charges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w:t>
            </w:r>
          </w:p>
        </w:tc>
        <w:tc>
          <w:tcPr>
            <w:tcW w:w="1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Operating profit</w:t>
            </w: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1,010</w:t>
            </w: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debt expense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989</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2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696</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FF0FC"/>
            </w:tcBorders>
            <w:vMerge w:val="continue"/>
          </w:tcPr>
          <w:p>
            <w:pPr>
              <w:spacing w:after="0"/>
              <w:rPr>
                <w:sz w:val="21"/>
                <w:szCs w:val="21"/>
                <w:color w:val="auto"/>
              </w:rPr>
            </w:pP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24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right"/>
              <w:ind w:right="98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diluted shares outstanding (millions)</w:t>
            </w:r>
          </w:p>
        </w:tc>
        <w:tc>
          <w:tcPr>
            <w:tcW w:w="9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1,051</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40" w:type="dxa"/>
            <w:vAlign w:val="bottom"/>
          </w:tcPr>
          <w:p>
            <w:pPr>
              <w:spacing w:after="0"/>
              <w:rPr>
                <w:sz w:val="18"/>
                <w:szCs w:val="18"/>
                <w:color w:val="auto"/>
              </w:rPr>
            </w:pPr>
          </w:p>
        </w:tc>
        <w:tc>
          <w:tcPr>
            <w:tcW w:w="1140" w:type="dxa"/>
            <w:vAlign w:val="bottom"/>
            <w:tcBorders>
              <w:bottom w:val="single" w:sz="8" w:color="auto"/>
            </w:tcBorders>
          </w:tcPr>
          <w:p>
            <w:pPr>
              <w:jc w:val="right"/>
              <w:ind w:right="98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240" w:type="dxa"/>
            <w:vAlign w:val="bottom"/>
          </w:tcPr>
          <w:p>
            <w:pPr>
              <w:spacing w:after="0"/>
              <w:rPr>
                <w:sz w:val="20"/>
                <w:szCs w:val="20"/>
                <w:color w:val="auto"/>
              </w:rPr>
            </w:pP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7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w:t>
            </w:r>
          </w:p>
        </w:tc>
        <w:tc>
          <w:tcPr>
            <w:tcW w:w="7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7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140" w:type="dxa"/>
            <w:vAlign w:val="bottom"/>
            <w:gridSpan w:val="2"/>
            <w:shd w:val="clear" w:color="auto" w:fill="CFF0FC"/>
          </w:tcPr>
          <w:p>
            <w:pPr>
              <w:jc w:val="right"/>
              <w:ind w:right="756"/>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1,184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2,122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 net of allowances of ($17) and ($14)</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1,434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Raw materials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Work in process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Finished goods</w:t>
            </w:r>
          </w:p>
        </w:tc>
        <w:tc>
          <w:tcPr>
            <w:tcW w:w="1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1,885</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347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1,088</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current assets</w:t>
            </w:r>
          </w:p>
        </w:tc>
        <w:tc>
          <w:tcPr>
            <w:tcW w:w="1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8,060</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at cost</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6,097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(3,412)</w:t>
            </w:r>
          </w:p>
        </w:tc>
        <w:tc>
          <w:tcPr>
            <w:tcW w:w="4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Property, plant and equipment, net</w:t>
            </w:r>
          </w:p>
        </w:tc>
        <w:tc>
          <w:tcPr>
            <w:tcW w:w="1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2,685</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Long-term investments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Goodwill, net</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4,362</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1,742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169</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Overfunded retirement plans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17,532</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140" w:type="dxa"/>
            <w:vAlign w:val="bottom"/>
            <w:gridSpan w:val="2"/>
          </w:tcPr>
          <w:p>
            <w:pPr>
              <w:jc w:val="right"/>
              <w:ind w:right="756"/>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1,750</w:t>
            </w:r>
          </w:p>
        </w:tc>
        <w:tc>
          <w:tcPr>
            <w:tcW w:w="2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Accrued compensation</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481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 payable</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117</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2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425</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current liabilities</w:t>
            </w:r>
          </w:p>
        </w:tc>
        <w:tc>
          <w:tcPr>
            <w:tcW w:w="1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3,193</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3,134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355</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credits and other liabilities</w:t>
            </w:r>
          </w:p>
        </w:tc>
        <w:tc>
          <w:tcPr>
            <w:tcW w:w="1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7,327</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$25 par value. Authorized – 10,000,000 shares.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Participating cumulative preferred. None issued.</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$1 par value. Authorized – 2,400,000,000 shares.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Shares issued – 1,740,815,939</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Paid-in capital</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1,504</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30,286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Treasury common stock at cost.</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740"/>
              <w:spacing w:after="0"/>
              <w:rPr>
                <w:sz w:val="20"/>
                <w:szCs w:val="20"/>
                <w:color w:val="auto"/>
              </w:rPr>
            </w:pPr>
            <w:r>
              <w:rPr>
                <w:rFonts w:ascii="Arial" w:cs="Arial" w:eastAsia="Arial" w:hAnsi="Arial"/>
                <w:sz w:val="18"/>
                <w:szCs w:val="18"/>
                <w:color w:val="auto"/>
              </w:rPr>
              <w:t>Shares: June 30, 2015 – 706,714,155; June 30, 2014 – 673,260,360</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5"/>
              </w:rPr>
              <w:t>(22,812)</w:t>
            </w:r>
          </w:p>
        </w:tc>
        <w:tc>
          <w:tcPr>
            <w:tcW w:w="4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income (loss), net of taxes (AOCI)</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(514)</w:t>
            </w: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12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10,205</w:t>
            </w:r>
          </w:p>
        </w:tc>
        <w:tc>
          <w:tcPr>
            <w:tcW w:w="2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17,532</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76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For 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940" w:type="dxa"/>
            <w:vAlign w:val="bottom"/>
            <w:gridSpan w:val="2"/>
          </w:tcPr>
          <w:p>
            <w:pPr>
              <w:jc w:val="right"/>
              <w:ind w:right="842"/>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696</w:t>
            </w:r>
          </w:p>
        </w:tc>
        <w:tc>
          <w:tcPr>
            <w:tcW w:w="22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Adjustments to Net income:</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Amortization of acquisition-related intangibles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Amortization of capitalized software</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Stock-based compensation</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Gains on sales of assets</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Deferred income taxes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(57)</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Increase (decrease) from changes in:</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Accounts receivable</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(40)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(5)</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Accrued compensation</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(225)</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Changes in funded status of retirement plans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Other</w:t>
            </w:r>
          </w:p>
        </w:tc>
        <w:tc>
          <w:tcPr>
            <w:tcW w:w="19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9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Capital expenditures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(125)</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Proceeds from asset sales</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Purchases of short-term investments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(919)</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Proceeds from short-term investments</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860</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9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Repayment of debt</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(250)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(354)</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Stock repurchases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(654)</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Proceeds from common stock transactions</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Excess tax benefit from share-based payments</w:t>
            </w:r>
          </w:p>
        </w:tc>
        <w:tc>
          <w:tcPr>
            <w:tcW w:w="19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w:t>
            </w: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9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(704)</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(1,926)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060" w:type="dxa"/>
            <w:vAlign w:val="bottom"/>
            <w:gridSpan w:val="2"/>
          </w:tcPr>
          <w:p>
            <w:pPr>
              <w:spacing w:after="0"/>
              <w:rPr>
                <w:sz w:val="20"/>
                <w:szCs w:val="20"/>
                <w:color w:val="auto"/>
              </w:rPr>
            </w:pPr>
            <w:r>
              <w:rPr>
                <w:rFonts w:ascii="Arial" w:cs="Arial" w:eastAsia="Arial" w:hAnsi="Arial"/>
                <w:sz w:val="18"/>
                <w:szCs w:val="18"/>
                <w:color w:val="auto"/>
              </w:rPr>
              <w:t>Net change in Cash and cash equivalents</w:t>
            </w:r>
          </w:p>
        </w:tc>
        <w:tc>
          <w:tcPr>
            <w:tcW w:w="1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w:t>
            </w:r>
          </w:p>
        </w:tc>
        <w:tc>
          <w:tcPr>
            <w:tcW w:w="10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1,242</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Pr>
          <w:p>
            <w:pPr>
              <w:spacing w:after="0"/>
              <w:rPr>
                <w:sz w:val="19"/>
                <w:szCs w:val="19"/>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20" w:type="dxa"/>
            <w:vAlign w:val="bottom"/>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2Q15 segment results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73"/>
              <w:spacing w:after="0"/>
              <w:rPr>
                <w:sz w:val="20"/>
                <w:szCs w:val="20"/>
                <w:color w:val="auto"/>
              </w:rPr>
            </w:pPr>
            <w:r>
              <w:rPr>
                <w:rFonts w:ascii="Arial" w:cs="Arial" w:eastAsia="Arial" w:hAnsi="Arial"/>
                <w:sz w:val="14"/>
                <w:szCs w:val="14"/>
                <w:color w:val="auto"/>
              </w:rPr>
              <w:t>2Q15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color w:val="auto"/>
              </w:rPr>
              <w:t>2Q14</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Change</w:t>
            </w:r>
          </w:p>
        </w:tc>
      </w:tr>
      <w:tr>
        <w:trPr>
          <w:trHeight w:val="223"/>
        </w:trPr>
        <w:tc>
          <w:tcPr>
            <w:tcW w:w="20" w:type="dxa"/>
            <w:vAlign w:val="bottom"/>
          </w:tcPr>
          <w:p>
            <w:pPr>
              <w:spacing w:after="0"/>
              <w:rPr>
                <w:sz w:val="19"/>
                <w:szCs w:val="19"/>
                <w:color w:val="auto"/>
              </w:rPr>
            </w:pPr>
          </w:p>
        </w:tc>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Operating profit</w:t>
            </w: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Embedded Processing:</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Revenue</w:t>
            </w: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Operating profit*</w:t>
            </w: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121" w:lineRule="exact"/>
        <w:rPr>
          <w:sz w:val="20"/>
          <w:szCs w:val="20"/>
          <w:color w:val="auto"/>
        </w:rPr>
      </w:pPr>
    </w:p>
    <w:p>
      <w:pPr>
        <w:ind w:left="1020" w:hanging="49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due to High Volume Analog &amp; Logic. Power Management also grew, Silicon Valley Analog was even and High Performance Analog declined.</w:t>
      </w:r>
    </w:p>
    <w:p>
      <w:pPr>
        <w:spacing w:after="0" w:line="62" w:lineRule="exact"/>
        <w:rPr>
          <w:rFonts w:ascii="Arial" w:cs="Arial" w:eastAsia="Arial" w:hAnsi="Arial"/>
          <w:sz w:val="18"/>
          <w:szCs w:val="18"/>
          <w:color w:val="auto"/>
        </w:rPr>
      </w:pPr>
    </w:p>
    <w:p>
      <w:pPr>
        <w:ind w:left="1020" w:hanging="49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Processor, Microcontrollers and Connectivity)</w:t>
      </w:r>
    </w:p>
    <w:p>
      <w:pPr>
        <w:spacing w:after="0" w:line="121" w:lineRule="exact"/>
        <w:rPr>
          <w:sz w:val="20"/>
          <w:szCs w:val="20"/>
          <w:color w:val="auto"/>
        </w:rPr>
      </w:pPr>
    </w:p>
    <w:p>
      <w:pPr>
        <w:ind w:left="1020" w:hanging="49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decreased due to Processor. Connectivity and Microcontrollers grew.</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due to lower operating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 products, custom ASIC products, calculators and royalties)</w:t>
      </w:r>
    </w:p>
    <w:p>
      <w:pPr>
        <w:spacing w:after="0" w:line="121" w:lineRule="exact"/>
        <w:rPr>
          <w:sz w:val="20"/>
          <w:szCs w:val="20"/>
          <w:color w:val="auto"/>
        </w:rPr>
      </w:pPr>
    </w:p>
    <w:p>
      <w:pPr>
        <w:ind w:left="1020" w:hanging="49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declined due to custom ASIC products. DLP products also declined, while calculators grew.</w:t>
      </w:r>
    </w:p>
    <w:p>
      <w:pPr>
        <w:spacing w:after="0" w:line="117" w:lineRule="exact"/>
        <w:rPr>
          <w:rFonts w:ascii="Arial" w:cs="Arial" w:eastAsia="Arial" w:hAnsi="Arial"/>
          <w:sz w:val="18"/>
          <w:szCs w:val="18"/>
          <w:color w:val="auto"/>
        </w:rPr>
      </w:pPr>
    </w:p>
    <w:p>
      <w:pPr>
        <w:ind w:left="1020" w:hanging="494"/>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decreased due to lower revenue and associated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460"/>
          </w:cols>
          <w:pgMar w:left="240" w:top="337" w:right="11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12 Months Ended</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98"/>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 from operations (GAAP)</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4,084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2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256"/>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Free cash flow (non-GAAP)</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3,608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jc w:val="right"/>
              <w:ind w:right="256"/>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13,152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12,547</w:t>
            </w:r>
          </w:p>
        </w:tc>
        <w:tc>
          <w:tcPr>
            <w:tcW w:w="2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Cash flow from operations as a percent of revenue</w:t>
            </w:r>
          </w:p>
        </w:tc>
        <w:tc>
          <w:tcPr>
            <w:tcW w:w="2100" w:type="dxa"/>
            <w:vAlign w:val="bottom"/>
            <w:vMerge w:val="restart"/>
            <w:shd w:val="clear" w:color="auto" w:fill="CFF0FC"/>
          </w:tcPr>
          <w:p>
            <w:pPr>
              <w:jc w:val="right"/>
              <w:ind w:right="390"/>
              <w:spacing w:after="0"/>
              <w:rPr>
                <w:sz w:val="20"/>
                <w:szCs w:val="20"/>
                <w:color w:val="auto"/>
              </w:rPr>
            </w:pPr>
            <w:r>
              <w:rPr>
                <w:rFonts w:ascii="Arial" w:cs="Arial" w:eastAsia="Arial" w:hAnsi="Arial"/>
                <w:sz w:val="18"/>
                <w:szCs w:val="18"/>
                <w:b w:val="1"/>
                <w:bCs w:val="1"/>
                <w:color w:val="auto"/>
              </w:rPr>
              <w:t>31%</w:t>
            </w:r>
          </w:p>
        </w:tc>
        <w:tc>
          <w:tcPr>
            <w:tcW w:w="2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(GAAP)</w:t>
            </w:r>
          </w:p>
        </w:tc>
        <w:tc>
          <w:tcPr>
            <w:tcW w:w="2100" w:type="dxa"/>
            <w:vAlign w:val="bottom"/>
            <w:vMerge w:val="continue"/>
            <w:shd w:val="clear" w:color="auto" w:fill="CFF0FC"/>
          </w:tcPr>
          <w:p>
            <w:pPr>
              <w:spacing w:after="0"/>
              <w:rPr>
                <w:sz w:val="20"/>
                <w:szCs w:val="20"/>
                <w:color w:val="auto"/>
              </w:rPr>
            </w:pPr>
          </w:p>
        </w:tc>
        <w:tc>
          <w:tcPr>
            <w:tcW w:w="204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100" w:type="dxa"/>
            <w:vAlign w:val="bottom"/>
          </w:tcPr>
          <w:p>
            <w:pPr>
              <w:jc w:val="right"/>
              <w:ind w:right="390"/>
              <w:spacing w:after="0"/>
              <w:rPr>
                <w:sz w:val="20"/>
                <w:szCs w:val="20"/>
                <w:color w:val="auto"/>
              </w:rPr>
            </w:pPr>
            <w:r>
              <w:rPr>
                <w:rFonts w:ascii="Arial" w:cs="Arial" w:eastAsia="Arial" w:hAnsi="Arial"/>
                <w:sz w:val="18"/>
                <w:szCs w:val="18"/>
                <w:b w:val="1"/>
                <w:bCs w:val="1"/>
                <w:color w:val="auto"/>
              </w:rPr>
              <w:t>27%</w:t>
            </w:r>
          </w:p>
        </w:tc>
        <w:tc>
          <w:tcPr>
            <w:tcW w:w="2040" w:type="dxa"/>
            <w:vAlign w:val="bottom"/>
          </w:tcPr>
          <w:p>
            <w:pPr>
              <w:jc w:val="right"/>
              <w:ind w:right="1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337"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8" w:lineRule="exact"/>
        <w:rPr>
          <w:sz w:val="20"/>
          <w:szCs w:val="20"/>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markets such as personal electronics and communications equipment;</w:t>
      </w:r>
    </w:p>
    <w:p>
      <w:pPr>
        <w:spacing w:after="0" w:line="63"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8"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63"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63"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63"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63" w:lineRule="exact"/>
        <w:rPr>
          <w:rFonts w:ascii="Arial" w:cs="Arial" w:eastAsia="Arial" w:hAnsi="Arial"/>
          <w:sz w:val="18"/>
          <w:szCs w:val="18"/>
          <w:color w:val="auto"/>
        </w:rPr>
      </w:pPr>
    </w:p>
    <w:p>
      <w:pPr>
        <w:ind w:left="1020" w:right="180" w:hanging="494"/>
        <w:spacing w:after="0" w:line="26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9"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TI, its customers or its suppliers operate;</w:t>
      </w:r>
    </w:p>
    <w:p>
      <w:pPr>
        <w:spacing w:after="0" w:line="86" w:lineRule="exact"/>
        <w:rPr>
          <w:rFonts w:ascii="Arial" w:cs="Arial" w:eastAsia="Arial" w:hAnsi="Arial"/>
          <w:sz w:val="16"/>
          <w:szCs w:val="16"/>
          <w:color w:val="auto"/>
        </w:rPr>
      </w:pPr>
    </w:p>
    <w:p>
      <w:pPr>
        <w:ind w:left="1020" w:hanging="49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86" w:lineRule="exact"/>
        <w:rPr>
          <w:rFonts w:ascii="Arial" w:cs="Arial" w:eastAsia="Arial" w:hAnsi="Arial"/>
          <w:sz w:val="16"/>
          <w:szCs w:val="16"/>
          <w:color w:val="auto"/>
        </w:rPr>
      </w:pPr>
    </w:p>
    <w:p>
      <w:pPr>
        <w:ind w:left="1020" w:right="260" w:hanging="49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8" w:lineRule="exact"/>
        <w:rPr>
          <w:rFonts w:ascii="Arial" w:cs="Arial" w:eastAsia="Arial" w:hAnsi="Arial"/>
          <w:sz w:val="18"/>
          <w:szCs w:val="18"/>
          <w:color w:val="auto"/>
        </w:rPr>
      </w:pPr>
    </w:p>
    <w:p>
      <w:pPr>
        <w:ind w:left="1020" w:right="80" w:hanging="494"/>
        <w:spacing w:after="0" w:line="317"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TI is or may become subject, or actions of enforcement authorities, that restrict our ability to manufacture our products or operate our business, or subject us to fines, penalties, or other legal liability;</w:t>
      </w:r>
    </w:p>
    <w:p>
      <w:pPr>
        <w:ind w:left="1020" w:hanging="494"/>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86" w:lineRule="exact"/>
        <w:rPr>
          <w:rFonts w:ascii="Arial" w:cs="Arial" w:eastAsia="Arial" w:hAnsi="Arial"/>
          <w:sz w:val="16"/>
          <w:szCs w:val="16"/>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63"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63"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63"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63"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63" w:lineRule="exact"/>
        <w:rPr>
          <w:rFonts w:ascii="Arial" w:cs="Arial" w:eastAsia="Arial" w:hAnsi="Arial"/>
          <w:sz w:val="18"/>
          <w:szCs w:val="18"/>
          <w:color w:val="auto"/>
        </w:rPr>
      </w:pPr>
    </w:p>
    <w:p>
      <w:pPr>
        <w:ind w:left="1020" w:right="80" w:hanging="49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recalls by TI customers for a product containing a TI part or other legal proceedings;</w:t>
      </w:r>
    </w:p>
    <w:p>
      <w:pPr>
        <w:spacing w:after="0" w:line="8"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63" w:lineRule="exact"/>
        <w:rPr>
          <w:rFonts w:ascii="Arial" w:cs="Arial" w:eastAsia="Arial" w:hAnsi="Arial"/>
          <w:sz w:val="18"/>
          <w:szCs w:val="18"/>
          <w:color w:val="auto"/>
        </w:rPr>
      </w:pPr>
    </w:p>
    <w:p>
      <w:pPr>
        <w:ind w:left="1020" w:right="20" w:hanging="49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8"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63" w:lineRule="exact"/>
        <w:rPr>
          <w:rFonts w:ascii="Arial" w:cs="Arial" w:eastAsia="Arial" w:hAnsi="Arial"/>
          <w:sz w:val="18"/>
          <w:szCs w:val="18"/>
          <w:color w:val="auto"/>
        </w:rPr>
      </w:pPr>
    </w:p>
    <w:p>
      <w:pPr>
        <w:ind w:left="1020" w:hanging="494"/>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8" w:lineRule="exact"/>
        <w:rPr>
          <w:rFonts w:ascii="Arial" w:cs="Arial" w:eastAsia="Arial" w:hAnsi="Arial"/>
          <w:sz w:val="18"/>
          <w:szCs w:val="18"/>
          <w:color w:val="auto"/>
        </w:rPr>
      </w:pPr>
    </w:p>
    <w:p>
      <w:pPr>
        <w:ind w:left="1020" w:hanging="49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1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2014. The forward-looking statements included in this release are made only as of the date of this release. TI undertakes no obligation to update any forward-looking statement, whether as a result of new information, future events or risks. If we do update any forward-looking statement, you should not infer that we will make additional updates with respect to that statement or any other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200"/>
      </w:cols>
      <w:pgMar w:left="240" w:top="66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9"/>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2019-12-05T15:32:19Z</dcterms:created>
  <dcterms:modified xsi:type="dcterms:W3CDTF">2019-12-05T15:32:19Z</dcterms:modified>
</cp:coreProperties>
</file>