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486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48665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VanScoter John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02/15/2005</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72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5"/>
              </w:rPr>
              <w:t>92,439.84</w:t>
            </w:r>
            <w:r>
              <w:rPr>
                <w:rFonts w:ascii="Arial" w:cs="Arial" w:eastAsia="Arial" w:hAnsi="Arial"/>
                <w:sz w:val="22"/>
                <w:szCs w:val="22"/>
                <w:color w:val="008000"/>
                <w:w w:val="85"/>
                <w:vertAlign w:val="superscript"/>
              </w:rPr>
              <w:t>(1)</w:t>
            </w:r>
          </w:p>
        </w:tc>
        <w:tc>
          <w:tcPr>
            <w:tcW w:w="1040" w:type="dxa"/>
            <w:vAlign w:val="bottom"/>
            <w:tcBorders>
              <w:bottom w:val="single" w:sz="8" w:color="2C2C2C"/>
            </w:tcBorders>
          </w:tcPr>
          <w:p>
            <w:pPr>
              <w:jc w:val="center"/>
              <w:ind w:left="21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720" w:type="dxa"/>
            <w:vAlign w:val="bottom"/>
            <w:tcBorders>
              <w:bottom w:val="single" w:sz="8" w:color="2C2C2C"/>
            </w:tcBorders>
          </w:tcPr>
          <w:p>
            <w:pPr>
              <w:jc w:val="center"/>
              <w:ind w:left="1532"/>
              <w:spacing w:after="0"/>
              <w:rPr>
                <w:sz w:val="20"/>
                <w:szCs w:val="20"/>
                <w:color w:val="auto"/>
              </w:rPr>
            </w:pPr>
            <w:r>
              <w:rPr>
                <w:rFonts w:ascii="Arial" w:cs="Arial" w:eastAsia="Arial" w:hAnsi="Arial"/>
                <w:sz w:val="18"/>
                <w:szCs w:val="18"/>
                <w:color w:val="0000FF"/>
                <w:w w:val="84"/>
              </w:rPr>
              <w:t>8,511.74</w:t>
            </w:r>
            <w:r>
              <w:rPr>
                <w:rFonts w:ascii="Arial" w:cs="Arial" w:eastAsia="Arial" w:hAnsi="Arial"/>
                <w:sz w:val="22"/>
                <w:szCs w:val="22"/>
                <w:color w:val="008000"/>
                <w:w w:val="84"/>
                <w:vertAlign w:val="superscript"/>
              </w:rPr>
              <w:t>(2)</w:t>
            </w:r>
          </w:p>
        </w:tc>
        <w:tc>
          <w:tcPr>
            <w:tcW w:w="1040" w:type="dxa"/>
            <w:vAlign w:val="bottom"/>
            <w:tcBorders>
              <w:bottom w:val="single" w:sz="8" w:color="2C2C2C"/>
            </w:tcBorders>
          </w:tcPr>
          <w:p>
            <w:pPr>
              <w:jc w:val="center"/>
              <w:ind w:left="21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Trust--CODA</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72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6"/>
              </w:rPr>
              <w:t>4,907.23</w:t>
            </w:r>
            <w:r>
              <w:rPr>
                <w:rFonts w:ascii="Arial" w:cs="Arial" w:eastAsia="Arial" w:hAnsi="Arial"/>
                <w:sz w:val="22"/>
                <w:szCs w:val="22"/>
                <w:color w:val="008000"/>
                <w:w w:val="86"/>
                <w:vertAlign w:val="superscript"/>
              </w:rPr>
              <w:t>(3)</w:t>
            </w:r>
          </w:p>
        </w:tc>
        <w:tc>
          <w:tcPr>
            <w:tcW w:w="1040" w:type="dxa"/>
            <w:vAlign w:val="bottom"/>
            <w:tcBorders>
              <w:bottom w:val="single" w:sz="8" w:color="2C2C2C"/>
            </w:tcBorders>
          </w:tcPr>
          <w:p>
            <w:pPr>
              <w:jc w:val="center"/>
              <w:ind w:left="21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Trust--PS</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7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Contractual Stock Interest</w:t>
            </w:r>
          </w:p>
        </w:tc>
        <w:tc>
          <w:tcPr>
            <w:tcW w:w="900" w:type="dxa"/>
            <w:vAlign w:val="bottom"/>
          </w:tcPr>
          <w:p>
            <w:pPr>
              <w:jc w:val="center"/>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8"/>
              </w:rPr>
              <w:t>163.9</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01/15/2007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35,000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8.47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01/14/2008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11.56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06/18/2008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13.19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01/15/2013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02/20/2013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01/20/2015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01/20/2009</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60,000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01/16/2012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02/21/2012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01/14/2014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80,000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(15)</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07/31/2011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(16)</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01/17/2011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01/19/2010</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8"/>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65,000 shares subject to terms of restricted stock units awarded under the 2000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Employee Cash or Deferred Compensation Account as of 2-15-2005.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2-15-2005.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 interest attributable to TI Benefit Restoration and Deferred Compensation account as of 2-15-2005. [Interests in this account are denominated in units. Consequently, share interest amount shown is an estimate.] Share interest to be settled in cash upon the reporting person's termination of service from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1998.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1999.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June 18, 1999.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three installments: 50% on the second anniversary of the option date, 25% on the third anniversary of the option date, and 25% on the fourth anniversary of the option date.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20, 2000.</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became 100% exercisable on February 21, 2003.</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02/18/2005</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9th day of February,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C. VanScoter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7458"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2019-12-16T02:59:28Z</dcterms:created>
  <dcterms:modified xsi:type="dcterms:W3CDTF">2019-12-16T02:59:28Z</dcterms:modified>
</cp:coreProperties>
</file>