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QUARTERLY REPORT UNDER SECTION 13 or 15(d)</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Quarter Ended September 30, 2003</w:t>
      </w:r>
    </w:p>
    <w:p>
      <w:pPr>
        <w:spacing w:after="0" w:line="15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1-3761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840" w:type="dxa"/>
        <w:tblCellMar>
          <w:top w:w="0" w:type="dxa"/>
          <w:left w:w="0" w:type="dxa"/>
          <w:bottom w:w="0" w:type="dxa"/>
          <w:right w:w="0" w:type="dxa"/>
        </w:tblCellMar>
      </w:tblPr>
      <w:tr>
        <w:trPr>
          <w:trHeight w:val="218"/>
        </w:trPr>
        <w:tc>
          <w:tcPr>
            <w:tcW w:w="5320" w:type="dxa"/>
            <w:vAlign w:val="bottom"/>
          </w:tcPr>
          <w:p>
            <w:pPr>
              <w:jc w:val="center"/>
              <w:ind w:right="1382"/>
              <w:spacing w:after="0"/>
              <w:rPr>
                <w:sz w:val="20"/>
                <w:szCs w:val="20"/>
                <w:color w:val="auto"/>
              </w:rPr>
            </w:pPr>
            <w:r>
              <w:rPr>
                <w:rFonts w:ascii="Arial" w:cs="Arial" w:eastAsia="Arial" w:hAnsi="Arial"/>
                <w:sz w:val="18"/>
                <w:szCs w:val="18"/>
                <w:b w:val="1"/>
                <w:bCs w:val="1"/>
                <w:color w:val="auto"/>
                <w:w w:val="88"/>
              </w:rPr>
              <w:t>Delaware</w:t>
            </w:r>
          </w:p>
        </w:tc>
        <w:tc>
          <w:tcPr>
            <w:tcW w:w="3520" w:type="dxa"/>
            <w:vAlign w:val="bottom"/>
          </w:tcPr>
          <w:p>
            <w:pPr>
              <w:jc w:val="center"/>
              <w:ind w:left="1362"/>
              <w:spacing w:after="0"/>
              <w:rPr>
                <w:sz w:val="20"/>
                <w:szCs w:val="20"/>
                <w:color w:val="auto"/>
              </w:rPr>
            </w:pPr>
            <w:r>
              <w:rPr>
                <w:rFonts w:ascii="Arial" w:cs="Arial" w:eastAsia="Arial" w:hAnsi="Arial"/>
                <w:sz w:val="18"/>
                <w:szCs w:val="18"/>
                <w:b w:val="1"/>
                <w:bCs w:val="1"/>
                <w:color w:val="auto"/>
                <w:w w:val="87"/>
              </w:rPr>
              <w:t>75-0289970</w:t>
            </w:r>
          </w:p>
        </w:tc>
      </w:tr>
      <w:tr>
        <w:trPr>
          <w:trHeight w:val="174"/>
        </w:trPr>
        <w:tc>
          <w:tcPr>
            <w:tcW w:w="5320" w:type="dxa"/>
            <w:vAlign w:val="bottom"/>
          </w:tcPr>
          <w:p>
            <w:pPr>
              <w:jc w:val="center"/>
              <w:ind w:right="1382"/>
              <w:spacing w:after="0"/>
              <w:rPr>
                <w:sz w:val="20"/>
                <w:szCs w:val="20"/>
                <w:color w:val="auto"/>
              </w:rPr>
            </w:pPr>
            <w:r>
              <w:rPr>
                <w:rFonts w:ascii="Arial" w:cs="Arial" w:eastAsia="Arial" w:hAnsi="Arial"/>
                <w:sz w:val="14"/>
                <w:szCs w:val="14"/>
                <w:b w:val="1"/>
                <w:bCs w:val="1"/>
                <w:color w:val="auto"/>
                <w:w w:val="89"/>
              </w:rPr>
              <w:t>(State of Incorporation)</w:t>
            </w:r>
          </w:p>
        </w:tc>
        <w:tc>
          <w:tcPr>
            <w:tcW w:w="3520" w:type="dxa"/>
            <w:vAlign w:val="bottom"/>
          </w:tcPr>
          <w:p>
            <w:pPr>
              <w:jc w:val="center"/>
              <w:ind w:left="138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5320" w:type="dxa"/>
            <w:vAlign w:val="bottom"/>
          </w:tcPr>
          <w:p>
            <w:pPr>
              <w:jc w:val="center"/>
              <w:ind w:right="1382"/>
              <w:spacing w:after="0"/>
              <w:rPr>
                <w:sz w:val="20"/>
                <w:szCs w:val="20"/>
                <w:color w:val="auto"/>
              </w:rPr>
            </w:pPr>
            <w:r>
              <w:rPr>
                <w:rFonts w:ascii="Arial" w:cs="Arial" w:eastAsia="Arial" w:hAnsi="Arial"/>
                <w:sz w:val="18"/>
                <w:szCs w:val="18"/>
                <w:b w:val="1"/>
                <w:bCs w:val="1"/>
                <w:color w:val="auto"/>
                <w:w w:val="88"/>
              </w:rPr>
              <w:t>12500 TI Boulevard, P.O. Box 660199, Dallas, Texas</w:t>
            </w:r>
          </w:p>
        </w:tc>
        <w:tc>
          <w:tcPr>
            <w:tcW w:w="3520" w:type="dxa"/>
            <w:vAlign w:val="bottom"/>
          </w:tcPr>
          <w:p>
            <w:pPr>
              <w:jc w:val="center"/>
              <w:ind w:left="1362"/>
              <w:spacing w:after="0"/>
              <w:rPr>
                <w:sz w:val="20"/>
                <w:szCs w:val="20"/>
                <w:color w:val="auto"/>
              </w:rPr>
            </w:pPr>
            <w:r>
              <w:rPr>
                <w:rFonts w:ascii="Arial" w:cs="Arial" w:eastAsia="Arial" w:hAnsi="Arial"/>
                <w:sz w:val="18"/>
                <w:szCs w:val="18"/>
                <w:b w:val="1"/>
                <w:bCs w:val="1"/>
                <w:color w:val="auto"/>
                <w:w w:val="87"/>
              </w:rPr>
              <w:t>75266-0199</w:t>
            </w:r>
          </w:p>
        </w:tc>
      </w:tr>
      <w:tr>
        <w:trPr>
          <w:trHeight w:val="174"/>
        </w:trPr>
        <w:tc>
          <w:tcPr>
            <w:tcW w:w="5320" w:type="dxa"/>
            <w:vAlign w:val="bottom"/>
          </w:tcPr>
          <w:p>
            <w:pPr>
              <w:jc w:val="center"/>
              <w:ind w:right="13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520" w:type="dxa"/>
            <w:vAlign w:val="bottom"/>
          </w:tcPr>
          <w:p>
            <w:pPr>
              <w:jc w:val="center"/>
              <w:ind w:left="1382"/>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207" w:lineRule="exact"/>
        <w:tabs>
          <w:tab w:leader="none" w:pos="8780" w:val="left"/>
          <w:tab w:leader="none" w:pos="946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4"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1,730,625,354</w:t>
      </w:r>
    </w:p>
    <w:p>
      <w:pPr>
        <w:spacing w:after="0" w:line="12"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Number of shares of Registrant’s common stock outstanding as of</w:t>
      </w:r>
    </w:p>
    <w:p>
      <w:pPr>
        <w:jc w:val="center"/>
        <w:ind w:right="-239"/>
        <w:spacing w:after="0"/>
        <w:rPr>
          <w:sz w:val="20"/>
          <w:szCs w:val="20"/>
          <w:color w:val="auto"/>
        </w:rPr>
      </w:pPr>
      <w:r>
        <w:rPr>
          <w:rFonts w:ascii="Arial" w:cs="Arial" w:eastAsia="Arial" w:hAnsi="Arial"/>
          <w:sz w:val="14"/>
          <w:szCs w:val="14"/>
          <w:b w:val="1"/>
          <w:bCs w:val="1"/>
          <w:color w:val="auto"/>
        </w:rPr>
        <w:t>September 30,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00"/>
          </w:cols>
          <w:pgMar w:left="240" w:top="355" w:right="4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 except per-share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950" w:type="dxa"/>
            <w:vAlign w:val="bottom"/>
            <w:gridSpan w:val="3"/>
          </w:tcPr>
          <w:p>
            <w:pPr>
              <w:jc w:val="center"/>
              <w:ind w:left="226"/>
              <w:spacing w:after="0"/>
              <w:rPr>
                <w:sz w:val="20"/>
                <w:szCs w:val="20"/>
                <w:color w:val="auto"/>
              </w:rPr>
            </w:pPr>
            <w:r>
              <w:rPr>
                <w:rFonts w:ascii="Arial" w:cs="Arial" w:eastAsia="Arial" w:hAnsi="Arial"/>
                <w:sz w:val="14"/>
                <w:szCs w:val="14"/>
                <w:b w:val="1"/>
                <w:bCs w:val="1"/>
                <w:color w:val="auto"/>
                <w:w w:val="92"/>
              </w:rPr>
              <w:t>For Three</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Nine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790" w:type="dxa"/>
            <w:vAlign w:val="bottom"/>
            <w:gridSpan w:val="6"/>
          </w:tcPr>
          <w:p>
            <w:pPr>
              <w:jc w:val="center"/>
              <w:ind w:right="530"/>
              <w:spacing w:after="0"/>
              <w:rPr>
                <w:sz w:val="20"/>
                <w:szCs w:val="20"/>
                <w:color w:val="auto"/>
              </w:rPr>
            </w:pPr>
            <w:r>
              <w:rPr>
                <w:rFonts w:ascii="Arial" w:cs="Arial" w:eastAsia="Arial" w:hAnsi="Arial"/>
                <w:sz w:val="14"/>
                <w:szCs w:val="14"/>
                <w:b w:val="1"/>
                <w:bCs w:val="1"/>
                <w:color w:val="auto"/>
                <w:w w:val="87"/>
              </w:rPr>
              <w:t>Months Ended</w:t>
            </w:r>
          </w:p>
        </w:tc>
        <w:tc>
          <w:tcPr>
            <w:tcW w:w="100" w:type="dxa"/>
            <w:vAlign w:val="bottom"/>
          </w:tcPr>
          <w:p>
            <w:pPr>
              <w:spacing w:after="0"/>
              <w:rPr>
                <w:sz w:val="15"/>
                <w:szCs w:val="15"/>
                <w:color w:val="auto"/>
              </w:rPr>
            </w:pPr>
          </w:p>
        </w:tc>
        <w:tc>
          <w:tcPr>
            <w:tcW w:w="13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Sept. 30,</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 30,</w:t>
            </w:r>
          </w:p>
        </w:tc>
        <w:tc>
          <w:tcPr>
            <w:tcW w:w="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3"/>
              </w:rPr>
              <w:t>Sept. 30,</w:t>
            </w:r>
          </w:p>
        </w:tc>
        <w:tc>
          <w:tcPr>
            <w:tcW w:w="0" w:type="dxa"/>
            <w:vAlign w:val="bottom"/>
          </w:tcPr>
          <w:p>
            <w:pPr>
              <w:spacing w:after="0"/>
              <w:rPr>
                <w:sz w:val="1"/>
                <w:szCs w:val="1"/>
                <w:color w:val="auto"/>
              </w:rPr>
            </w:pPr>
          </w:p>
        </w:tc>
      </w:tr>
      <w:tr>
        <w:trPr>
          <w:trHeight w:val="174"/>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41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3490" w:type="dxa"/>
            <w:vAlign w:val="bottom"/>
            <w:gridSpan w:val="3"/>
            <w:shd w:val="clear" w:color="auto" w:fill="CCEEFF"/>
          </w:tcPr>
          <w:p>
            <w:pPr>
              <w:ind w:left="3400"/>
              <w:spacing w:after="0"/>
              <w:rPr>
                <w:sz w:val="20"/>
                <w:szCs w:val="20"/>
                <w:color w:val="auto"/>
              </w:rPr>
            </w:pPr>
            <w:r>
              <w:rPr>
                <w:rFonts w:ascii="Arial" w:cs="Arial" w:eastAsia="Arial" w:hAnsi="Arial"/>
                <w:sz w:val="18"/>
                <w:szCs w:val="18"/>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2,248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7,064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1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468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143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loans</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3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gridSpan w:val="2"/>
          </w:tcPr>
          <w:p>
            <w:pPr>
              <w:jc w:val="right"/>
              <w:ind w:right="38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490" w:type="dxa"/>
            <w:vAlign w:val="bottom"/>
            <w:gridSpan w:val="3"/>
            <w:shd w:val="clear" w:color="auto" w:fill="CCEEFF"/>
          </w:tcPr>
          <w:p>
            <w:pPr>
              <w:ind w:left="3400"/>
              <w:spacing w:after="0"/>
              <w:rPr>
                <w:sz w:val="20"/>
                <w:szCs w:val="20"/>
                <w:color w:val="auto"/>
              </w:rPr>
            </w:pPr>
            <w:r>
              <w:rPr>
                <w:rFonts w:ascii="Arial" w:cs="Arial" w:eastAsia="Arial" w:hAnsi="Arial"/>
                <w:sz w:val="18"/>
                <w:szCs w:val="18"/>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41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490" w:type="dxa"/>
            <w:vAlign w:val="bottom"/>
            <w:gridSpan w:val="3"/>
            <w:shd w:val="clear" w:color="auto" w:fill="CCEEFF"/>
          </w:tcPr>
          <w:p>
            <w:pPr>
              <w:ind w:left="3400"/>
              <w:spacing w:after="0"/>
              <w:rPr>
                <w:sz w:val="20"/>
                <w:szCs w:val="20"/>
                <w:color w:val="auto"/>
              </w:rPr>
            </w:pPr>
            <w:r>
              <w:rPr>
                <w:rFonts w:ascii="Arial" w:cs="Arial" w:eastAsia="Arial" w:hAnsi="Arial"/>
                <w:sz w:val="18"/>
                <w:szCs w:val="18"/>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41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490" w:type="dxa"/>
            <w:vAlign w:val="bottom"/>
            <w:gridSpan w:val="3"/>
            <w:shd w:val="clear" w:color="auto" w:fill="CCEEFF"/>
          </w:tcPr>
          <w:p>
            <w:pPr>
              <w:ind w:left="3400"/>
              <w:spacing w:after="0"/>
              <w:rPr>
                <w:sz w:val="20"/>
                <w:szCs w:val="20"/>
                <w:color w:val="auto"/>
              </w:rPr>
            </w:pPr>
            <w:r>
              <w:rPr>
                <w:rFonts w:ascii="Arial" w:cs="Arial" w:eastAsia="Arial" w:hAnsi="Arial"/>
                <w:sz w:val="18"/>
                <w:szCs w:val="18"/>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41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3490" w:type="dxa"/>
            <w:vAlign w:val="bottom"/>
            <w:gridSpan w:val="3"/>
            <w:shd w:val="clear" w:color="auto" w:fill="CCEEFF"/>
          </w:tcPr>
          <w:p>
            <w:pPr>
              <w:ind w:left="3400"/>
              <w:spacing w:after="0"/>
              <w:rPr>
                <w:sz w:val="20"/>
                <w:szCs w:val="20"/>
                <w:color w:val="auto"/>
              </w:rPr>
            </w:pPr>
            <w:r>
              <w:rPr>
                <w:rFonts w:ascii="Arial" w:cs="Arial" w:eastAsia="Arial" w:hAnsi="Arial"/>
                <w:sz w:val="18"/>
                <w:szCs w:val="18"/>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380" w:type="dxa"/>
            <w:vAlign w:val="bottom"/>
            <w:vMerge w:val="restart"/>
          </w:tcPr>
          <w:p>
            <w:pPr>
              <w:jc w:val="right"/>
              <w:ind w:right="2212"/>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41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-1226185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-1226185</wp:posOffset>
            </wp:positionV>
            <wp:extent cx="2159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-1226185</wp:posOffset>
            </wp:positionV>
            <wp:extent cx="3873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-1226185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-1226185</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-1226185</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-1226185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-1226185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-1226185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-1226185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-1226185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-1226185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-926465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-926465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-926465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-926465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-926465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-926465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-926465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-926465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-926465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-926465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-926465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-926465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-626110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-626110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-626110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-626110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-626110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-626110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-626110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-626110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-626110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-626110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-626110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-626110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-325755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-325755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-325755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-325755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-325755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-325755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-325755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Sept. 30,</w:t>
            </w:r>
          </w:p>
        </w:tc>
        <w:tc>
          <w:tcPr>
            <w:tcW w:w="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Dec. 31,</w:t>
            </w:r>
          </w:p>
        </w:tc>
        <w:tc>
          <w:tcPr>
            <w:tcW w:w="0" w:type="dxa"/>
            <w:vAlign w:val="bottom"/>
          </w:tcPr>
          <w:p>
            <w:pPr>
              <w:spacing w:after="0"/>
              <w:rPr>
                <w:sz w:val="1"/>
                <w:szCs w:val="1"/>
                <w:color w:val="auto"/>
              </w:rPr>
            </w:pPr>
          </w:p>
        </w:tc>
      </w:tr>
      <w:tr>
        <w:trPr>
          <w:trHeight w:val="174"/>
        </w:trPr>
        <w:tc>
          <w:tcPr>
            <w:tcW w:w="9680" w:type="dxa"/>
            <w:vAlign w:val="bottom"/>
            <w:gridSpan w:val="3"/>
          </w:tcPr>
          <w:p>
            <w:pPr>
              <w:spacing w:after="0"/>
              <w:rPr>
                <w:sz w:val="20"/>
                <w:szCs w:val="20"/>
                <w:color w:val="auto"/>
              </w:rPr>
            </w:pPr>
            <w:r>
              <w:rPr>
                <w:rFonts w:ascii="Arial" w:cs="Arial" w:eastAsia="Arial" w:hAnsi="Arial"/>
                <w:sz w:val="14"/>
                <w:szCs w:val="14"/>
                <w:b w:val="1"/>
                <w:bCs w:val="1"/>
                <w:color w:val="auto"/>
              </w:rPr>
              <w:t>Balance Sheet</w:t>
            </w:r>
          </w:p>
        </w:tc>
        <w:tc>
          <w:tcPr>
            <w:tcW w:w="90" w:type="dxa"/>
            <w:vAlign w:val="bottom"/>
          </w:tcPr>
          <w:p>
            <w:pPr>
              <w:spacing w:after="0"/>
              <w:rPr>
                <w:sz w:val="15"/>
                <w:szCs w:val="15"/>
                <w:color w:val="auto"/>
              </w:rPr>
            </w:pPr>
          </w:p>
        </w:tc>
        <w:tc>
          <w:tcPr>
            <w:tcW w:w="51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9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2,360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Accounts receivable, net of allowances for customer adjustments and doubtful accounts of $62 million in 2003 and $60</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million in 2002</w:t>
            </w:r>
          </w:p>
        </w:tc>
        <w:tc>
          <w:tcPr>
            <w:tcW w:w="90" w:type="dxa"/>
            <w:vAlign w:val="bottom"/>
            <w:shd w:val="clear" w:color="auto" w:fill="CCEEFF"/>
          </w:tcPr>
          <w:p>
            <w:pPr>
              <w:spacing w:after="0"/>
              <w:rPr>
                <w:sz w:val="19"/>
                <w:szCs w:val="19"/>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9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Raw materials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640"/>
              <w:spacing w:after="0"/>
              <w:rPr>
                <w:sz w:val="20"/>
                <w:szCs w:val="20"/>
                <w:color w:val="auto"/>
              </w:rPr>
            </w:pPr>
            <w:r>
              <w:rPr>
                <w:rFonts w:ascii="Arial" w:cs="Arial" w:eastAsia="Arial" w:hAnsi="Arial"/>
                <w:sz w:val="18"/>
                <w:szCs w:val="18"/>
                <w:color w:val="auto"/>
              </w:rPr>
              <w:t>Work in process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625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Finished goods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5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5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90" w:type="dxa"/>
            <w:vAlign w:val="bottom"/>
          </w:tcPr>
          <w:p>
            <w:pPr>
              <w:spacing w:after="0"/>
              <w:rPr>
                <w:sz w:val="19"/>
                <w:szCs w:val="19"/>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398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current assets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5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Less accumulated depreciation</w:t>
            </w:r>
          </w:p>
        </w:tc>
        <w:tc>
          <w:tcPr>
            <w:tcW w:w="90" w:type="dxa"/>
            <w:vAlign w:val="bottom"/>
          </w:tcPr>
          <w:p>
            <w:pPr>
              <w:spacing w:after="0"/>
              <w:rPr>
                <w:sz w:val="19"/>
                <w:szCs w:val="19"/>
                <w:color w:val="auto"/>
              </w:rPr>
            </w:pPr>
          </w:p>
        </w:tc>
        <w:tc>
          <w:tcPr>
            <w:tcW w:w="95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(5,202)</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(4,722)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Property, plant and equipment (net)</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5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cash investments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684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Acquisition-related intangibles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184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90" w:type="dxa"/>
            <w:vAlign w:val="bottom"/>
          </w:tcPr>
          <w:p>
            <w:pPr>
              <w:spacing w:after="0"/>
              <w:rPr>
                <w:sz w:val="19"/>
                <w:szCs w:val="19"/>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633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00" w:type="dxa"/>
            <w:vAlign w:val="bottom"/>
          </w:tcPr>
          <w:p>
            <w:pPr>
              <w:spacing w:after="0"/>
              <w:rPr>
                <w:sz w:val="9"/>
                <w:szCs w:val="9"/>
                <w:color w:val="auto"/>
              </w:rPr>
            </w:pPr>
          </w:p>
        </w:tc>
        <w:tc>
          <w:tcPr>
            <w:tcW w:w="8560" w:type="dxa"/>
            <w:vAlign w:val="bottom"/>
          </w:tcPr>
          <w:p>
            <w:pPr>
              <w:spacing w:after="0"/>
              <w:rPr>
                <w:sz w:val="9"/>
                <w:szCs w:val="9"/>
                <w:color w:val="auto"/>
              </w:rPr>
            </w:pPr>
          </w:p>
        </w:tc>
        <w:tc>
          <w:tcPr>
            <w:tcW w:w="90" w:type="dxa"/>
            <w:vAlign w:val="bottom"/>
          </w:tcPr>
          <w:p>
            <w:pPr>
              <w:spacing w:after="0"/>
              <w:rPr>
                <w:sz w:val="9"/>
                <w:szCs w:val="9"/>
                <w:color w:val="auto"/>
              </w:rPr>
            </w:pPr>
          </w:p>
        </w:tc>
        <w:tc>
          <w:tcPr>
            <w:tcW w:w="51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9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Loans payable and current portion long-term debt</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Accounts payable and accrued expenses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1,436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Accrued retirement and profit sharing contributions</w:t>
            </w:r>
          </w:p>
        </w:tc>
        <w:tc>
          <w:tcPr>
            <w:tcW w:w="90" w:type="dxa"/>
            <w:vAlign w:val="bottom"/>
          </w:tcPr>
          <w:p>
            <w:pPr>
              <w:spacing w:after="0"/>
              <w:rPr>
                <w:sz w:val="19"/>
                <w:szCs w:val="19"/>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5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Accrued retirement costs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647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Deferred credits and other liabilities</w:t>
            </w:r>
          </w:p>
        </w:tc>
        <w:tc>
          <w:tcPr>
            <w:tcW w:w="90" w:type="dxa"/>
            <w:vAlign w:val="bottom"/>
          </w:tcPr>
          <w:p>
            <w:pPr>
              <w:spacing w:after="0"/>
              <w:rPr>
                <w:sz w:val="19"/>
                <w:szCs w:val="19"/>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353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Preferred stock, $25 par value. Authorized – 10,000,000 shares. Participating cumulative preferred. None issued.</w:t>
            </w:r>
          </w:p>
        </w:tc>
        <w:tc>
          <w:tcPr>
            <w:tcW w:w="90" w:type="dxa"/>
            <w:vAlign w:val="bottom"/>
          </w:tcPr>
          <w:p>
            <w:pPr>
              <w:spacing w:after="0"/>
              <w:rPr>
                <w:sz w:val="18"/>
                <w:szCs w:val="18"/>
                <w:color w:val="auto"/>
              </w:rPr>
            </w:pPr>
          </w:p>
        </w:tc>
        <w:tc>
          <w:tcPr>
            <w:tcW w:w="95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Common stock, $1 par value. Authorized – 2,400,000,000 shares. Shares issued: 2003 – 1,740,470,215; 2002 – 1,740,364,197</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Paid-in capital</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953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Less treasury common stock at cost. Shares: 2003 – 9,844,861; 2002 – 9,775,781</w:t>
            </w:r>
          </w:p>
        </w:tc>
        <w:tc>
          <w:tcPr>
            <w:tcW w:w="90" w:type="dxa"/>
            <w:vAlign w:val="bottom"/>
          </w:tcPr>
          <w:p>
            <w:pPr>
              <w:spacing w:after="0"/>
              <w:rPr>
                <w:sz w:val="18"/>
                <w:szCs w:val="18"/>
                <w:color w:val="auto"/>
              </w:rPr>
            </w:pPr>
          </w:p>
        </w:tc>
        <w:tc>
          <w:tcPr>
            <w:tcW w:w="950" w:type="dxa"/>
            <w:vAlign w:val="bottom"/>
            <w:gridSpan w:val="2"/>
          </w:tcPr>
          <w:p>
            <w:pPr>
              <w:jc w:val="right"/>
              <w:ind w:right="38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90" w:type="dxa"/>
            <w:vAlign w:val="bottom"/>
            <w:shd w:val="clear" w:color="auto" w:fill="CCEEFF"/>
          </w:tcPr>
          <w:p>
            <w:pPr>
              <w:spacing w:after="0"/>
              <w:rPr>
                <w:sz w:val="18"/>
                <w:szCs w:val="18"/>
                <w:color w:val="auto"/>
              </w:rPr>
            </w:pPr>
          </w:p>
        </w:tc>
        <w:tc>
          <w:tcPr>
            <w:tcW w:w="95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Deferred compensation</w:t>
            </w:r>
          </w:p>
        </w:tc>
        <w:tc>
          <w:tcPr>
            <w:tcW w:w="90" w:type="dxa"/>
            <w:vAlign w:val="bottom"/>
          </w:tcPr>
          <w:p>
            <w:pPr>
              <w:spacing w:after="0"/>
              <w:rPr>
                <w:sz w:val="19"/>
                <w:szCs w:val="19"/>
                <w:color w:val="auto"/>
              </w:rPr>
            </w:pPr>
          </w:p>
        </w:tc>
        <w:tc>
          <w:tcPr>
            <w:tcW w:w="95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stockholders’ equity</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5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-3794125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-3794125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-3794125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-3794125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-3794125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-3794125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2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36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 30,</w:t>
            </w: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Sept. 30,</w:t>
            </w:r>
          </w:p>
        </w:tc>
        <w:tc>
          <w:tcPr>
            <w:tcW w:w="0" w:type="dxa"/>
            <w:vAlign w:val="bottom"/>
          </w:tcPr>
          <w:p>
            <w:pPr>
              <w:spacing w:after="0"/>
              <w:rPr>
                <w:sz w:val="1"/>
                <w:szCs w:val="1"/>
                <w:color w:val="auto"/>
              </w:rPr>
            </w:pPr>
          </w:p>
        </w:tc>
      </w:tr>
      <w:tr>
        <w:trPr>
          <w:trHeight w:val="174"/>
        </w:trPr>
        <w:tc>
          <w:tcPr>
            <w:tcW w:w="9300" w:type="dxa"/>
            <w:vAlign w:val="bottom"/>
            <w:gridSpan w:val="3"/>
          </w:tcPr>
          <w:p>
            <w:pPr>
              <w:spacing w:after="0"/>
              <w:rPr>
                <w:sz w:val="20"/>
                <w:szCs w:val="20"/>
                <w:color w:val="auto"/>
              </w:rPr>
            </w:pPr>
            <w:r>
              <w:rPr>
                <w:rFonts w:ascii="Arial" w:cs="Arial" w:eastAsia="Arial" w:hAnsi="Arial"/>
                <w:sz w:val="14"/>
                <w:szCs w:val="14"/>
                <w:b w:val="1"/>
                <w:bCs w:val="1"/>
                <w:color w:val="auto"/>
              </w:rPr>
              <w:t>Cash Flows</w:t>
            </w:r>
          </w:p>
        </w:tc>
        <w:tc>
          <w:tcPr>
            <w:tcW w:w="100" w:type="dxa"/>
            <w:vAlign w:val="bottom"/>
          </w:tcPr>
          <w:p>
            <w:pPr>
              <w:spacing w:after="0"/>
              <w:rPr>
                <w:sz w:val="15"/>
                <w:szCs w:val="15"/>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685</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Amortization of acquisition-related costs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Purchased in-process research and development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Write-downs of equity investments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Gains on sale of equity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decrease in working capital (excluding cash and cash equivalents, short-term investments, deferred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income taxes, and loans payable and current portion long-term debt):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8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Accrued retirement and profit sharing contributions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Decrease in noncurrent accrued retirement costs</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930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(1,564)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and maturities of short-term investments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Purchases of long-term cash investments</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(1,754)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of long-term cash investments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Purchases of equity investments</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of equity investments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Acquisition of businesses, net of cash acquired</w:t>
            </w:r>
          </w:p>
        </w:tc>
        <w:tc>
          <w:tcPr>
            <w:tcW w:w="100" w:type="dxa"/>
            <w:vAlign w:val="bottom"/>
          </w:tcPr>
          <w:p>
            <w:pPr>
              <w:spacing w:after="0"/>
              <w:rPr>
                <w:sz w:val="19"/>
                <w:szCs w:val="19"/>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431"/>
        </w:trPr>
        <w:tc>
          <w:tcPr>
            <w:tcW w:w="930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Additions to loans payable</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Payments on loans payable</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Payments on long-term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Common stock repurchase program</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 current assets for restricted cash</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9"/>
                <w:szCs w:val="19"/>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January 1</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949</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Sept. 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300" w:type="dxa"/>
            <w:vAlign w:val="bottom"/>
            <w:gridSpan w:val="3"/>
            <w:vMerge w:val="restart"/>
          </w:tcPr>
          <w:p>
            <w:pPr>
              <w:jc w:val="right"/>
              <w:ind w:right="354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3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-325755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-325755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4" w:name="page5"/>
    <w:bookmarkEnd w:id="4"/>
    <w:p>
      <w:pPr>
        <w:jc w:val="center"/>
        <w:ind w:right="43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ind w:left="446" w:right="340" w:hanging="446"/>
        <w:spacing w:after="0" w:line="325" w:lineRule="auto"/>
        <w:tabs>
          <w:tab w:leader="none" w:pos="446" w:val="left"/>
        </w:tabs>
        <w:numPr>
          <w:ilvl w:val="0"/>
          <w:numId w:val="1"/>
        </w:numPr>
        <w:rPr>
          <w:rFonts w:ascii="Arial" w:cs="Arial" w:eastAsia="Arial" w:hAnsi="Arial"/>
          <w:sz w:val="16"/>
          <w:szCs w:val="16"/>
          <w:color w:val="auto"/>
        </w:rPr>
      </w:pPr>
      <w:r>
        <w:rPr>
          <w:rFonts w:ascii="Arial" w:cs="Arial" w:eastAsia="Arial" w:hAnsi="Arial"/>
          <w:sz w:val="16"/>
          <w:szCs w:val="16"/>
          <w:color w:val="auto"/>
        </w:rPr>
        <w:t>Diluted earnings per common share are based on average common and dilutive potential common shares outstanding (1766.8 and 1761.8 million shares for the third quarters of 2003 and 2002 and 1761.5 and 1769.7 for the nine months ended September 30, 2003 and 2002).</w:t>
      </w:r>
    </w:p>
    <w:p>
      <w:pPr>
        <w:spacing w:after="0" w:line="1" w:lineRule="exact"/>
        <w:rPr>
          <w:rFonts w:ascii="Arial" w:cs="Arial" w:eastAsia="Arial" w:hAnsi="Arial"/>
          <w:sz w:val="16"/>
          <w:szCs w:val="16"/>
          <w:color w:val="auto"/>
        </w:rPr>
      </w:pPr>
    </w:p>
    <w:p>
      <w:pPr>
        <w:ind w:left="446" w:hanging="446"/>
        <w:spacing w:after="0" w:line="298" w:lineRule="auto"/>
        <w:tabs>
          <w:tab w:leader="none" w:pos="446"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Income for the third quarter of 2003 includes, in millions of dollars, a charge of $56 for restructuring actions initiated in the second quarter of 2003, of which $48 is associated with achieving manufacturing efficiencies in the Semiconductor business and $8 is associated with moving certain production lines in the Sensors &amp; Controls business from Attleboro to other TI sites. The $56 restructuring charge is primarily for severance costs. Of the $56, $48 is included in cost of revenue, $7 is in selling, general and administrative expense, and $1 is in research and development expense.</w:t>
      </w:r>
    </w:p>
    <w:p>
      <w:pPr>
        <w:spacing w:after="0" w:line="18" w:lineRule="exact"/>
        <w:rPr>
          <w:rFonts w:ascii="Arial" w:cs="Arial" w:eastAsia="Arial" w:hAnsi="Arial"/>
          <w:sz w:val="16"/>
          <w:szCs w:val="16"/>
          <w:color w:val="auto"/>
        </w:rPr>
      </w:pPr>
    </w:p>
    <w:p>
      <w:pPr>
        <w:ind w:left="446" w:right="20" w:hanging="446"/>
        <w:spacing w:after="0" w:line="289" w:lineRule="auto"/>
        <w:tabs>
          <w:tab w:leader="none" w:pos="446"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July 2003, the company sold 24.7 million shares of Micron Technology, Inc. (Micron) common stock. TI recognized a pretax gain of $106 million from this sale, which was recorded in other income (expense) net. TI carries its public stock holdings at current market value on its balance sheet and records an impairment write-down against earnings if a stock’s value declines below its cost basis and the decline is deemed other than temporary. In the fourth quarter of 2002, TI recorded an impairment write-down of its Micron common stock but fully reserved the tax benefit associated with the write-down due to uncertainty as to its ultimate realization. $162 million of TI’s tax benefit associated with the prior year write-down was recognized upon the July 2003 sale of the Micron common stock through the reversal of the deferred tax asset valuation allowance recorded in the fourth quarter of 2002. The combined effect of the gain and the tax benefit was an increase of $230 million to the company’s net income for the third quarter of 2003. TI continues to hold 32.3 million shares of Micron common stock.</w:t>
      </w:r>
    </w:p>
    <w:p>
      <w:pPr>
        <w:spacing w:after="0" w:line="23" w:lineRule="exact"/>
        <w:rPr>
          <w:rFonts w:ascii="Arial" w:cs="Arial" w:eastAsia="Arial" w:hAnsi="Arial"/>
          <w:sz w:val="16"/>
          <w:szCs w:val="16"/>
          <w:color w:val="auto"/>
        </w:rPr>
      </w:pPr>
    </w:p>
    <w:p>
      <w:pPr>
        <w:ind w:left="446" w:hanging="446"/>
        <w:spacing w:after="0" w:line="312" w:lineRule="auto"/>
        <w:tabs>
          <w:tab w:leader="none" w:pos="446" w:val="left"/>
        </w:tabs>
        <w:numPr>
          <w:ilvl w:val="0"/>
          <w:numId w:val="1"/>
        </w:numPr>
        <w:rPr>
          <w:rFonts w:ascii="Arial" w:cs="Arial" w:eastAsia="Arial" w:hAnsi="Arial"/>
          <w:sz w:val="15"/>
          <w:szCs w:val="15"/>
          <w:color w:val="auto"/>
        </w:rPr>
      </w:pPr>
      <w:r>
        <w:rPr>
          <w:rFonts w:ascii="Arial" w:cs="Arial" w:eastAsia="Arial" w:hAnsi="Arial"/>
          <w:sz w:val="15"/>
          <w:szCs w:val="15"/>
          <w:color w:val="auto"/>
        </w:rPr>
        <w:t>In July 2003, TI acquired 100 percent of the equity of Radia Communications, Inc. (Radia) for a purchase price of approximately $133 million. The acquisition was made to further TI’s development and product offerings in radio frequency (RF) semiconductor, subsystem, signal processing and networking technologies for 802.11 wireless local area networking (WLAN) multi-band/multi-mode radios. Goodwill of approximately $64 million was recognized due to the acquisition. The operations of Radia are included in the consolidated statements of income from the date of acquisition. The company does not expect that any additional purchase accounting adjustments will have a material impact on the company’s financial position or results of operations. In connection with the acquisition, the company recorded a $23 million in-process research and development charge, which was recorded in research and development expense. The following table contains a summary of the intangible assets acquired (in millions of dollars):</w:t>
      </w:r>
    </w:p>
    <w:p>
      <w:pPr>
        <w:spacing w:after="0" w:line="87" w:lineRule="exact"/>
        <w:rPr>
          <w:sz w:val="20"/>
          <w:szCs w:val="20"/>
          <w:color w:val="auto"/>
        </w:rPr>
      </w:pPr>
    </w:p>
    <w:tbl>
      <w:tblPr>
        <w:tblLayout w:type="fixed"/>
        <w:tblInd w:w="686" w:type="dxa"/>
        <w:tblCellMar>
          <w:top w:w="0" w:type="dxa"/>
          <w:left w:w="0" w:type="dxa"/>
          <w:bottom w:w="0" w:type="dxa"/>
          <w:right w:w="0" w:type="dxa"/>
        </w:tblCellMar>
      </w:tblPr>
      <w:tr>
        <w:trPr>
          <w:trHeight w:val="174"/>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Intangible Assets</w:t>
            </w:r>
          </w:p>
        </w:tc>
        <w:tc>
          <w:tcPr>
            <w:tcW w:w="3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3"/>
              </w:rPr>
              <w:t>Amount</w:t>
            </w: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Amortization Lives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Core technology</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20" w:type="dxa"/>
            <w:vAlign w:val="bottom"/>
          </w:tcPr>
          <w:p>
            <w:pPr>
              <w:jc w:val="right"/>
              <w:ind w:right="2272"/>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6"/>
          </w:cols>
          <w:pgMar w:left="694" w:top="280" w:right="239" w:bottom="1440" w:gutter="0" w:footer="0" w:header="0"/>
        </w:sectPr>
      </w:pPr>
    </w:p>
    <w:bookmarkStart w:id="5" w:name="page6"/>
    <w:bookmarkEnd w:id="5"/>
    <w:p>
      <w:pPr>
        <w:ind w:left="446" w:right="40" w:hanging="446"/>
        <w:spacing w:after="0" w:line="298" w:lineRule="auto"/>
        <w:tabs>
          <w:tab w:leader="none" w:pos="446"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for the second quarter of 2003 includes, in millions of dollars, a charge of $49, of which $26 is for the initial phase of restructuring associated with moving certain production lines in the Sensors &amp; Controls business from Attleboro to other TI sites and $23 is for the initial phase of restructuring to achieve manufacturing efficiencies in the Semiconductor business. The $49 restructuring charge is primarily for severance costs. Of the $49 charge, $43 is included in cost of revenue and $6 is in selling, general and administrative expense.</w:t>
      </w:r>
    </w:p>
    <w:p>
      <w:pPr>
        <w:spacing w:after="0" w:line="18" w:lineRule="exact"/>
        <w:rPr>
          <w:rFonts w:ascii="Arial" w:cs="Arial" w:eastAsia="Arial" w:hAnsi="Arial"/>
          <w:sz w:val="16"/>
          <w:szCs w:val="16"/>
          <w:color w:val="auto"/>
        </w:rPr>
      </w:pPr>
    </w:p>
    <w:p>
      <w:pPr>
        <w:ind w:left="446" w:right="40" w:hanging="446"/>
        <w:spacing w:after="0" w:line="259" w:lineRule="auto"/>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February 2003, the company redeemed $250 million principal amount of 4.25% convertible subordinated notes due 2007 that were originally issued by Burr-Brown Corporation, which was acquired by the company in August 2000. Income for the first quarter of 2003 includes, in millions of dollars, a charge of $10 in other income (expense) net from the redemption of this debt.</w:t>
      </w:r>
    </w:p>
    <w:p>
      <w:pPr>
        <w:spacing w:after="0" w:line="45" w:lineRule="exact"/>
        <w:rPr>
          <w:rFonts w:ascii="Arial" w:cs="Arial" w:eastAsia="Arial" w:hAnsi="Arial"/>
          <w:sz w:val="18"/>
          <w:szCs w:val="18"/>
          <w:color w:val="auto"/>
        </w:rPr>
      </w:pPr>
    </w:p>
    <w:p>
      <w:pPr>
        <w:ind w:left="446" w:right="240" w:hanging="446"/>
        <w:spacing w:after="0" w:line="256" w:lineRule="auto"/>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Income for the second quarter of 2002 includes, in millions of dollars, net gains of $16, of which $20 is the reversal of a warranty reserve taken against the gain on the sale of the software business unit in 1997 because the warranty period had expired. Of the $16 net gains, $20 is included in other income, $5 is in selling, general and administrative expense, $2 is a reduction in cost of revenues and $1 is in research and development expense.</w:t>
      </w:r>
    </w:p>
    <w:p>
      <w:pPr>
        <w:spacing w:after="0" w:line="48" w:lineRule="exact"/>
        <w:rPr>
          <w:rFonts w:ascii="Arial" w:cs="Arial" w:eastAsia="Arial" w:hAnsi="Arial"/>
          <w:sz w:val="18"/>
          <w:szCs w:val="18"/>
          <w:color w:val="auto"/>
        </w:rPr>
      </w:pPr>
    </w:p>
    <w:p>
      <w:pPr>
        <w:ind w:left="446" w:right="220" w:hanging="446"/>
        <w:spacing w:after="0" w:line="256" w:lineRule="auto"/>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for the first quarter of 2002 includes, in millions of dollars, a charge of $17, of which $14 is for restructuring charges primarily related to the closing of the Semiconductor manufacturing facility in Merrimack, New Hampshire. Of the $14, $9 is for the acceleration of depreciation over the remaining service life of the facility, and $4 is for fixed asset write-downs for assets held for sale. Of the $17 charge, $16 is included in cost of revenues and $1 is in other income (expense) net.</w:t>
      </w:r>
    </w:p>
    <w:p>
      <w:pPr>
        <w:spacing w:after="0" w:line="48" w:lineRule="exact"/>
        <w:rPr>
          <w:rFonts w:ascii="Arial" w:cs="Arial" w:eastAsia="Arial" w:hAnsi="Arial"/>
          <w:sz w:val="18"/>
          <w:szCs w:val="18"/>
          <w:color w:val="auto"/>
        </w:rPr>
      </w:pPr>
    </w:p>
    <w:p>
      <w:pPr>
        <w:ind w:left="446" w:hanging="446"/>
        <w:spacing w:after="0" w:line="325" w:lineRule="auto"/>
        <w:tabs>
          <w:tab w:leader="none" w:pos="446"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comprehensive income (loss), i.e., net income plus investment and pension liability adjustments to stockholders’ equity, for the third quarters of 2003 and 2002, in millions of dollars, was $549 and $(191). For the nine months ended September 30, 2003 and 2002, it was $842 and $(553).</w:t>
      </w:r>
    </w:p>
    <w:p>
      <w:pPr>
        <w:spacing w:after="0" w:line="1" w:lineRule="exact"/>
        <w:rPr>
          <w:rFonts w:ascii="Arial" w:cs="Arial" w:eastAsia="Arial" w:hAnsi="Arial"/>
          <w:sz w:val="16"/>
          <w:szCs w:val="16"/>
          <w:color w:val="auto"/>
        </w:rPr>
      </w:pPr>
    </w:p>
    <w:p>
      <w:pPr>
        <w:ind w:left="446" w:right="120" w:hanging="446"/>
        <w:spacing w:after="0" w:line="298" w:lineRule="auto"/>
        <w:tabs>
          <w:tab w:leader="none" w:pos="446" w:val="left"/>
        </w:tabs>
        <w:numPr>
          <w:ilvl w:val="0"/>
          <w:numId w:val="2"/>
        </w:numPr>
        <w:rPr>
          <w:rFonts w:ascii="Arial" w:cs="Arial" w:eastAsia="Arial" w:hAnsi="Arial"/>
          <w:sz w:val="16"/>
          <w:szCs w:val="16"/>
          <w:color w:val="auto"/>
        </w:rPr>
      </w:pPr>
      <w:r>
        <w:rPr>
          <w:rFonts w:ascii="Arial" w:cs="Arial" w:eastAsia="Arial" w:hAnsi="Arial"/>
          <w:sz w:val="16"/>
          <w:szCs w:val="16"/>
          <w:color w:val="auto"/>
        </w:rPr>
        <w:t>Year-to-date acquisition-related purchased in-process research and development (R&amp;D) charges were $23 million in 2003 and $1 million in 2002. These charges are for R&amp;D from acquisitions. Values for acquired in-process R&amp;D (purchased R&amp;D) were determined at the acquisition date based upon the appraised value of the related developmental projects. Purchased R&amp;D projects were assessed, analyzed and valued within the context and framework articulated by the Securities and Exchange Commission herein described as the Exclusion Approach.</w:t>
      </w:r>
    </w:p>
    <w:p>
      <w:pPr>
        <w:spacing w:after="0" w:line="9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6"/>
          </w:cols>
          <w:pgMar w:left="694" w:top="280" w:right="259" w:bottom="1440" w:gutter="0" w:footer="0" w:header="0"/>
        </w:sectPr>
      </w:pPr>
    </w:p>
    <w:bookmarkStart w:id="6" w:name="page7"/>
    <w:bookmarkEnd w:id="6"/>
    <w:p>
      <w:pPr>
        <w:ind w:left="920"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Major assumptions, detailed in the following table, used in determining the value of significant purchased R&amp;D included the discount rate, the estimated beginning date of projected operating cash flows, and the remaining cost and time, in engineer-months, to complete the R&amp;D projects. The term “engineer month” refers to the average amount of research work expected to be performed by an engineer in a month.</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3"/>
          </w:tcPr>
          <w:p>
            <w:pPr>
              <w:ind w:left="700"/>
              <w:spacing w:after="0"/>
              <w:rPr>
                <w:sz w:val="20"/>
                <w:szCs w:val="20"/>
                <w:color w:val="auto"/>
              </w:rPr>
            </w:pPr>
            <w:r>
              <w:rPr>
                <w:rFonts w:ascii="Arial" w:cs="Arial" w:eastAsia="Arial" w:hAnsi="Arial"/>
                <w:sz w:val="14"/>
                <w:szCs w:val="14"/>
                <w:b w:val="1"/>
                <w:bCs w:val="1"/>
                <w:color w:val="auto"/>
                <w:w w:val="88"/>
              </w:rPr>
              <w:t>Cost/time to</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Millions of Dollars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Complete R&amp;D projects</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Other</w:t>
            </w: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Deferred</w:t>
            </w:r>
          </w:p>
        </w:tc>
        <w:tc>
          <w:tcPr>
            <w:tcW w:w="2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At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cash flows</w:t>
            </w:r>
          </w:p>
        </w:tc>
        <w:tc>
          <w:tcPr>
            <w:tcW w:w="0" w:type="dxa"/>
            <w:vAlign w:val="bottom"/>
          </w:tcPr>
          <w:p>
            <w:pPr>
              <w:spacing w:after="0"/>
              <w:rPr>
                <w:sz w:val="1"/>
                <w:szCs w:val="1"/>
                <w:color w:val="auto"/>
              </w:rPr>
            </w:pPr>
          </w:p>
        </w:tc>
      </w:tr>
      <w:tr>
        <w:trPr>
          <w:trHeight w:val="149"/>
        </w:trPr>
        <w:tc>
          <w:tcPr>
            <w:tcW w:w="134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Entity</w:t>
            </w: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Acquisition</w:t>
            </w:r>
          </w:p>
        </w:tc>
        <w:tc>
          <w:tcPr>
            <w:tcW w:w="26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Consid-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intan-</w:t>
            </w: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compen-</w:t>
            </w:r>
          </w:p>
        </w:tc>
        <w:tc>
          <w:tcPr>
            <w:tcW w:w="2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in-process</w:t>
            </w:r>
          </w:p>
        </w:tc>
        <w:tc>
          <w:tcPr>
            <w:tcW w:w="280" w:type="dxa"/>
            <w:vAlign w:val="bottom"/>
          </w:tcPr>
          <w:p>
            <w:pPr>
              <w:spacing w:after="0"/>
              <w:rPr>
                <w:sz w:val="12"/>
                <w:szCs w:val="12"/>
                <w:color w:val="auto"/>
              </w:rPr>
            </w:pPr>
          </w:p>
        </w:tc>
        <w:tc>
          <w:tcPr>
            <w:tcW w:w="92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R&amp;D</w:t>
            </w:r>
          </w:p>
        </w:tc>
        <w:tc>
          <w:tcPr>
            <w:tcW w:w="2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Discount</w:t>
            </w:r>
          </w:p>
        </w:tc>
        <w:tc>
          <w:tcPr>
            <w:tcW w:w="14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At acquis-</w:t>
            </w: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Sept.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projected</w:t>
            </w:r>
          </w:p>
        </w:tc>
        <w:tc>
          <w:tcPr>
            <w:tcW w:w="0" w:type="dxa"/>
            <w:vAlign w:val="bottom"/>
          </w:tcPr>
          <w:p>
            <w:pPr>
              <w:spacing w:after="0"/>
              <w:rPr>
                <w:sz w:val="1"/>
                <w:szCs w:val="1"/>
                <w:color w:val="auto"/>
              </w:rPr>
            </w:pPr>
          </w:p>
        </w:tc>
      </w:tr>
      <w:tr>
        <w:trPr>
          <w:trHeight w:val="174"/>
        </w:trPr>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acquired</w:t>
            </w:r>
          </w:p>
        </w:tc>
        <w:tc>
          <w:tcPr>
            <w:tcW w:w="12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eration</w:t>
            </w:r>
          </w:p>
        </w:tc>
        <w:tc>
          <w:tcPr>
            <w:tcW w:w="140" w:type="dxa"/>
            <w:vAlign w:val="bottom"/>
          </w:tcPr>
          <w:p>
            <w:pPr>
              <w:spacing w:after="0"/>
              <w:rPr>
                <w:sz w:val="15"/>
                <w:szCs w:val="15"/>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Goodwill</w:t>
            </w:r>
          </w:p>
        </w:tc>
        <w:tc>
          <w:tcPr>
            <w:tcW w:w="14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gibles</w:t>
            </w:r>
          </w:p>
        </w:tc>
        <w:tc>
          <w:tcPr>
            <w:tcW w:w="100" w:type="dxa"/>
            <w:vAlign w:val="bottom"/>
          </w:tcPr>
          <w:p>
            <w:pPr>
              <w:spacing w:after="0"/>
              <w:rPr>
                <w:sz w:val="15"/>
                <w:szCs w:val="15"/>
                <w:color w:val="auto"/>
              </w:rPr>
            </w:pPr>
          </w:p>
        </w:tc>
        <w:tc>
          <w:tcPr>
            <w:tcW w:w="440" w:type="dxa"/>
            <w:vAlign w:val="bottom"/>
          </w:tcPr>
          <w:p>
            <w:pPr>
              <w:jc w:val="right"/>
              <w:ind w:right="22"/>
              <w:spacing w:after="0"/>
              <w:rPr>
                <w:sz w:val="20"/>
                <w:szCs w:val="20"/>
                <w:color w:val="auto"/>
              </w:rPr>
            </w:pPr>
            <w:r>
              <w:rPr>
                <w:rFonts w:ascii="Arial" w:cs="Arial" w:eastAsia="Arial" w:hAnsi="Arial"/>
                <w:sz w:val="14"/>
                <w:szCs w:val="14"/>
                <w:b w:val="1"/>
                <w:bCs w:val="1"/>
                <w:color w:val="auto"/>
                <w:w w:val="77"/>
              </w:rPr>
              <w:t>sation</w:t>
            </w:r>
          </w:p>
        </w:tc>
        <w:tc>
          <w:tcPr>
            <w:tcW w:w="28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R&amp;D charge</w:t>
            </w:r>
          </w:p>
        </w:tc>
        <w:tc>
          <w:tcPr>
            <w:tcW w:w="280" w:type="dxa"/>
            <w:vAlign w:val="bottom"/>
          </w:tcPr>
          <w:p>
            <w:pPr>
              <w:spacing w:after="0"/>
              <w:rPr>
                <w:sz w:val="15"/>
                <w:szCs w:val="15"/>
                <w:color w:val="auto"/>
              </w:rPr>
            </w:pP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focus</w:t>
            </w:r>
          </w:p>
        </w:tc>
        <w:tc>
          <w:tcPr>
            <w:tcW w:w="280" w:type="dxa"/>
            <w:vAlign w:val="bottom"/>
          </w:tcPr>
          <w:p>
            <w:pPr>
              <w:spacing w:after="0"/>
              <w:rPr>
                <w:sz w:val="15"/>
                <w:szCs w:val="15"/>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rate</w:t>
            </w:r>
          </w:p>
        </w:tc>
        <w:tc>
          <w:tcPr>
            <w:tcW w:w="14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isition</w:t>
            </w:r>
          </w:p>
        </w:tc>
        <w:tc>
          <w:tcPr>
            <w:tcW w:w="66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2003</w:t>
            </w:r>
          </w:p>
        </w:tc>
        <w:tc>
          <w:tcPr>
            <w:tcW w:w="2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4"/>
              </w:rPr>
              <w:t>to begin</w:t>
            </w:r>
          </w:p>
        </w:tc>
        <w:tc>
          <w:tcPr>
            <w:tcW w:w="0" w:type="dxa"/>
            <w:vAlign w:val="bottom"/>
          </w:tcPr>
          <w:p>
            <w:pPr>
              <w:spacing w:after="0"/>
              <w:rPr>
                <w:sz w:val="1"/>
                <w:szCs w:val="1"/>
                <w:color w:val="auto"/>
              </w:rPr>
            </w:pPr>
          </w:p>
        </w:tc>
      </w:tr>
      <w:tr>
        <w:trPr>
          <w:trHeight w:val="95"/>
        </w:trPr>
        <w:tc>
          <w:tcPr>
            <w:tcW w:w="10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340" w:type="dxa"/>
            <w:vAlign w:val="bottom"/>
            <w:gridSpan w:val="2"/>
          </w:tcPr>
          <w:p>
            <w:pPr>
              <w:spacing w:after="0"/>
              <w:rPr>
                <w:sz w:val="20"/>
                <w:szCs w:val="20"/>
                <w:color w:val="auto"/>
              </w:rPr>
            </w:pPr>
            <w:r>
              <w:rPr>
                <w:rFonts w:ascii="Arial" w:cs="Arial" w:eastAsia="Arial" w:hAnsi="Arial"/>
                <w:sz w:val="18"/>
                <w:szCs w:val="18"/>
                <w:color w:val="auto"/>
              </w:rPr>
              <w:t>Radia</w:t>
            </w:r>
          </w:p>
        </w:tc>
        <w:tc>
          <w:tcPr>
            <w:tcW w:w="660" w:type="dxa"/>
            <w:vAlign w:val="bottom"/>
            <w:gridSpan w:val="2"/>
          </w:tcPr>
          <w:p>
            <w:pPr>
              <w:spacing w:after="0"/>
              <w:rPr>
                <w:sz w:val="20"/>
                <w:szCs w:val="20"/>
                <w:color w:val="auto"/>
              </w:rPr>
            </w:pPr>
            <w:r>
              <w:rPr>
                <w:rFonts w:ascii="Arial" w:cs="Arial" w:eastAsia="Arial" w:hAnsi="Arial"/>
                <w:sz w:val="18"/>
                <w:szCs w:val="18"/>
                <w:color w:val="auto"/>
              </w:rPr>
              <w:t>Third</w:t>
            </w:r>
          </w:p>
        </w:tc>
        <w:tc>
          <w:tcPr>
            <w:tcW w:w="900" w:type="dxa"/>
            <w:vAlign w:val="bottom"/>
            <w:gridSpan w:val="3"/>
          </w:tcPr>
          <w:p>
            <w:pPr>
              <w:jc w:val="center"/>
              <w:ind w:left="32"/>
              <w:spacing w:after="0"/>
              <w:rPr>
                <w:sz w:val="20"/>
                <w:szCs w:val="20"/>
                <w:color w:val="auto"/>
              </w:rPr>
            </w:pPr>
            <w:r>
              <w:rPr>
                <w:rFonts w:ascii="Arial" w:cs="Arial" w:eastAsia="Arial" w:hAnsi="Arial"/>
                <w:sz w:val="18"/>
                <w:szCs w:val="18"/>
                <w:color w:val="auto"/>
                <w:w w:val="99"/>
              </w:rPr>
              <w:t>$  133</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760" w:type="dxa"/>
            <w:vAlign w:val="bottom"/>
            <w:gridSpan w:val="3"/>
          </w:tcPr>
          <w:p>
            <w:pPr>
              <w:ind w:left="140"/>
              <w:spacing w:after="0"/>
              <w:rPr>
                <w:sz w:val="20"/>
                <w:szCs w:val="20"/>
                <w:color w:val="auto"/>
              </w:rPr>
            </w:pPr>
            <w:r>
              <w:rPr>
                <w:rFonts w:ascii="Arial" w:cs="Arial" w:eastAsia="Arial" w:hAnsi="Arial"/>
                <w:sz w:val="18"/>
                <w:szCs w:val="18"/>
                <w:color w:val="auto"/>
              </w:rPr>
              <w:t>$ 40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6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Develop-</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24%</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$8.5/485</w:t>
            </w:r>
          </w:p>
        </w:tc>
        <w:tc>
          <w:tcPr>
            <w:tcW w:w="18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$7.2/417</w:t>
            </w:r>
          </w:p>
        </w:tc>
        <w:tc>
          <w:tcPr>
            <w:tcW w:w="600" w:type="dxa"/>
            <w:vAlign w:val="bottom"/>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Commun-</w:t>
            </w:r>
          </w:p>
        </w:tc>
        <w:tc>
          <w:tcPr>
            <w:tcW w:w="660" w:type="dxa"/>
            <w:vAlign w:val="bottom"/>
            <w:gridSpan w:val="2"/>
          </w:tcPr>
          <w:p>
            <w:pPr>
              <w:spacing w:after="0"/>
              <w:rPr>
                <w:sz w:val="20"/>
                <w:szCs w:val="20"/>
                <w:color w:val="auto"/>
              </w:rPr>
            </w:pPr>
            <w:r>
              <w:rPr>
                <w:rFonts w:ascii="Arial" w:cs="Arial" w:eastAsia="Arial" w:hAnsi="Arial"/>
                <w:sz w:val="18"/>
                <w:szCs w:val="18"/>
                <w:color w:val="auto"/>
              </w:rPr>
              <w:t>quarter</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ment of</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engineer</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engineer</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ications Inc.</w:t>
            </w:r>
          </w:p>
        </w:tc>
        <w:tc>
          <w:tcPr>
            <w:tcW w:w="660" w:type="dxa"/>
            <w:vAlign w:val="bottom"/>
            <w:gridSpan w:val="2"/>
          </w:tcPr>
          <w:p>
            <w:pPr>
              <w:spacing w:after="0"/>
              <w:rPr>
                <w:sz w:val="20"/>
                <w:szCs w:val="20"/>
                <w:color w:val="auto"/>
              </w:rPr>
            </w:pPr>
            <w:r>
              <w:rPr>
                <w:rFonts w:ascii="Arial" w:cs="Arial" w:eastAsia="Arial" w:hAnsi="Arial"/>
                <w:sz w:val="18"/>
                <w:szCs w:val="18"/>
                <w:color w:val="auto"/>
              </w:rPr>
              <w:t>2003</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RF WLAN</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months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months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multi-band</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multi-mode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radios</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other income (expense) net for the third quarters of 2003 and 2002, in millions of dollars, are investment write-downs of $11 and $9.</w:t>
      </w:r>
    </w:p>
    <w:p>
      <w:pPr>
        <w:spacing w:after="0" w:line="99" w:lineRule="exact"/>
        <w:rPr>
          <w:rFonts w:ascii="Arial" w:cs="Arial" w:eastAsia="Arial" w:hAnsi="Arial"/>
          <w:sz w:val="16"/>
          <w:szCs w:val="16"/>
          <w:color w:val="auto"/>
        </w:rPr>
      </w:pPr>
    </w:p>
    <w:p>
      <w:pPr>
        <w:ind w:left="900" w:right="40" w:hanging="446"/>
        <w:spacing w:after="0" w:line="29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accounts for its stock-based employee compensation plans under the recognition and measurement principles of Accounting Principles Board (APB) Opinion No. 25, Accounting for Stock Issued to Employees, and related Interpretations. No stock option compensation cost is reflected in net income, as all options granted under the plans had an exercise price equal to the market value of the underlying common stock on the date of grant (except options granted under the company’s employee stock purchase plans and acquisition-related stock option awards). The following table illustrates the effect on net income and earnings per common share if the company had applied the fair value recognition provisions of Statement of Financial Accounting Standards (SFAS) No. 123, Accounting for Stock-Based Compensation, to stock-based employee compensation (in millions of dollars, except per-share amounts).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89"/>
              </w:rPr>
              <w:t>For Three Months</w:t>
            </w:r>
          </w:p>
        </w:tc>
        <w:tc>
          <w:tcPr>
            <w:tcW w:w="100" w:type="dxa"/>
            <w:vAlign w:val="bottom"/>
          </w:tcPr>
          <w:p>
            <w:pPr>
              <w:spacing w:after="0"/>
              <w:rPr>
                <w:sz w:val="14"/>
                <w:szCs w:val="14"/>
                <w:color w:val="auto"/>
              </w:rPr>
            </w:pPr>
          </w:p>
        </w:tc>
        <w:tc>
          <w:tcPr>
            <w:tcW w:w="16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88"/>
              </w:rPr>
              <w:t>For Nine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center"/>
              <w:ind w:right="132"/>
              <w:spacing w:after="0"/>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97"/>
              </w:rPr>
              <w:t>Sept. 30,</w:t>
            </w:r>
          </w:p>
        </w:tc>
        <w:tc>
          <w:tcPr>
            <w:tcW w:w="50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97"/>
              </w:rPr>
              <w:t>Sept. 30,</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520" w:type="dxa"/>
            <w:vAlign w:val="bottom"/>
            <w:gridSpan w:val="2"/>
          </w:tcPr>
          <w:p>
            <w:pPr>
              <w:spacing w:after="0"/>
              <w:rPr>
                <w:sz w:val="20"/>
                <w:szCs w:val="20"/>
                <w:color w:val="auto"/>
              </w:rPr>
            </w:pPr>
            <w:r>
              <w:rPr>
                <w:rFonts w:ascii="Arial" w:cs="Arial" w:eastAsia="Arial" w:hAnsi="Arial"/>
                <w:sz w:val="18"/>
                <w:szCs w:val="18"/>
                <w:color w:val="auto"/>
                <w:w w:val="98"/>
              </w:rPr>
              <w:t>Add:  Stock-based employee compensation expense included in reported net income, net of tax</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w w:val="97"/>
              </w:rPr>
              <w:t>Deduct:  Total stock-based employee compensation expense determined under fair value based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method for all awards, net of tax</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(109)</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Diluted - as reported</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620" w:type="dxa"/>
            <w:vAlign w:val="bottom"/>
            <w:gridSpan w:val="3"/>
          </w:tcPr>
          <w:p>
            <w:pPr>
              <w:ind w:left="5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 as adjusted</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 as reported</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 as adjusted</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-1367155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-1367155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-1367155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-1367155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-1367155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-1367155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-1367155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-1367155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-1367155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-1367155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-1367155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-1367155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-929640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-929640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-929640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-929640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-929640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-929640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-929640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-929640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-929640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-929640</wp:posOffset>
            </wp:positionV>
            <wp:extent cx="34734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-629285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-629285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-629285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-629285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-629285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-629285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-629285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-629285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-629285</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-629285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-629285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-629285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-329565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-329565</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-329565</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-329565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-329565</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-329565</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-329565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-329565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-329565</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-329565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-329565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Restructuring Actions: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Effective January 1, 2003, the company adopted SFAS No. 146, Accounting for Costs Associated with Exit or Disposal Activities.</w:t>
      </w:r>
    </w:p>
    <w:p>
      <w:pPr>
        <w:spacing w:after="0" w:line="77" w:lineRule="exact"/>
        <w:rPr>
          <w:sz w:val="20"/>
          <w:szCs w:val="20"/>
          <w:color w:val="auto"/>
        </w:rPr>
      </w:pPr>
    </w:p>
    <w:p>
      <w:pPr>
        <w:ind w:left="920" w:right="200"/>
        <w:spacing w:after="0" w:line="255" w:lineRule="auto"/>
        <w:rPr>
          <w:sz w:val="20"/>
          <w:szCs w:val="20"/>
          <w:color w:val="auto"/>
        </w:rPr>
      </w:pPr>
      <w:r>
        <w:rPr>
          <w:rFonts w:ascii="Arial" w:cs="Arial" w:eastAsia="Arial" w:hAnsi="Arial"/>
          <w:sz w:val="18"/>
          <w:szCs w:val="18"/>
          <w:color w:val="auto"/>
        </w:rPr>
        <w:t>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800 jobs through voluntary retirement and involuntary termination programs over the next two years, primarily at the Attleboro headquarters of the Sensors &amp; Controls business. The total cost of this restructuring action is expected to be about $60 million.</w:t>
      </w:r>
    </w:p>
    <w:p>
      <w:pPr>
        <w:spacing w:after="0" w:line="48"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In the third quarter of 2003, the company recorded net pretax charges of $8 million, primarily for severance costs. Of the $8 million, $7 million is included in cost of revenue and $1 million is included in selling, general and administrative expense. The total number of employees affected was 90, primarily at the Attleboro and Japan locations. As of September 30, 2003, a total of 273 employees have been terminated and total net pretax charges of $34 million have been recorded associated with this action. Payments are expected to be completed in 2005.</w:t>
      </w:r>
    </w:p>
    <w:p>
      <w:pPr>
        <w:spacing w:after="0" w:line="18"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In the second quarter of 2003, the company recorded net pretax charges of $26 million, primarily for severance costs. Of the $26 million, $22 million is included in cost of revenue and $4 million is included in selling, general and administrative expense. The total number of employees affected was 183, primarily at the Attleboro location.</w:t>
      </w:r>
    </w:p>
    <w:p>
      <w:pPr>
        <w:spacing w:after="0" w:line="46" w:lineRule="exact"/>
        <w:rPr>
          <w:sz w:val="20"/>
          <w:szCs w:val="20"/>
          <w:color w:val="auto"/>
        </w:rPr>
      </w:pPr>
    </w:p>
    <w:p>
      <w:pPr>
        <w:ind w:left="920" w:right="20"/>
        <w:spacing w:after="0" w:line="306" w:lineRule="auto"/>
        <w:rPr>
          <w:sz w:val="20"/>
          <w:szCs w:val="20"/>
          <w:color w:val="auto"/>
        </w:rPr>
      </w:pPr>
      <w:r>
        <w:rPr>
          <w:rFonts w:ascii="Arial" w:cs="Arial" w:eastAsia="Arial" w:hAnsi="Arial"/>
          <w:sz w:val="16"/>
          <w:szCs w:val="16"/>
          <w:color w:val="auto"/>
        </w:rPr>
        <w:t>Semiconductor Restructuring Action: In the second quarter of 2003, the company announced a restructuring action that is expected to affect about 950 jobs in Semiconductor manufacturing operations in the U.S. and international locations, as those operations continue to become more productive with fewer people. The total cost of this restructuring action is expected to be about $90 million.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3" w:right="239" w:bottom="1440" w:gutter="0" w:footer="0" w:header="0"/>
        </w:sectPr>
      </w:pPr>
    </w:p>
    <w:bookmarkStart w:id="8" w:name="page9"/>
    <w:bookmarkEnd w:id="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third quarter of 2003, the company recorded net pretax charges of $48 million, primarily for severance costs. Of the $48 million, $41 million is included in cost of revenue, $6 million is included in selling, general and administrative expense, and $1 million is in research and development expense. The total number of employees affected was 553, primarily at U.S. and Japan locations. As of September 30, 2003, a total of 662 employees have been terminated and total net pretax charges of $71 million have been recorded associated with this action. Payments are expected to be completed in 2004.</w:t>
      </w:r>
    </w:p>
    <w:p>
      <w:pPr>
        <w:spacing w:after="0" w:line="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second quarter of 2003, the company recorded net pretax charges of $23 million, primarily for severance costs. Of the $23 million, $21 million is included in cost of revenue and $2 million is included in selling, general and administrative expense. The total number of employees affected was 109, primarily at U.S. and Germany locations.</w:t>
      </w:r>
    </w:p>
    <w:p>
      <w:pPr>
        <w:spacing w:after="0" w:line="4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Semiconductor Severance Action: In late 2002, the company announced a plan to involuntarily terminate about 500 employees, primarily in manufacturing operations, to align resources with market demand. In the third and fourth quarters of 2002, the company terminated 54 and 434 employees, respectively. Of the total 488 employees terminated, 450 were in U.S. locations while the remaining employees were in some of the company’s international locations. The company recorded net pretax charges of $17 million in severance and benefit costs, of which $11 million was included in cost of revenue, $4 million was in selling, general and administrative expense, and $2 million was in research and development expense. As of September 30, 2003, all employees have been terminated and a balance of $1 million of severance and benefit costs remains to be paid. Payments are expected to be completed in 2003.</w:t>
      </w:r>
    </w:p>
    <w:p>
      <w:pPr>
        <w:spacing w:after="0" w:line="2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the first quarter of 2001, the company began an aggressive worldwide cost-reduction plan to limit the impact of reduced revenue on profitability. The elements of the cost-reduction plan were a voluntary retirement program, involuntary terminations and the consolidation of certain manufacturing operations, including the closing of three Semiconductor facilities in Santa Cruz, California; Merrimack, New Hampshire; and Tustin, California. Employees affected by this plan, primarily in manufacturing operations, totaled 5724.</w:t>
      </w:r>
    </w:p>
    <w:p>
      <w:pPr>
        <w:spacing w:after="0" w:line="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Voluntary/Involuntary Programs in U.S.: In the first quarter of 2001, the company announced a voluntary retirement program and a plan to involuntarily terminate employees in some of its U.S. locations. Of the total 5724 affected employees, 329 were in the company’s location in Massachusetts and 2038 were in other U.S. locations, primarily in Texas. The company recorded net pretax charges of $153 million in severance and benefit costs, of which $107 million was included in cost of revenue, $48 million was in selling, general, and administrative expense, $1 million was in research and development expense, and $3 million was in other income. At year-end 2002, this program was complete.</w:t>
      </w:r>
    </w:p>
    <w:p>
      <w:pPr>
        <w:spacing w:after="0" w:line="2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Semiconductor Site Closings in U.S.: In the first and second quarters of 2001, the company announced a plan to consolidate certain manufacturing operations resulting in the closing of three Semiconductor facilities. Of the total 5724 affected employees, 1159 were in the company’s locations in California and New Hampshire. The company recorded net pretax charges of</w:t>
      </w:r>
    </w:p>
    <w:p>
      <w:pPr>
        <w:spacing w:after="0" w:line="12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00"/>
          </w:cols>
          <w:pgMar w:left="1160" w:top="280" w:right="239" w:bottom="1440" w:gutter="0" w:footer="0" w:header="0"/>
        </w:sectPr>
      </w:pPr>
    </w:p>
    <w:bookmarkStart w:id="9" w:name="page10"/>
    <w:bookmarkEnd w:id="9"/>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$88 million, of which $31 million was for severance and benefit costs, $46 million was for the acceleration of depreciation on the facilities’ assets over the remaining service life of the sites, and $11 million was for various other payments. Of the $31 million severance and benefit costs, $27 million was included in cost of revenue, and $4 million was included in selling, general, and administrative expense. The remaining $57 million of charges were included in cost of revenue.</w:t>
      </w:r>
    </w:p>
    <w:p>
      <w:pPr>
        <w:spacing w:after="0" w:line="4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2002, the company continued to record acceleration of depreciation of $15 million on the Semiconductor facility in New Hampshire. This acceleration of depreciation was included in cost of revenue. In addition, $5 million of additional severance and benefit costs was recorded related to these facility closings. The $5 million was included in cost of revenue. At June 30, 2003, this program was complete.</w:t>
      </w:r>
    </w:p>
    <w:p>
      <w:pPr>
        <w:spacing w:after="0" w:line="1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Semiconductor International Restructuring Actions: In the first quarter of 2001, the company announced a voluntary retirement program and a plan to involuntarily terminate employees in some of its international locations. Of the total 5724 affected employees, 471 were in the company’s locations in Europe, 1075 were in the company’s locations in Asia and 652 were in the company’s locations in Japan. The company recorded net pretax charges of $116 million of severance and benefit costs, of which $56 million was included in cost of revenue, $48 million was included in selling, general, and administrative expense, and $12 million was included in research and development expense. As of September 30, 2003, all employees have been terminated and a balance of $25 million of severance and benefit costs remains to be paid. Payments are expected to continue through 2007, of which $9 million is to be paid in 2003, $5 million in 2004, $5 million in 2005, and $3 million in both 2006 and 2007.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Prior Actions:</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years prior to 2001, actions were taken to terminate employees primarily in the company’s European locations. As of September 30, 2003, a balance of $3 million in severance and benefit costs remains to be paid. Payments are expected to continue through 2004, of which $1 million is to be paid in 2003 and $2 million in 2004.</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60"/>
          </w:cols>
          <w:pgMar w:left="1160" w:top="280" w:right="27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reconciliation of individual restructuring accruals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of Charge</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2001</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2002</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4"/>
            <w:vMerge w:val="restart"/>
          </w:tcPr>
          <w:p>
            <w:pPr>
              <w:jc w:val="center"/>
              <w:ind w:right="560"/>
              <w:spacing w:after="0"/>
              <w:rPr>
                <w:sz w:val="20"/>
                <w:szCs w:val="20"/>
                <w:color w:val="auto"/>
              </w:rPr>
            </w:pPr>
            <w:r>
              <w:rPr>
                <w:rFonts w:ascii="Arial" w:cs="Arial" w:eastAsia="Arial" w:hAnsi="Arial"/>
                <w:sz w:val="14"/>
                <w:szCs w:val="14"/>
                <w:b w:val="1"/>
                <w:bCs w:val="1"/>
                <w:color w:val="auto"/>
                <w:w w:val="83"/>
              </w:rPr>
              <w:t>Balance,</w:t>
            </w: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prior</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SC</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actions –</w:t>
            </w: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SC site</w:t>
            </w:r>
          </w:p>
        </w:tc>
        <w:tc>
          <w:tcPr>
            <w:tcW w:w="3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international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2"/>
              </w:rPr>
              <w:t>SC</w:t>
            </w:r>
          </w:p>
        </w:tc>
        <w:tc>
          <w:tcPr>
            <w:tcW w:w="10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S&amp;C</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primarily</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closings</w:t>
            </w:r>
          </w:p>
        </w:tc>
        <w:tc>
          <w:tcPr>
            <w:tcW w:w="3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360" w:type="dxa"/>
            <w:vAlign w:val="bottom"/>
          </w:tcPr>
          <w:p>
            <w:pPr>
              <w:spacing w:after="0"/>
              <w:rPr>
                <w:sz w:val="12"/>
                <w:szCs w:val="12"/>
                <w:color w:val="auto"/>
              </w:rPr>
            </w:pPr>
          </w:p>
        </w:tc>
        <w:tc>
          <w:tcPr>
            <w:tcW w:w="11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severance</w:t>
            </w: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severance</w:t>
            </w:r>
          </w:p>
        </w:tc>
        <w:tc>
          <w:tcPr>
            <w:tcW w:w="46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severance</w:t>
            </w:r>
          </w:p>
        </w:tc>
        <w:tc>
          <w:tcPr>
            <w:tcW w:w="0" w:type="dxa"/>
            <w:vAlign w:val="bottom"/>
          </w:tcPr>
          <w:p>
            <w:pPr>
              <w:spacing w:after="0"/>
              <w:rPr>
                <w:sz w:val="1"/>
                <w:szCs w:val="1"/>
                <w:color w:val="auto"/>
              </w:rPr>
            </w:pPr>
          </w:p>
        </w:tc>
      </w:tr>
      <w:tr>
        <w:trPr>
          <w:trHeight w:val="174"/>
        </w:trPr>
        <w:tc>
          <w:tcPr>
            <w:tcW w:w="412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severance</w:t>
            </w: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U.S.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actions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action</w:t>
            </w:r>
          </w:p>
        </w:tc>
        <w:tc>
          <w:tcPr>
            <w:tcW w:w="10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action</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action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$ 45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120" w:type="dxa"/>
            <w:vAlign w:val="bottom"/>
            <w:gridSpan w:val="4"/>
          </w:tcPr>
          <w:p>
            <w:pPr>
              <w:spacing w:after="0"/>
              <w:rPr>
                <w:sz w:val="20"/>
                <w:szCs w:val="20"/>
                <w:color w:val="auto"/>
              </w:rPr>
            </w:pPr>
            <w:r>
              <w:rPr>
                <w:rFonts w:ascii="Arial" w:cs="Arial" w:eastAsia="Arial" w:hAnsi="Arial"/>
                <w:sz w:val="18"/>
                <w:szCs w:val="18"/>
                <w:color w:val="auto"/>
              </w:rPr>
              <w:t>DISPOSITIONS: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MARCH 31, 2003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120" w:type="dxa"/>
            <w:vAlign w:val="bottom"/>
            <w:gridSpan w:val="4"/>
          </w:tcPr>
          <w:p>
            <w:pPr>
              <w:spacing w:after="0"/>
              <w:rPr>
                <w:sz w:val="20"/>
                <w:szCs w:val="20"/>
                <w:color w:val="auto"/>
              </w:rPr>
            </w:pPr>
            <w:r>
              <w:rPr>
                <w:rFonts w:ascii="Arial" w:cs="Arial" w:eastAsia="Arial" w:hAnsi="Arial"/>
                <w:sz w:val="18"/>
                <w:szCs w:val="18"/>
                <w:color w:val="auto"/>
              </w:rPr>
              <w:t>CHARGES: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Non-cash acceleration of depreciation</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Non-cash write-down of fixed assets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120" w:type="dxa"/>
            <w:vAlign w:val="bottom"/>
            <w:gridSpan w:val="4"/>
          </w:tcPr>
          <w:p>
            <w:pPr>
              <w:spacing w:after="0"/>
              <w:rPr>
                <w:sz w:val="20"/>
                <w:szCs w:val="20"/>
                <w:color w:val="auto"/>
              </w:rPr>
            </w:pPr>
            <w:r>
              <w:rPr>
                <w:rFonts w:ascii="Arial" w:cs="Arial" w:eastAsia="Arial" w:hAnsi="Arial"/>
                <w:sz w:val="18"/>
                <w:szCs w:val="18"/>
                <w:color w:val="auto"/>
              </w:rPr>
              <w:t>DISPOSITIONS: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Non-cash transfer to accumulated depreciation</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Non-cash write-down of fixed assets</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JUNE 30, 2003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120" w:type="dxa"/>
            <w:vAlign w:val="bottom"/>
            <w:gridSpan w:val="4"/>
          </w:tcPr>
          <w:p>
            <w:pPr>
              <w:spacing w:after="0"/>
              <w:rPr>
                <w:sz w:val="20"/>
                <w:szCs w:val="20"/>
                <w:color w:val="auto"/>
              </w:rPr>
            </w:pPr>
            <w:r>
              <w:rPr>
                <w:rFonts w:ascii="Arial" w:cs="Arial" w:eastAsia="Arial" w:hAnsi="Arial"/>
                <w:sz w:val="18"/>
                <w:szCs w:val="18"/>
                <w:color w:val="auto"/>
              </w:rPr>
              <w:t>CHARGES: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Non-cash acceleration of depreciation</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Non-cash write-down of fixed assets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120" w:type="dxa"/>
            <w:vAlign w:val="bottom"/>
            <w:gridSpan w:val="4"/>
          </w:tcPr>
          <w:p>
            <w:pPr>
              <w:spacing w:after="0"/>
              <w:rPr>
                <w:sz w:val="20"/>
                <w:szCs w:val="20"/>
                <w:color w:val="auto"/>
              </w:rPr>
            </w:pPr>
            <w:r>
              <w:rPr>
                <w:rFonts w:ascii="Arial" w:cs="Arial" w:eastAsia="Arial" w:hAnsi="Arial"/>
                <w:sz w:val="18"/>
                <w:szCs w:val="18"/>
                <w:color w:val="auto"/>
              </w:rPr>
              <w:t>DISPOSITIONS: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Non-cash transfer to accumulated depreciation</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Non-cash write-down of fixed assets</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SEPT. 30, 2003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$ 97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-172720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-172720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-172720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-172720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-172720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-172720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-172720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-172720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-172720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-172720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-172720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-172720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-172720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-172720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-172720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-172720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-172720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-172720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-172720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-172720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-172720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Abbreviations</w:t>
      </w:r>
    </w:p>
    <w:p>
      <w:pPr>
        <w:spacing w:after="0" w:line="158"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color w:val="auto"/>
        </w:rPr>
        <w:t>SC</w:t>
        <w:tab/>
        <w:t>= Semiconductor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S&amp;C = Sensors and Controls</w:t>
      </w:r>
    </w:p>
    <w:p>
      <w:pPr>
        <w:spacing w:after="0" w:line="151" w:lineRule="exact"/>
        <w:rPr>
          <w:sz w:val="20"/>
          <w:szCs w:val="20"/>
          <w:color w:val="auto"/>
        </w:rPr>
      </w:pPr>
    </w:p>
    <w:p>
      <w:pPr>
        <w:ind w:left="900" w:right="80" w:hanging="446"/>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Italian government auditors have substantially completed a review, conducted in the ordinary course, of approximately $250 million of grants from the Italian government to TI’s former memory operations in Italy for 13 separate projects. To date, the auditors have issued audit reports on 12 of the projects. The auditors have raised a number of issues relating to compliance with grant requirements and the eligibility of specific expenses for the grants. The Ministry of Industry 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ind w:left="46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responsible for reviewing the auditor’s findings. Depending on the Ministry’s decision, the review may result in a demand from the Italian government that TI repay a portion of the grants. The company believes that the grants were obtained and used in compliance with applicable law and contractual obligations. The Ministry has published final concession decrees on six of the projects representing approximately $90 million of grants. No final concession decrees were published in the third quarter of 2003. TI does not expect the outcome to have a material impact on the company’s financial condition, results of operation or liquidity.</w:t>
      </w:r>
    </w:p>
    <w:p>
      <w:pPr>
        <w:spacing w:after="0" w:line="102" w:lineRule="exact"/>
        <w:rPr>
          <w:sz w:val="20"/>
          <w:szCs w:val="20"/>
          <w:color w:val="auto"/>
        </w:rPr>
      </w:pPr>
    </w:p>
    <w:p>
      <w:pPr>
        <w:ind w:left="6"/>
        <w:spacing w:after="0"/>
        <w:tabs>
          <w:tab w:leader="none" w:pos="426" w:val="left"/>
        </w:tabs>
        <w:rPr>
          <w:sz w:val="20"/>
          <w:szCs w:val="20"/>
          <w:color w:val="auto"/>
        </w:rPr>
      </w:pPr>
      <w:r>
        <w:rPr>
          <w:rFonts w:ascii="Arial" w:cs="Arial" w:eastAsia="Arial" w:hAnsi="Arial"/>
          <w:sz w:val="18"/>
          <w:szCs w:val="18"/>
          <w:color w:val="auto"/>
        </w:rPr>
        <w:t>15.</w:t>
        <w:tab/>
        <w:t>Business segment information follows (in millions of dollars):</w:t>
      </w:r>
    </w:p>
    <w:p>
      <w:pPr>
        <w:spacing w:after="0" w:line="141" w:lineRule="exact"/>
        <w:rPr>
          <w:sz w:val="20"/>
          <w:szCs w:val="20"/>
          <w:color w:val="auto"/>
        </w:rPr>
      </w:pPr>
    </w:p>
    <w:tbl>
      <w:tblPr>
        <w:tblLayout w:type="fixed"/>
        <w:tblInd w:w="12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left="218"/>
              <w:spacing w:after="0"/>
              <w:rPr>
                <w:sz w:val="20"/>
                <w:szCs w:val="20"/>
                <w:color w:val="auto"/>
              </w:rPr>
            </w:pPr>
            <w:r>
              <w:rPr>
                <w:rFonts w:ascii="Arial" w:cs="Arial" w:eastAsia="Arial" w:hAnsi="Arial"/>
                <w:sz w:val="14"/>
                <w:szCs w:val="14"/>
                <w:b w:val="1"/>
                <w:bCs w:val="1"/>
                <w:color w:val="auto"/>
                <w:w w:val="89"/>
              </w:rPr>
              <w:t>For Three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center"/>
              <w:ind w:left="218"/>
              <w:spacing w:after="0"/>
              <w:rPr>
                <w:sz w:val="20"/>
                <w:szCs w:val="20"/>
                <w:color w:val="auto"/>
              </w:rPr>
            </w:pPr>
            <w:r>
              <w:rPr>
                <w:rFonts w:ascii="Arial" w:cs="Arial" w:eastAsia="Arial" w:hAnsi="Arial"/>
                <w:sz w:val="14"/>
                <w:szCs w:val="14"/>
                <w:b w:val="1"/>
                <w:bCs w:val="1"/>
                <w:color w:val="auto"/>
                <w:w w:val="91"/>
              </w:rPr>
              <w:t>For Nine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Months Ended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200" w:type="dxa"/>
            <w:vAlign w:val="bottom"/>
          </w:tcPr>
          <w:p>
            <w:pPr>
              <w:spacing w:after="0"/>
              <w:rPr>
                <w:sz w:val="20"/>
                <w:szCs w:val="20"/>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200" w:type="dxa"/>
            <w:vAlign w:val="bottom"/>
          </w:tcPr>
          <w:p>
            <w:pPr>
              <w:spacing w:after="0"/>
              <w:rPr>
                <w:sz w:val="20"/>
                <w:szCs w:val="20"/>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20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74"/>
        </w:trPr>
        <w:tc>
          <w:tcPr>
            <w:tcW w:w="6560" w:type="dxa"/>
            <w:vAlign w:val="bottom"/>
            <w:gridSpan w:val="4"/>
          </w:tcPr>
          <w:p>
            <w:pPr>
              <w:spacing w:after="0"/>
              <w:rPr>
                <w:sz w:val="20"/>
                <w:szCs w:val="20"/>
                <w:color w:val="auto"/>
              </w:rPr>
            </w:pPr>
            <w:r>
              <w:rPr>
                <w:rFonts w:ascii="Arial" w:cs="Arial" w:eastAsia="Arial" w:hAnsi="Arial"/>
                <w:sz w:val="14"/>
                <w:szCs w:val="14"/>
                <w:b w:val="1"/>
                <w:bCs w:val="1"/>
                <w:color w:val="auto"/>
              </w:rPr>
              <w:t>Business Segment Net Revenue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8"/>
              <w:spacing w:after="0"/>
              <w:rPr>
                <w:sz w:val="20"/>
                <w:szCs w:val="20"/>
                <w:color w:val="auto"/>
              </w:rPr>
            </w:pPr>
            <w:r>
              <w:rPr>
                <w:rFonts w:ascii="Arial" w:cs="Arial" w:eastAsia="Arial" w:hAnsi="Arial"/>
                <w:sz w:val="14"/>
                <w:szCs w:val="14"/>
                <w:b w:val="1"/>
                <w:bCs w:val="1"/>
                <w:color w:val="auto"/>
                <w:w w:val="83"/>
              </w:rPr>
              <w:t>2003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8"/>
              <w:spacing w:after="0"/>
              <w:rPr>
                <w:sz w:val="20"/>
                <w:szCs w:val="20"/>
                <w:color w:val="auto"/>
              </w:rPr>
            </w:pPr>
            <w:r>
              <w:rPr>
                <w:rFonts w:ascii="Arial" w:cs="Arial" w:eastAsia="Arial" w:hAnsi="Arial"/>
                <w:sz w:val="14"/>
                <w:szCs w:val="14"/>
                <w:b w:val="1"/>
                <w:bCs w:val="1"/>
                <w:color w:val="auto"/>
                <w:w w:val="89"/>
              </w:rPr>
              <w:t>2003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Semiconductor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tcPr>
          <w:p>
            <w:pPr>
              <w:ind w:left="420"/>
              <w:spacing w:after="0"/>
              <w:rPr>
                <w:sz w:val="20"/>
                <w:szCs w:val="20"/>
                <w:color w:val="auto"/>
              </w:rPr>
            </w:pPr>
            <w:r>
              <w:rPr>
                <w:rFonts w:ascii="Arial" w:cs="Arial" w:eastAsia="Arial" w:hAnsi="Arial"/>
                <w:sz w:val="18"/>
                <w:szCs w:val="18"/>
                <w:color w:val="auto"/>
              </w:rPr>
              <w:t>Trade</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$ 2,115</w:t>
            </w: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$1,830</w:t>
            </w: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$5,901</w:t>
            </w: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tcPr>
          <w:p>
            <w:pPr>
              <w:ind w:left="420"/>
              <w:spacing w:after="0"/>
              <w:rPr>
                <w:sz w:val="20"/>
                <w:szCs w:val="20"/>
                <w:color w:val="auto"/>
              </w:rPr>
            </w:pPr>
            <w:r>
              <w:rPr>
                <w:rFonts w:ascii="Arial" w:cs="Arial" w:eastAsia="Arial" w:hAnsi="Arial"/>
                <w:sz w:val="18"/>
                <w:szCs w:val="18"/>
                <w:color w:val="auto"/>
              </w:rPr>
              <w:t>Trade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gridSpan w:val="3"/>
          </w:tcPr>
          <w:p>
            <w:pPr>
              <w:ind w:left="420"/>
              <w:spacing w:after="0"/>
              <w:rPr>
                <w:sz w:val="20"/>
                <w:szCs w:val="20"/>
                <w:color w:val="auto"/>
              </w:rPr>
            </w:pPr>
            <w:r>
              <w:rPr>
                <w:rFonts w:ascii="Arial" w:cs="Arial" w:eastAsia="Arial" w:hAnsi="Arial"/>
                <w:sz w:val="18"/>
                <w:szCs w:val="18"/>
                <w:color w:val="auto"/>
              </w:rPr>
              <w:t>Trade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$7,064</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6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6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tcPr>
          <w:p>
            <w:pPr>
              <w:jc w:val="center"/>
              <w:ind w:left="218"/>
              <w:spacing w:after="0"/>
              <w:rPr>
                <w:sz w:val="20"/>
                <w:szCs w:val="20"/>
                <w:color w:val="auto"/>
              </w:rPr>
            </w:pPr>
            <w:r>
              <w:rPr>
                <w:rFonts w:ascii="Arial" w:cs="Arial" w:eastAsia="Arial" w:hAnsi="Arial"/>
                <w:sz w:val="14"/>
                <w:szCs w:val="14"/>
                <w:b w:val="1"/>
                <w:bCs w:val="1"/>
                <w:color w:val="auto"/>
                <w:w w:val="89"/>
              </w:rPr>
              <w:t>For Three</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4"/>
          </w:tcPr>
          <w:p>
            <w:pPr>
              <w:jc w:val="center"/>
              <w:ind w:left="218"/>
              <w:spacing w:after="0"/>
              <w:rPr>
                <w:sz w:val="20"/>
                <w:szCs w:val="20"/>
                <w:color w:val="auto"/>
              </w:rPr>
            </w:pPr>
            <w:r>
              <w:rPr>
                <w:rFonts w:ascii="Arial" w:cs="Arial" w:eastAsia="Arial" w:hAnsi="Arial"/>
                <w:sz w:val="14"/>
                <w:szCs w:val="14"/>
                <w:b w:val="1"/>
                <w:bCs w:val="1"/>
                <w:color w:val="auto"/>
                <w:w w:val="91"/>
              </w:rPr>
              <w:t>For Nine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Months Ended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bottom w:val="single" w:sz="8" w:color="auto"/>
            </w:tcBorders>
            <w:gridSpan w:val="3"/>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gridSpan w:val="3"/>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200" w:type="dxa"/>
            <w:vAlign w:val="bottom"/>
          </w:tcPr>
          <w:p>
            <w:pPr>
              <w:spacing w:after="0"/>
              <w:rPr>
                <w:sz w:val="20"/>
                <w:szCs w:val="20"/>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200" w:type="dxa"/>
            <w:vAlign w:val="bottom"/>
          </w:tcPr>
          <w:p>
            <w:pPr>
              <w:spacing w:after="0"/>
              <w:rPr>
                <w:sz w:val="20"/>
                <w:szCs w:val="20"/>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20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74"/>
        </w:trPr>
        <w:tc>
          <w:tcPr>
            <w:tcW w:w="6560" w:type="dxa"/>
            <w:vAlign w:val="bottom"/>
            <w:gridSpan w:val="4"/>
          </w:tcPr>
          <w:p>
            <w:pPr>
              <w:spacing w:after="0"/>
              <w:rPr>
                <w:sz w:val="20"/>
                <w:szCs w:val="20"/>
                <w:color w:val="auto"/>
              </w:rPr>
            </w:pPr>
            <w:r>
              <w:rPr>
                <w:rFonts w:ascii="Arial" w:cs="Arial" w:eastAsia="Arial" w:hAnsi="Arial"/>
                <w:sz w:val="14"/>
                <w:szCs w:val="14"/>
                <w:b w:val="1"/>
                <w:bCs w:val="1"/>
                <w:color w:val="auto"/>
              </w:rPr>
              <w:t>Business Segment Profit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8"/>
              <w:spacing w:after="0"/>
              <w:rPr>
                <w:sz w:val="20"/>
                <w:szCs w:val="20"/>
                <w:color w:val="auto"/>
              </w:rPr>
            </w:pPr>
            <w:r>
              <w:rPr>
                <w:rFonts w:ascii="Arial" w:cs="Arial" w:eastAsia="Arial" w:hAnsi="Arial"/>
                <w:sz w:val="14"/>
                <w:szCs w:val="14"/>
                <w:b w:val="1"/>
                <w:bCs w:val="1"/>
                <w:color w:val="auto"/>
                <w:w w:val="83"/>
              </w:rPr>
              <w:t>2003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8"/>
              <w:spacing w:after="0"/>
              <w:rPr>
                <w:sz w:val="20"/>
                <w:szCs w:val="20"/>
                <w:color w:val="auto"/>
              </w:rPr>
            </w:pPr>
            <w:r>
              <w:rPr>
                <w:rFonts w:ascii="Arial" w:cs="Arial" w:eastAsia="Arial" w:hAnsi="Arial"/>
                <w:sz w:val="14"/>
                <w:szCs w:val="14"/>
                <w:b w:val="1"/>
                <w:bCs w:val="1"/>
                <w:color w:val="auto"/>
                <w:w w:val="89"/>
              </w:rPr>
              <w:t>2003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Semiconductor</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tcPr>
          <w:p>
            <w:pPr>
              <w:spacing w:after="0"/>
              <w:rPr>
                <w:sz w:val="20"/>
                <w:szCs w:val="20"/>
                <w:color w:val="auto"/>
              </w:rPr>
            </w:pPr>
            <w:r>
              <w:rPr>
                <w:rFonts w:ascii="Arial" w:cs="Arial" w:eastAsia="Arial" w:hAnsi="Arial"/>
                <w:sz w:val="18"/>
                <w:szCs w:val="18"/>
                <w:color w:val="auto"/>
              </w:rPr>
              <w:t>Sensors &amp; Controls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tcPr>
          <w:p>
            <w:pPr>
              <w:spacing w:after="0"/>
              <w:rPr>
                <w:sz w:val="20"/>
                <w:szCs w:val="20"/>
                <w:color w:val="auto"/>
              </w:rPr>
            </w:pPr>
            <w:r>
              <w:rPr>
                <w:rFonts w:ascii="Arial" w:cs="Arial" w:eastAsia="Arial" w:hAnsi="Arial"/>
                <w:sz w:val="18"/>
                <w:szCs w:val="18"/>
                <w:color w:val="auto"/>
              </w:rPr>
              <w:t>Corporate activities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gridSpan w:val="3"/>
          </w:tcPr>
          <w:p>
            <w:pPr>
              <w:spacing w:after="0"/>
              <w:rPr>
                <w:sz w:val="20"/>
                <w:szCs w:val="20"/>
                <w:color w:val="auto"/>
              </w:rPr>
            </w:pPr>
            <w:r>
              <w:rPr>
                <w:rFonts w:ascii="Arial" w:cs="Arial" w:eastAsia="Arial" w:hAnsi="Arial"/>
                <w:sz w:val="18"/>
                <w:szCs w:val="18"/>
                <w:color w:val="auto"/>
                <w:w w:val="91"/>
              </w:rPr>
              <w:t>Interest on loans/other income (expense) net, excluding a third-quarter 2003 gain of $106,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tcPr>
          <w:p>
            <w:pPr>
              <w:ind w:left="200"/>
              <w:spacing w:after="0"/>
              <w:rPr>
                <w:sz w:val="20"/>
                <w:szCs w:val="20"/>
                <w:color w:val="auto"/>
              </w:rPr>
            </w:pPr>
            <w:r>
              <w:rPr>
                <w:rFonts w:ascii="Arial" w:cs="Arial" w:eastAsia="Arial" w:hAnsi="Arial"/>
                <w:sz w:val="18"/>
                <w:szCs w:val="18"/>
                <w:color w:val="auto"/>
                <w:w w:val="93"/>
              </w:rPr>
              <w:t>a first-quarter 2003 charge of $10 and a second-quarter 2002 gain of $20, and a first-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tcPr>
          <w:p>
            <w:pPr>
              <w:ind w:left="200"/>
              <w:spacing w:after="0"/>
              <w:rPr>
                <w:sz w:val="20"/>
                <w:szCs w:val="20"/>
                <w:color w:val="auto"/>
              </w:rPr>
            </w:pPr>
            <w:r>
              <w:rPr>
                <w:rFonts w:ascii="Arial" w:cs="Arial" w:eastAsia="Arial" w:hAnsi="Arial"/>
                <w:sz w:val="18"/>
                <w:szCs w:val="18"/>
                <w:color w:val="auto"/>
                <w:w w:val="95"/>
              </w:rPr>
              <w:t>quarter 2002 charge of $1 included above in Charges/gains and acquisition-related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gridSpan w:val="3"/>
          </w:tcPr>
          <w:p>
            <w:pPr>
              <w:ind w:left="20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-2516505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-2516505</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-2516505</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5006340</wp:posOffset>
            </wp:positionH>
            <wp:positionV relativeFrom="paragraph">
              <wp:posOffset>-2516505</wp:posOffset>
            </wp:positionV>
            <wp:extent cx="34734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-2516505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-2516505</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-2516505</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6223635</wp:posOffset>
            </wp:positionH>
            <wp:positionV relativeFrom="paragraph">
              <wp:posOffset>-2516505</wp:posOffset>
            </wp:positionV>
            <wp:extent cx="34734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-29210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5006340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-29210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-29210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-29210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6223635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-29210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-29210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5166" w:right="1220" w:hanging="5166"/>
        <w:spacing w:after="0" w:line="440" w:lineRule="auto"/>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Federal income taxes for the interim periods presented have been included in the accompanying financial statements on the basis 12</w:t>
      </w:r>
    </w:p>
    <w:p>
      <w:pPr>
        <w:sectPr>
          <w:pgSz w:w="11900" w:h="16838" w:orient="portrait"/>
          <w:cols w:equalWidth="0" w:num="1">
            <w:col w:w="10706"/>
          </w:cols>
          <w:pgMar w:left="694" w:top="280" w:right="499" w:bottom="1440" w:gutter="0" w:footer="0" w:header="0"/>
        </w:sectPr>
      </w:pPr>
    </w:p>
    <w:bookmarkStart w:id="12" w:name="page13"/>
    <w:bookmarkEnd w:id="12"/>
    <w:p>
      <w:pPr>
        <w:ind w:left="46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an estimated annual rate. The estimated annualized tax rate for 2003 is 24 percent, exclusive of the tax impact resulting from the recognition of the previously reserved tax benefit associated with the Micron stock transaction (see Note 3). The primary reason the effective annualized tax rate for 2003 differs from the 35 percent statutory corporate tax rate is the expected utilization of tax benefits such as the credit for research activities.</w:t>
      </w:r>
    </w:p>
    <w:p>
      <w:pPr>
        <w:spacing w:after="0" w:line="12" w:lineRule="exact"/>
        <w:rPr>
          <w:sz w:val="20"/>
          <w:szCs w:val="20"/>
          <w:color w:val="auto"/>
        </w:rPr>
      </w:pPr>
    </w:p>
    <w:p>
      <w:pPr>
        <w:ind w:left="446" w:right="120" w:hanging="446"/>
        <w:spacing w:after="0" w:line="256" w:lineRule="auto"/>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statement of operations and statement of cash flows for the periods ended September 30, 2003, and the balance sheet as of September 30, 2003, are not audited but reflect all adjustments which are of a normal recurring nature and are, in the opinion of management, necessary for a fair statement of the results of the periods shown. Certain amounts in the prior period’s financial statements have been reclassified to conform to the current presentation.</w:t>
      </w:r>
    </w:p>
    <w:p>
      <w:pPr>
        <w:spacing w:after="0" w:line="124" w:lineRule="exact"/>
        <w:rPr>
          <w:sz w:val="20"/>
          <w:szCs w:val="20"/>
          <w:color w:val="auto"/>
        </w:rPr>
      </w:pPr>
    </w:p>
    <w:p>
      <w:pPr>
        <w:ind w:left="486"/>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left="466" w:right="520"/>
        <w:spacing w:after="0" w:line="268"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the related notes that appear elsewhere in this document.</w:t>
      </w:r>
    </w:p>
    <w:p>
      <w:pPr>
        <w:spacing w:after="0" w:line="118" w:lineRule="exact"/>
        <w:rPr>
          <w:sz w:val="20"/>
          <w:szCs w:val="20"/>
          <w:color w:val="auto"/>
        </w:rPr>
      </w:pPr>
    </w:p>
    <w:p>
      <w:pPr>
        <w:ind w:left="466" w:right="100"/>
        <w:spacing w:after="0" w:line="256" w:lineRule="auto"/>
        <w:rPr>
          <w:sz w:val="20"/>
          <w:szCs w:val="20"/>
          <w:color w:val="auto"/>
        </w:rPr>
      </w:pPr>
      <w:r>
        <w:rPr>
          <w:rFonts w:ascii="Arial" w:cs="Arial" w:eastAsia="Arial" w:hAnsi="Arial"/>
          <w:sz w:val="18"/>
          <w:szCs w:val="18"/>
          <w:color w:val="auto"/>
        </w:rPr>
        <w:t>The company’s third quarter financial results reflect strengthened conditions across its semiconductor markets in the third quarter. TI’s total revenue of $2533 million increased 8 percent sequentially and 13 percent from the year-ago quarter due to growth in Semiconductor. Earnings per share (EPS) were $0.25 in the quarter, including a contribution from the sale of Micron Technology, Inc. (Micron) common stock and the impact of charges for restructuring and an acquisition.</w:t>
      </w:r>
    </w:p>
    <w:p>
      <w:pPr>
        <w:spacing w:after="0" w:line="130" w:lineRule="exact"/>
        <w:rPr>
          <w:sz w:val="20"/>
          <w:szCs w:val="20"/>
          <w:color w:val="auto"/>
        </w:rPr>
      </w:pPr>
    </w:p>
    <w:p>
      <w:pPr>
        <w:jc w:val="both"/>
        <w:ind w:left="466" w:right="100"/>
        <w:spacing w:after="0" w:line="339" w:lineRule="auto"/>
        <w:rPr>
          <w:sz w:val="20"/>
          <w:szCs w:val="20"/>
          <w:color w:val="auto"/>
        </w:rPr>
      </w:pPr>
      <w:r>
        <w:rPr>
          <w:rFonts w:ascii="Arial" w:cs="Arial" w:eastAsia="Arial" w:hAnsi="Arial"/>
          <w:sz w:val="15"/>
          <w:szCs w:val="15"/>
          <w:color w:val="auto"/>
        </w:rPr>
        <w:t>Semiconductor segment revenue increased 10 percent sequentially due to higher shipments of DSP products into the wireless and digital consumer electronics markets, as well as higher shipments of high-performance analog products. Compared with the year-ago quarter, Semiconductor revenue increased 16 percent due to higher shipments of DSP, high-performance analog and Digital Light Processing</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(DLP</w:t>
      </w:r>
      <w:r>
        <w:rPr>
          <w:rFonts w:ascii="Arial" w:cs="Arial" w:eastAsia="Arial" w:hAnsi="Arial"/>
          <w:sz w:val="19"/>
          <w:szCs w:val="19"/>
          <w:color w:val="auto"/>
          <w:vertAlign w:val="superscript"/>
        </w:rPr>
        <w:t>™</w:t>
      </w:r>
      <w:r>
        <w:rPr>
          <w:rFonts w:ascii="Arial" w:cs="Arial" w:eastAsia="Arial" w:hAnsi="Arial"/>
          <w:sz w:val="15"/>
          <w:szCs w:val="15"/>
          <w:color w:val="auto"/>
        </w:rPr>
        <w:t>) products.</w:t>
      </w:r>
    </w:p>
    <w:p>
      <w:pPr>
        <w:spacing w:after="0" w:line="1" w:lineRule="exact"/>
        <w:rPr>
          <w:sz w:val="20"/>
          <w:szCs w:val="20"/>
          <w:color w:val="auto"/>
        </w:rPr>
      </w:pPr>
    </w:p>
    <w:p>
      <w:pPr>
        <w:ind w:left="466" w:right="60"/>
        <w:spacing w:after="0" w:line="259" w:lineRule="auto"/>
        <w:rPr>
          <w:sz w:val="20"/>
          <w:szCs w:val="20"/>
          <w:color w:val="auto"/>
        </w:rPr>
      </w:pPr>
      <w:r>
        <w:rPr>
          <w:rFonts w:ascii="Arial" w:cs="Arial" w:eastAsia="Arial" w:hAnsi="Arial"/>
          <w:sz w:val="17"/>
          <w:szCs w:val="17"/>
          <w:color w:val="auto"/>
        </w:rPr>
        <w:t>TI revenue from the Semiconductor wireless market increased 22 percent sequentially and 30 percent from the year-ago quarter due to growth in 2.5G wireless modems and OMAP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applications processors. Broadband revenue increased 11 percent sequentially primarily due to strong demand for the company’s latest multimode wireless local area networking (LAN) products that support the IEEE 802.11a, b and g standards. Broadband revenue increased 74 percent from the year-ago quarter due to strength in wireless LAN and DSL. Revenue from Analog products increased 7 percent sequentially and 6 percent from the year-ago quarter primarily due to demand for high-performance analog products. DSP revenue increased 22 percent sequentially and 37 percent from the year-ago quarter.</w:t>
      </w:r>
    </w:p>
    <w:p>
      <w:pPr>
        <w:spacing w:after="0" w:line="130" w:lineRule="exact"/>
        <w:rPr>
          <w:sz w:val="20"/>
          <w:szCs w:val="20"/>
          <w:color w:val="auto"/>
        </w:rPr>
      </w:pPr>
    </w:p>
    <w:p>
      <w:pPr>
        <w:ind w:left="466"/>
        <w:spacing w:after="0" w:line="370" w:lineRule="auto"/>
        <w:rPr>
          <w:sz w:val="20"/>
          <w:szCs w:val="20"/>
          <w:color w:val="auto"/>
        </w:rPr>
      </w:pPr>
      <w:r>
        <w:rPr>
          <w:rFonts w:ascii="Arial" w:cs="Arial" w:eastAsia="Arial" w:hAnsi="Arial"/>
          <w:sz w:val="15"/>
          <w:szCs w:val="15"/>
          <w:color w:val="auto"/>
        </w:rPr>
        <w:t>In the Sensors &amp; Controls segment, revenue decreased 7 percent sequentially and increased 2 percent from the year-ago quarter. In the Educational &amp; Productivity Solutions (E&amp;PS) segment, revenue increased 13 percent sequentially and decreased 2 percent from the year-ago quarter.</w:t>
      </w:r>
    </w:p>
    <w:p>
      <w:pPr>
        <w:spacing w:after="0" w:line="49" w:lineRule="exact"/>
        <w:rPr>
          <w:sz w:val="20"/>
          <w:szCs w:val="20"/>
          <w:color w:val="auto"/>
        </w:rPr>
      </w:pPr>
    </w:p>
    <w:p>
      <w:pPr>
        <w:ind w:left="466" w:right="460"/>
        <w:spacing w:after="0" w:line="332" w:lineRule="auto"/>
        <w:rPr>
          <w:sz w:val="20"/>
          <w:szCs w:val="20"/>
          <w:color w:val="auto"/>
        </w:rPr>
      </w:pPr>
      <w:r>
        <w:rPr>
          <w:rFonts w:ascii="Arial" w:cs="Arial" w:eastAsia="Arial" w:hAnsi="Arial"/>
          <w:sz w:val="16"/>
          <w:szCs w:val="16"/>
          <w:color w:val="auto"/>
        </w:rPr>
        <w:t>In the third quarter, the company incurred $56 million in charges related to previously announced restructuring actions, of which $48 million is included in cost of revenue, $7 million in selling, general and administrative (SG&amp;A) expense and $1 million in research and development</w:t>
      </w:r>
    </w:p>
    <w:p>
      <w:pPr>
        <w:spacing w:after="0" w:line="7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6"/>
          </w:cols>
          <w:pgMar w:left="694" w:top="280" w:right="239" w:bottom="1440" w:gutter="0" w:footer="0" w:header="0"/>
        </w:sectPr>
      </w:pPr>
    </w:p>
    <w:bookmarkStart w:id="13" w:name="page14"/>
    <w:bookmarkEnd w:id="13"/>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(R&amp;D) expense. The company also incurred a non-tax-deductible $23 million in-process R&amp;D charge related to the company’s acquisition of Radia Communications, Inc. (Radia) in the quarter.</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Cost of revenue in the third quarter was $1503 million or 59.3 percent of revenue, compared with $1462 million or 62.5 percent of revenue in the second quarter of 2003 and $1413 million or 62.9 percent of revenue in the year-ago quarter. Cost of revenue as a percent of revenue decreased due to increased utilization of the company’s largely fixed-cost manufacturing assets in its Semiconductor operations.</w:t>
      </w:r>
    </w:p>
    <w:p>
      <w:pPr>
        <w:spacing w:after="0" w:line="9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Gross profit of $1030 million increased 18 percent sequentially and 23 percent from the year-ago quarter. Gross profit margin was 40.7 percent of revenue, up 3.2 percentage points sequentially and 3.6 percentage points from the year-ago quarter as higher revenue fell through to gross profit at a high rate due to increased utilization of the company’s largely fixed-cost manufacturing assets in its Semiconductor operations.</w:t>
      </w:r>
    </w:p>
    <w:p>
      <w:pPr>
        <w:spacing w:after="0" w:line="9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R&amp;D expense of $468 million was up 10 percent sequentially and 13 percent from the year-ago quarter due to the inclusion of purchased in-process R&amp;D from the Radia acquisition, as well as increased product development activity within Semiconductor, especially for wireless products. R&amp;D expense as a percent of revenue was 18.5 percent, about even sequentially and compared with the year-ago quarter.</w:t>
      </w:r>
    </w:p>
    <w:p>
      <w:pPr>
        <w:spacing w:after="0" w:line="9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SG&amp;A expense of $313 million decreased 5 percent sequentially primarily due to a lease termination expense in the second quarter. SG&amp;A expense was about even with the year-ago period. SG&amp;A expense as a percent of revenue was 12.3 percent, a decrease of 1.7 percentage points sequentially and 1.5 percentage points compared with the year-ago quarter due to higher revenue.</w:t>
      </w:r>
    </w:p>
    <w:p>
      <w:pPr>
        <w:spacing w:after="0" w:line="9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Operating profit of $249 million, or 9.8 percent of revenue, increased $124 million sequentially and $140 million from the year-ago quarter due to higher gross profit.</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Other income (expense) net (OI&amp;E) of $143 million includes interest income, investment gains (losses) and other items. OI&amp;E increased $107 million sequentially and $86 million from the year-ago quarter due to a pretax gain of $106 million from the company’s previously announced sale of 24.7 million shares of Micron stock. Interest expense of $8 million declined $2 million sequentially and $6 million from the year-ago quarter due to the company’s lower debt level.</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Net income in the quarter was $447 million, or $0.25 per share. The Micron transaction includes the recognition of a previously reserved tax benefit of $162 million associated with TI’s impairment write-down of Micron stock in the fourth quarter of 2002. The effective tax rate for the quarter was 26 percent exclusive of the tax impact resulting from the recognition of the previously reserved tax benefit associated with the Micron stock transaction. The effective tax rate was higher than previously expected due to a revision in the company’s expected tax rate for the year and the resulting cumulative catch-up tax expense of $6 million. The effective tax rate for the year is expected to be 24 percent.</w:t>
      </w:r>
    </w:p>
    <w:p>
      <w:pPr>
        <w:spacing w:after="0" w:line="1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TI orders of $2662 million increased 15 percent sequentially and 26 percent from the year-ago period. Semiconductor orders of $2295 million increased 21 percent sequentially and 29 percent from the year-ago period. The Semiconductor book-to-bill ratio was 1.08 for the third quarter, up from 0.99 in the prior quarter.</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00"/>
          </w:cols>
          <w:pgMar w:left="1160" w:top="280" w:right="339" w:bottom="1440" w:gutter="0" w:footer="0" w:header="0"/>
        </w:sectPr>
      </w:pPr>
    </w:p>
    <w:bookmarkStart w:id="14" w:name="page15"/>
    <w:bookmarkEnd w:id="14"/>
    <w:p>
      <w:pPr>
        <w:ind w:left="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cash (cash and cash equivalents plus short-term investments and long-term cash investments) of $4538 million increased by $355 million from</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end of the prior quarter and by $894 million from the end of the year-ago quarter. Cash flow from operations increased to $510 million from</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$378 million in the prior quarter due to higher net income, and decreased from $565 million in the year-ago quarter. Capital expenditures were $233</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million in the third quarter, up from $162 million in the previous quarter and down from $269 million in the year-ago quarter.</w:t>
      </w:r>
    </w:p>
    <w:p>
      <w:pPr>
        <w:spacing w:after="0" w:line="151" w:lineRule="exact"/>
        <w:rPr>
          <w:sz w:val="20"/>
          <w:szCs w:val="20"/>
          <w:color w:val="auto"/>
        </w:rPr>
      </w:pPr>
    </w:p>
    <w:p>
      <w:pPr>
        <w:ind w:left="60" w:right="140"/>
        <w:spacing w:after="0" w:line="332" w:lineRule="auto"/>
        <w:rPr>
          <w:sz w:val="20"/>
          <w:szCs w:val="20"/>
          <w:color w:val="auto"/>
        </w:rPr>
      </w:pPr>
      <w:r>
        <w:rPr>
          <w:rFonts w:ascii="Arial" w:cs="Arial" w:eastAsia="Arial" w:hAnsi="Arial"/>
          <w:sz w:val="16"/>
          <w:szCs w:val="16"/>
          <w:color w:val="auto"/>
        </w:rPr>
        <w:t>Accounts receivable increased by $82 million sequentially and $94 million from the year-ago quarter due to higher revenue. Days sales outstanding declined to 54 days at the end of the third quarter from 55 days in the prior quarter and 57 days in the year-ago quarter.</w:t>
      </w:r>
    </w:p>
    <w:p>
      <w:pPr>
        <w:spacing w:after="0" w:line="72" w:lineRule="exact"/>
        <w:rPr>
          <w:sz w:val="20"/>
          <w:szCs w:val="20"/>
          <w:color w:val="auto"/>
        </w:rPr>
      </w:pPr>
    </w:p>
    <w:p>
      <w:pPr>
        <w:ind w:left="60"/>
        <w:spacing w:after="0" w:line="256" w:lineRule="auto"/>
        <w:rPr>
          <w:sz w:val="20"/>
          <w:szCs w:val="20"/>
          <w:color w:val="auto"/>
        </w:rPr>
      </w:pPr>
      <w:r>
        <w:rPr>
          <w:rFonts w:ascii="Arial" w:cs="Arial" w:eastAsia="Arial" w:hAnsi="Arial"/>
          <w:sz w:val="18"/>
          <w:szCs w:val="18"/>
          <w:color w:val="auto"/>
        </w:rPr>
        <w:t>Inventory decreased by $5 million sequentially primarily due to higher seasonal shipments of E&amp;PS products in the quarter. Compared with the year-ago quarter, inventory increased $172 million in anticipation of higher Semiconductor product shipments in the fourth quarter of 2003 and to support reduced product lead times. Days of inventory were 60 days at the end of the third quarter compared with 62 days at the end of the prior quarter and 52 days at the end of the year-ago quarter.</w:t>
      </w:r>
    </w:p>
    <w:p>
      <w:pPr>
        <w:spacing w:after="0" w:line="13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TEXAS INSTRUMENTS INCORPORATED AND SUBSIDIARIES</w:t>
      </w:r>
    </w:p>
    <w:p>
      <w:pPr>
        <w:spacing w:after="0" w:line="15"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Consolidated Statement of Operations – Selected Items</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(In millions of dollars,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8"/>
              </w:rPr>
              <w:t>For Three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2003</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2003</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2,533</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2,339</w:t>
            </w:r>
          </w:p>
        </w:tc>
        <w:tc>
          <w:tcPr>
            <w:tcW w:w="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Gross profit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1,030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Gross profit % of revenue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Research and development (R&amp;D)</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R&amp;D % of revenue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Selling, general and administrative (SG&amp;A)</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SG&amp;A % of revenue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2,284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2,214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280"/>
              <w:spacing w:after="0"/>
              <w:rPr>
                <w:sz w:val="20"/>
                <w:szCs w:val="20"/>
                <w:color w:val="auto"/>
              </w:rPr>
            </w:pPr>
            <w:r>
              <w:rPr>
                <w:rFonts w:ascii="Arial" w:cs="Arial" w:eastAsia="Arial" w:hAnsi="Arial"/>
                <w:sz w:val="18"/>
                <w:szCs w:val="18"/>
                <w:color w:val="auto"/>
              </w:rPr>
              <w:t>Operating income % of revenue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on loans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-329565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4345305</wp:posOffset>
            </wp:positionH>
            <wp:positionV relativeFrom="paragraph">
              <wp:posOffset>-329565</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-329565</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-329565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-329565</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5331460</wp:posOffset>
            </wp:positionH>
            <wp:positionV relativeFrom="paragraph">
              <wp:posOffset>-329565</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5751830</wp:posOffset>
            </wp:positionH>
            <wp:positionV relativeFrom="paragraph">
              <wp:posOffset>-329565</wp:posOffset>
            </wp:positionV>
            <wp:extent cx="34734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4293870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4345305</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-29210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5331460</wp:posOffset>
            </wp:positionH>
            <wp:positionV relativeFrom="paragraph">
              <wp:posOffset>-29210</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5751830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5803265</wp:posOffset>
            </wp:positionH>
            <wp:positionV relativeFrom="paragraph">
              <wp:posOffset>-29210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6060440</wp:posOffset>
            </wp:positionH>
            <wp:positionV relativeFrom="paragraph">
              <wp:posOffset>-29210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60" w:right="140"/>
        <w:spacing w:after="0" w:line="268" w:lineRule="auto"/>
        <w:rPr>
          <w:sz w:val="20"/>
          <w:szCs w:val="20"/>
          <w:color w:val="auto"/>
        </w:rPr>
      </w:pPr>
      <w:r>
        <w:rPr>
          <w:rFonts w:ascii="Arial" w:cs="Arial" w:eastAsia="Arial" w:hAnsi="Arial"/>
          <w:sz w:val="18"/>
          <w:szCs w:val="18"/>
          <w:color w:val="auto"/>
        </w:rPr>
        <w:t>TI believes its revenue and profit margins continue to rebound. As the semiconductor market has rebuilt momentum, TI has grown faster as a result of the manufacturing technology and product R&amp;D investments it maintained through the industry’s downturn.</w:t>
      </w:r>
    </w:p>
    <w:p>
      <w:pPr>
        <w:spacing w:after="0" w:line="11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1100" w:top="280" w:right="239" w:bottom="1440" w:gutter="0" w:footer="0" w:header="0"/>
        </w:sectPr>
      </w:pPr>
    </w:p>
    <w:bookmarkStart w:id="15" w:name="page16"/>
    <w:bookmarkEnd w:id="1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investments have resulted in volume production of a wide range of 130 nanometer products with 90 nanometer products already sampling and scheduled to be in production soon. TI has shipped more than 100 million chips to its customers in 130 nanometer. When these advanced technologies are combined with 300 millimeter wafers, it means TI can design and manufacture products that perform better, consume less power and cost less than products from competitors that have not made or been able to make these investments.</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One example of the success of this strategy is the development of OMAP applications processors for smartphones and PDAs. These processors generated about half of the company’s wireless revenue growth in the third quarter compared with a year ago. The company sees similar enthusiasm for its new products for the broadband and digital consumer electronics markets, as well as for its new high-performance analog products. The company expects that the revenue growth from these and other new products, as well as the benefits of ongoing cost management and lower depreciation levels, will be drivers for further profit expansion.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TI intends to provide a mid-quarter update to its financial outlook on December 8, 2003, by issuing a press release and holding a conference call.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Both will be available on the company’s web site.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2003, TI expects revenue to be in the following ranges:</w:t>
      </w:r>
    </w:p>
    <w:p>
      <w:pPr>
        <w:spacing w:after="0" w:line="77" w:lineRule="exact"/>
        <w:rPr>
          <w:sz w:val="20"/>
          <w:szCs w:val="20"/>
          <w:color w:val="auto"/>
        </w:rPr>
      </w:pPr>
    </w:p>
    <w:p>
      <w:pPr>
        <w:ind w:left="780" w:hanging="449"/>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TI, $2490 million to $2700 million;</w:t>
      </w:r>
    </w:p>
    <w:p>
      <w:pPr>
        <w:spacing w:after="0" w:line="103" w:lineRule="exact"/>
        <w:rPr>
          <w:rFonts w:ascii="Arial" w:cs="Arial" w:eastAsia="Arial" w:hAnsi="Arial"/>
          <w:sz w:val="18"/>
          <w:szCs w:val="18"/>
          <w:color w:val="auto"/>
        </w:rPr>
      </w:pPr>
    </w:p>
    <w:p>
      <w:pPr>
        <w:ind w:left="780" w:hanging="449"/>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Semiconductor, $2185 million to $2365 million;</w:t>
      </w:r>
    </w:p>
    <w:p>
      <w:pPr>
        <w:spacing w:after="0" w:line="103" w:lineRule="exact"/>
        <w:rPr>
          <w:rFonts w:ascii="Arial" w:cs="Arial" w:eastAsia="Arial" w:hAnsi="Arial"/>
          <w:sz w:val="18"/>
          <w:szCs w:val="18"/>
          <w:color w:val="auto"/>
        </w:rPr>
      </w:pPr>
    </w:p>
    <w:p>
      <w:pPr>
        <w:ind w:left="780" w:hanging="449"/>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Sensors &amp; Controls, $235 million to $255 million; and</w:t>
      </w:r>
    </w:p>
    <w:p>
      <w:pPr>
        <w:spacing w:after="0" w:line="103" w:lineRule="exact"/>
        <w:rPr>
          <w:rFonts w:ascii="Arial" w:cs="Arial" w:eastAsia="Arial" w:hAnsi="Arial"/>
          <w:sz w:val="18"/>
          <w:szCs w:val="18"/>
          <w:color w:val="auto"/>
        </w:rPr>
      </w:pPr>
    </w:p>
    <w:p>
      <w:pPr>
        <w:ind w:left="780" w:hanging="449"/>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E&amp;PS, $70 million to $80 million.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TI expects earnings per share to be in the range of $0.14 to $0.19. Restructuring charges in the fourth quarter are expected to be about $15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 expects restructuring charges from the previously announced actions to continue into 2004 at about $10 million per quarter.</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2003, TI expects: R&amp;D to be about $1.75 billion, higher than the previous estimate due to the Radia acquisition</w:t>
      </w:r>
      <w:r>
        <w:rPr>
          <w:rFonts w:ascii="Arial" w:cs="Arial" w:eastAsia="Arial" w:hAnsi="Arial"/>
          <w:sz w:val="16"/>
          <w:szCs w:val="16"/>
          <w:i w:val="1"/>
          <w:iCs w:val="1"/>
          <w:color w:val="auto"/>
        </w:rPr>
        <w:t>;</w:t>
      </w:r>
      <w:r>
        <w:rPr>
          <w:rFonts w:ascii="Arial" w:cs="Arial" w:eastAsia="Arial" w:hAnsi="Arial"/>
          <w:sz w:val="16"/>
          <w:szCs w:val="16"/>
          <w:color w:val="auto"/>
        </w:rPr>
        <w:t xml:space="preserve"> capital expenditures to be about $800 million, unchanged from the previous estimate; and depreciation to be about $1.4 billion, unchanged from the previous estimate. The effective tax rate for the year is expected to be about 24 percent, exclusive of the tax impact resulting from the recognition of the previously reserved $162 million tax benefit associated with the Micron stock transaction during the third quarter.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Semiconductor revenue in the third quarter was $2118 million, up 10 percent sequentially and 16 percent from the year-ago quarter.</w:t>
      </w:r>
    </w:p>
    <w:p>
      <w:pPr>
        <w:spacing w:after="0" w:line="18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Gross profit for the third quarter was $899 million, up from $743 million in the prior period and $668 million in the year-ago quarter due to higher revenue</w:t>
      </w:r>
      <w:r>
        <w:rPr>
          <w:rFonts w:ascii="Arial" w:cs="Arial" w:eastAsia="Arial" w:hAnsi="Arial"/>
          <w:sz w:val="18"/>
          <w:szCs w:val="18"/>
          <w:i w:val="1"/>
          <w:iCs w:val="1"/>
          <w:color w:val="auto"/>
        </w:rPr>
        <w:t>.</w:t>
      </w:r>
    </w:p>
    <w:p>
      <w:pPr>
        <w:spacing w:after="0" w:line="11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60"/>
          </w:cols>
          <w:pgMar w:left="1160" w:top="280" w:right="279" w:bottom="1440" w:gutter="0" w:footer="0" w:header="0"/>
        </w:sectPr>
      </w:pPr>
    </w:p>
    <w:bookmarkStart w:id="16" w:name="page17"/>
    <w:bookmarkEnd w:id="16"/>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margin of 42.4 percent in the quarter was up 3.8 percentage points sequentially and 5.9 percentage points from the year-ago quarter primarily due to higher factory utilization levels.</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Semiconductor operating profit for the third quarter increased to $264 million, or 12.5 percent of revenue, from $126 million in the prior quarter and $67 million in the year-ago quarter due to higher gross profit.</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Analog revenue increased 7 percent sequentially and 6 percent from the year-ago quarter primarily due to higher shipments of high-performance analog products, as well as higher shipments to the storage and broadband markets. During the first three quarters of 2003, about 40 percent of total Semiconductor revenue came from Analog.</w:t>
      </w:r>
    </w:p>
    <w:p>
      <w:pPr>
        <w:spacing w:after="0" w:line="127" w:lineRule="exact"/>
        <w:rPr>
          <w:sz w:val="20"/>
          <w:szCs w:val="20"/>
          <w:color w:val="auto"/>
        </w:rPr>
      </w:pPr>
    </w:p>
    <w:p>
      <w:pPr>
        <w:ind w:right="660"/>
        <w:spacing w:after="0" w:line="370" w:lineRule="auto"/>
        <w:rPr>
          <w:sz w:val="20"/>
          <w:szCs w:val="20"/>
          <w:color w:val="auto"/>
        </w:rPr>
      </w:pPr>
      <w:r>
        <w:rPr>
          <w:rFonts w:ascii="Arial" w:cs="Arial" w:eastAsia="Arial" w:hAnsi="Arial"/>
          <w:sz w:val="15"/>
          <w:szCs w:val="15"/>
          <w:color w:val="auto"/>
        </w:rPr>
        <w:t>DSP revenue increased 22 percent sequentially and 37 percent from the year-ago quarter due to higher shipments to the wireless and digital consumer electronics markets. During the first three quarters of 2003, about 35 percent of total Semiconductor revenue came from DSP.</w:t>
      </w:r>
    </w:p>
    <w:p>
      <w:pPr>
        <w:spacing w:after="0" w:line="4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TI’s remaining Semiconductor revenue was about even sequentially. Compared with the year-ago quarter, revenue increased 8 percent as gains in DLP, royalties and standard logic more than offset declines in microcontrollers and RISC microprocessors.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TI’s Semiconductor revenue in key markets was as follows:</w:t>
      </w:r>
    </w:p>
    <w:p>
      <w:pPr>
        <w:spacing w:after="0" w:line="77" w:lineRule="exact"/>
        <w:rPr>
          <w:sz w:val="20"/>
          <w:szCs w:val="20"/>
          <w:color w:val="auto"/>
        </w:rPr>
      </w:pPr>
    </w:p>
    <w:p>
      <w:pPr>
        <w:ind w:left="780" w:hanging="449"/>
        <w:spacing w:after="0" w:line="294"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Wireless revenue increased 22 percent sequentially and 30 percent from the year-ago quarter due to higher shipments of 2.5G modems and OMAP applications processors used in 2.5G and 3G smart phones and PDAs. 2.5G modem growth, which has been a significant driver of TI’s wireless growth over the past year and a half, is now being supplemented by other TI content growth in the handset. OMAP processors represented almost half of TI’s wireless revenue growth from the year-ago quarter. During the first three quarters of 2003, about 30 percent of total Semiconductor revenue came from wireless.</w:t>
      </w:r>
    </w:p>
    <w:p>
      <w:pPr>
        <w:spacing w:after="0" w:line="21" w:lineRule="exact"/>
        <w:rPr>
          <w:rFonts w:ascii="Arial" w:cs="Arial" w:eastAsia="Arial" w:hAnsi="Arial"/>
          <w:sz w:val="16"/>
          <w:szCs w:val="16"/>
          <w:color w:val="auto"/>
        </w:rPr>
      </w:pPr>
    </w:p>
    <w:p>
      <w:pPr>
        <w:ind w:left="780" w:hanging="449"/>
        <w:spacing w:after="0" w:line="294"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Revenue from TI’s catalog products, composed of high-performance analog and catalog DSP, increased 9 percent sequentially and 17 percent from the year-ago quarter due to higher shipments of high-performance analog products. Although the high-performance analog growth was broad-based, power management products for portable electronics were the most significant drivers sequentially and from the year-ago quarter. Sequential growth was also strong in high-performance analog products for consumer digital audio/video applications. During the first three quarters of 2003, about 15 percent of total Semiconductor revenue came from catalog products.</w:t>
      </w:r>
    </w:p>
    <w:p>
      <w:pPr>
        <w:spacing w:after="0" w:line="21" w:lineRule="exact"/>
        <w:rPr>
          <w:rFonts w:ascii="Arial" w:cs="Arial" w:eastAsia="Arial" w:hAnsi="Arial"/>
          <w:sz w:val="16"/>
          <w:szCs w:val="16"/>
          <w:color w:val="auto"/>
        </w:rPr>
      </w:pPr>
    </w:p>
    <w:p>
      <w:pPr>
        <w:ind w:left="780" w:right="100" w:hanging="449"/>
        <w:spacing w:after="0" w:line="256"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Broadband communications revenue, which includes DSL and cable modems, voice over packet (VoP) and wireless LANs, increased 11 percent sequentially due to higher wireless LAN shipments and 74 percent from the year-ago quarter due to higher wireless LAN and DSL shipments. During the first three quarters of 2003, about 5 percent of total Semiconductor revenue came from broadband communications.</w:t>
      </w:r>
    </w:p>
    <w:p>
      <w:pPr>
        <w:spacing w:after="0" w:line="1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60"/>
          </w:cols>
          <w:pgMar w:left="1160" w:top="280" w:right="279" w:bottom="1440" w:gutter="0" w:footer="0" w:header="0"/>
        </w:sectPr>
      </w:pPr>
    </w:p>
    <w:bookmarkStart w:id="17" w:name="page18"/>
    <w:bookmarkEnd w:id="17"/>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 orders were $2295 million, up 21 percent sequentially and 29 percent from the year-ago quarter due to higher demand for the company’s DSP and Analog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Sensors &amp; Controls</w:t>
      </w:r>
    </w:p>
    <w:p>
      <w:pPr>
        <w:spacing w:after="0" w:line="83"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Sensors &amp; Controls revenue was $243 million in the third quarter, down 7 percent sequentially due to seasonally weaker shipments of control products used in air conditioning systems. Compared with the year-ago quarter, revenue was up 2 percent.</w:t>
      </w:r>
    </w:p>
    <w:p>
      <w:pPr>
        <w:spacing w:after="0" w:line="7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Gross profit was $90 million, or 37.0 percent of revenue, down from $98 million in the prior quarter due to lower revenue. Gross profit increased from $82 million in the year-ago quarter due to manufacturing cost reductions.</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Operating profit was $58 million, or 24.0 percent of revenue, down from $68 million in the prior quarter due to lower gross profit. Operating profit increased from $52 million in the year-ago quarter due to higher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&amp; Productivity Solutions (E&amp;PS)</w:t>
      </w:r>
    </w:p>
    <w:p>
      <w:pPr>
        <w:spacing w:after="0" w:line="8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E&amp;PS revenue was $177 million in the third quarter, up 13 percent sequentially due to higher seasonal back-to-school shipments of graphing calculators. Compared with the year-ago period, revenue decreased 2 percent.</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Gross profit was $103 million, or 58.1 percent of revenue, up 15 percent sequentially due to higher revenue and about even with the year-ago quarter.</w:t>
      </w:r>
    </w:p>
    <w:p>
      <w:pPr>
        <w:spacing w:after="0" w:line="19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Operating profit was $73 million, a record 41.2 percent of revenue, up from $58 million in the previous quarter due to higher gross profit and about even with the year-ago quarter.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Nine Months of 2003</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2003, TI reported the following:</w:t>
      </w:r>
    </w:p>
    <w:p>
      <w:pPr>
        <w:spacing w:after="0" w:line="77" w:lineRule="exact"/>
        <w:rPr>
          <w:sz w:val="20"/>
          <w:szCs w:val="20"/>
          <w:color w:val="auto"/>
        </w:rPr>
      </w:pPr>
    </w:p>
    <w:p>
      <w:pPr>
        <w:ind w:left="780" w:hanging="449"/>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 revenue was $7064 million, up from $6237 million in the first nine months of 2002, due to higher shipments in Semiconductor.</w:t>
      </w:r>
    </w:p>
    <w:p>
      <w:pPr>
        <w:spacing w:after="0" w:line="126" w:lineRule="exact"/>
        <w:rPr>
          <w:rFonts w:ascii="Arial" w:cs="Arial" w:eastAsia="Arial" w:hAnsi="Arial"/>
          <w:sz w:val="16"/>
          <w:szCs w:val="16"/>
          <w:color w:val="auto"/>
        </w:rPr>
      </w:pPr>
    </w:p>
    <w:p>
      <w:pPr>
        <w:ind w:left="780" w:right="160" w:hanging="449"/>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of revenue was $4296 million or 60.8 percent of revenue, compared with $3936 million or 63.1 percent of revenue, in the first nine months of 2002. Cost of revenue as a percent of revenue decreased due to increased utilization of the company’s largely fixed-cost manufacturing assets in its Semiconductor operations.</w:t>
      </w:r>
    </w:p>
    <w:p>
      <w:pPr>
        <w:spacing w:after="0" w:line="45" w:lineRule="exact"/>
        <w:rPr>
          <w:rFonts w:ascii="Arial" w:cs="Arial" w:eastAsia="Arial" w:hAnsi="Arial"/>
          <w:sz w:val="18"/>
          <w:szCs w:val="18"/>
          <w:color w:val="auto"/>
        </w:rPr>
      </w:pPr>
    </w:p>
    <w:p>
      <w:pPr>
        <w:ind w:left="780" w:right="320" w:hanging="449"/>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of $2768 million increased 20 percent compared with the year-ago period due to Semiconductor. Gross profit margin was 39.2 percent of revenue, an increase of 2.3 percentage points from the year-ago period due to increased utilization of the company’s largely fixed-cost manufacturing assets in its Semiconductor operations.</w:t>
      </w:r>
    </w:p>
    <w:p>
      <w:pPr>
        <w:spacing w:after="0" w:line="45" w:lineRule="exact"/>
        <w:rPr>
          <w:rFonts w:ascii="Arial" w:cs="Arial" w:eastAsia="Arial" w:hAnsi="Arial"/>
          <w:sz w:val="18"/>
          <w:szCs w:val="18"/>
          <w:color w:val="auto"/>
        </w:rPr>
      </w:pPr>
    </w:p>
    <w:p>
      <w:pPr>
        <w:ind w:left="780" w:right="60" w:hanging="449"/>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R&amp;D expense of $1300 million was up 8 percent compared with the year-ago period primarily due to increased product development activity within Semiconductor, especially for wireless products. R&amp;D expense as a percent of revenue was 18.4 percent, a decrease of 1.0 percentage point compared with the year-ago period due to higher revenue.</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00"/>
          </w:cols>
          <w:pgMar w:left="1160" w:top="280" w:right="239" w:bottom="1440" w:gutter="0" w:footer="0" w:header="0"/>
        </w:sectPr>
      </w:pPr>
    </w:p>
    <w:bookmarkStart w:id="18" w:name="page19"/>
    <w:bookmarkEnd w:id="18"/>
    <w:p>
      <w:pPr>
        <w:ind w:left="780" w:right="20" w:hanging="449"/>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SG&amp;A expense of $941 million increased 8 percent from the year-ago period primarily due to increased marketing activity, especially in Semiconductor. SG&amp;A expense as a percent of revenue was 13.3 percent, a decrease of 0.7 percentage points compared with the year-ago period due to higher revenue.</w:t>
      </w:r>
    </w:p>
    <w:p>
      <w:pPr>
        <w:spacing w:after="0" w:line="45" w:lineRule="exact"/>
        <w:rPr>
          <w:rFonts w:ascii="Arial" w:cs="Arial" w:eastAsia="Arial" w:hAnsi="Arial"/>
          <w:sz w:val="18"/>
          <w:szCs w:val="18"/>
          <w:color w:val="auto"/>
        </w:rPr>
      </w:pPr>
    </w:p>
    <w:p>
      <w:pPr>
        <w:ind w:left="780" w:hanging="449"/>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profit of $527 million, or 7.5 percent of revenue, increased $306 million compared with the year-ago period due to higher gross profit.</w:t>
      </w:r>
    </w:p>
    <w:p>
      <w:pPr>
        <w:spacing w:after="0" w:line="37" w:lineRule="exact"/>
        <w:rPr>
          <w:rFonts w:ascii="Arial" w:cs="Arial" w:eastAsia="Arial" w:hAnsi="Arial"/>
          <w:sz w:val="18"/>
          <w:szCs w:val="18"/>
          <w:color w:val="auto"/>
        </w:rPr>
      </w:pPr>
    </w:p>
    <w:p>
      <w:pPr>
        <w:ind w:left="780" w:right="300" w:hanging="449"/>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OI&amp;E was $193 million, an increase of $150 million from the first nine months of 2002 primarily due to a $106 million gain from the company’s previously announced sale of 24.7 million shares of Micron common stock.</w:t>
      </w:r>
    </w:p>
    <w:p>
      <w:pPr>
        <w:spacing w:after="0" w:line="37" w:lineRule="exact"/>
        <w:rPr>
          <w:rFonts w:ascii="Arial" w:cs="Arial" w:eastAsia="Arial" w:hAnsi="Arial"/>
          <w:sz w:val="18"/>
          <w:szCs w:val="18"/>
          <w:color w:val="auto"/>
        </w:rPr>
      </w:pPr>
    </w:p>
    <w:p>
      <w:pPr>
        <w:ind w:left="780" w:right="160" w:hanging="449"/>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 tax rate was 24 percent, exclusive of the $162 million tax impact resulting from the recognition of the previously reserved tax benefit associated with the Micron stock transaction.</w:t>
      </w:r>
    </w:p>
    <w:p>
      <w:pPr>
        <w:spacing w:after="0" w:line="37" w:lineRule="exact"/>
        <w:rPr>
          <w:rFonts w:ascii="Arial" w:cs="Arial" w:eastAsia="Arial" w:hAnsi="Arial"/>
          <w:sz w:val="18"/>
          <w:szCs w:val="18"/>
          <w:color w:val="auto"/>
        </w:rPr>
      </w:pPr>
    </w:p>
    <w:p>
      <w:pPr>
        <w:ind w:left="780" w:right="160" w:hanging="449"/>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was $685 million or $0.39 per share, compared with $245 million or $0.14 per share in the year-ago period primarily due to higher operating profit.</w:t>
      </w:r>
    </w:p>
    <w:p>
      <w:pPr>
        <w:spacing w:after="0" w:line="37" w:lineRule="exact"/>
        <w:rPr>
          <w:rFonts w:ascii="Arial" w:cs="Arial" w:eastAsia="Arial" w:hAnsi="Arial"/>
          <w:sz w:val="18"/>
          <w:szCs w:val="18"/>
          <w:color w:val="auto"/>
        </w:rPr>
      </w:pPr>
    </w:p>
    <w:p>
      <w:pPr>
        <w:ind w:left="780" w:hanging="44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Orders of $7268 million increased compared with $6317 million in the year-ago period due to Semiconductor.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Semiconductor revenue in the first nine months was $5913 million, up 16 percent from the year-ago period due to higher shipments across a broad range of products.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profit for the first nine months was $2390 million, or 40.4 percent of revenue, compared with $1893 million and 37.0 percent in the year-ago period. The increase from the year-ago period was due to the combination of higher revenue and increased utilization of the company’s largely fixed-cost manufacturing assets in its Semiconductor operations.</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Semiconductor operating profit for the first nine months was $536 million, or 9.1 percent of revenue, up from $172 million and 3.4 percent in the year-ago period due to higher gross profit.</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Semiconductor orders for the first nine months were $6110 million, up 18 percent from $5188 million in the year-ago period due to increased demand across a broad range of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Sensors &amp; Controls</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Sensors &amp; Controls revenue was $757 million in the first nine months of 2003, up 5 percent from $718 million in the year-ago period primarily due to higher shipments across a range of products.</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Gross profit for the first nine months was $278 million, or 36.8 percent of revenue, compared with $241 million and 33.5 percent in the year-ago period. The increase from the year-ago period was primarily due to manufacturing cost reductions.</w:t>
      </w:r>
    </w:p>
    <w:p>
      <w:pPr>
        <w:spacing w:after="0" w:line="11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80"/>
          </w:cols>
          <w:pgMar w:left="1160" w:top="280" w:right="259" w:bottom="1440" w:gutter="0" w:footer="0" w:header="0"/>
        </w:sectPr>
      </w:pPr>
    </w:p>
    <w:bookmarkStart w:id="19" w:name="page20"/>
    <w:bookmarkEnd w:id="19"/>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profit was $187 million, or 24.7 percent of revenue, up from $156 million and 21.7 percent in the first nine months of 2002. Operating profit increased primarily due to higher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&amp; Productivity Solutions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E&amp;PS revenue was $410 million for the first nine months, about even with the year-ago period.</w:t>
      </w:r>
    </w:p>
    <w:p>
      <w:pPr>
        <w:spacing w:after="0" w:line="15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Gross profit for the first nine months was $230 million, or 56.1 percent of revenue, up from $223 million and 53.5 percent in the year-ago period primarily due to product cost reductions.</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Operating profit for the first nine months was $145 million, or 35.5 percent of revenue, up from $140 million and 33.7 percent in the year-ago period due to higher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TI’s financial position is strong. In the first nine months of 2003, total cash (cash and cash equivalents plus short-term investments and long-term cash investments) increased by $396 million to $4538 million due to operating activities.</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the first nine months of 2003, accounts receivable increased by $305 million due to higher revenue. Days sales outstanding were 54 days at the end of the first nine months of 2003 compared with 51 days at the end of 2002.</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the first nine months of 2003, inventory increased by $205 million due to reduced product lead times and increased demand. Days of inventory increased to 60 days at the end of the first nine months of 2003 compared with 52 days at the end of 2002.</w:t>
      </w:r>
    </w:p>
    <w:p>
      <w:pPr>
        <w:spacing w:after="0" w:line="118" w:lineRule="exact"/>
        <w:rPr>
          <w:sz w:val="20"/>
          <w:szCs w:val="20"/>
          <w:color w:val="auto"/>
        </w:rPr>
      </w:pPr>
    </w:p>
    <w:p>
      <w:pPr>
        <w:ind w:right="1340"/>
        <w:spacing w:after="0" w:line="391" w:lineRule="auto"/>
        <w:rPr>
          <w:sz w:val="20"/>
          <w:szCs w:val="20"/>
          <w:color w:val="auto"/>
        </w:rPr>
      </w:pPr>
      <w:r>
        <w:rPr>
          <w:rFonts w:ascii="Arial" w:cs="Arial" w:eastAsia="Arial" w:hAnsi="Arial"/>
          <w:sz w:val="18"/>
          <w:szCs w:val="18"/>
          <w:color w:val="auto"/>
        </w:rPr>
        <w:t xml:space="preserve">Capital expenditures were $527 million in the first nine months of 2003, down from $566 million in the first nine months of 2002. Depreciation was $1058 million in the first nine months of 2003, down from $1177 million in the first nine months of 2002. </w:t>
      </w:r>
      <w:r>
        <w:rPr>
          <w:rFonts w:ascii="Arial" w:cs="Arial" w:eastAsia="Arial" w:hAnsi="Arial"/>
          <w:sz w:val="18"/>
          <w:szCs w:val="18"/>
          <w:b w:val="1"/>
          <w:bCs w:val="1"/>
          <w:color w:val="auto"/>
        </w:rPr>
        <w:t>Liquidity and Capital Resources</w:t>
      </w:r>
    </w:p>
    <w:p>
      <w:pPr>
        <w:spacing w:after="0" w:line="1"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At the end of the first nine months of 2003, the debt-to-total-capital ratio was 0.07, down from 0.10 at the end of 2002. This ratio reflects the company’s view that it is prudent to maintain a low debt level considering the volatile nature of the semiconductor industry.</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first nine months of 2003, cash flow from operations decreased to $1084 million compared with $1248 million in the first nine months of 2002 primarily due to changes in working capital.</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cash used in investing activities was $727 million for the first nine months of 2003, versus the use of $398 million for the same period a year ago, as continued positive cash flow led to higher purchases of investments net of sales and maturities. In order to take advantage of higher yields, as of September 30, 2003, the company had $1235 million in long-term cash investments (i.e., fixed-income, investment-grade securities with maturities or average lives greater than thirteen months).</w:t>
      </w:r>
    </w:p>
    <w:p>
      <w:pPr>
        <w:spacing w:after="0" w:line="130" w:lineRule="exact"/>
        <w:rPr>
          <w:sz w:val="20"/>
          <w:szCs w:val="20"/>
          <w:color w:val="auto"/>
        </w:rPr>
      </w:pPr>
    </w:p>
    <w:p>
      <w:pPr>
        <w:jc w:val="center"/>
        <w:ind w:right="720"/>
        <w:spacing w:after="0" w:line="440" w:lineRule="auto"/>
        <w:rPr>
          <w:sz w:val="20"/>
          <w:szCs w:val="20"/>
          <w:color w:val="auto"/>
        </w:rPr>
      </w:pPr>
      <w:r>
        <w:rPr>
          <w:rFonts w:ascii="Arial" w:cs="Arial" w:eastAsia="Arial" w:hAnsi="Arial"/>
          <w:sz w:val="18"/>
          <w:szCs w:val="18"/>
          <w:color w:val="auto"/>
        </w:rPr>
        <w:t>In July 2003, TI acquired 100 percent of the equity of Radia for a purchase price of approximately $133 million. The acquisition was made 20</w:t>
      </w:r>
    </w:p>
    <w:p>
      <w:pPr>
        <w:sectPr>
          <w:pgSz w:w="11900" w:h="16838" w:orient="portrait"/>
          <w:cols w:equalWidth="0" w:num="1">
            <w:col w:w="10480"/>
          </w:cols>
          <w:pgMar w:left="1160" w:top="280" w:right="259" w:bottom="1440" w:gutter="0" w:footer="0" w:header="0"/>
        </w:sectPr>
      </w:pPr>
    </w:p>
    <w:bookmarkStart w:id="20" w:name="page21"/>
    <w:bookmarkEnd w:id="20"/>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further TI’s development and product offerings in radio frequency semiconductor, subsystem, signal processing and networking technologies for 802.11 wireless local area networking multi-band/multi-mode radios. Goodwill of approximately $64 million was recognized due to the acquisition. The operations of Radia are included in the consolidated statements of income from the date of acquisition. The company does not expect that any additional purchase accounting adjustments will have a material impact on the company’s financial position or results of operations. In connection with the acquisition, the company recorded a $23 million in-process research and development charge, which was recorded in research and development expense. The following table contains a summary of the intangible assets acquired (in millions of dollars):</w:t>
      </w:r>
    </w:p>
    <w:p>
      <w:pPr>
        <w:spacing w:after="0" w:line="102"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Intangible Assets</w:t>
            </w:r>
          </w:p>
        </w:tc>
        <w:tc>
          <w:tcPr>
            <w:tcW w:w="2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3"/>
              </w:rPr>
              <w:t>Amount</w:t>
            </w:r>
          </w:p>
        </w:tc>
        <w:tc>
          <w:tcPr>
            <w:tcW w:w="1680" w:type="dxa"/>
            <w:vAlign w:val="bottom"/>
            <w:gridSpan w:val="2"/>
          </w:tcPr>
          <w:p>
            <w:pPr>
              <w:jc w:val="center"/>
              <w:ind w:left="492"/>
              <w:spacing w:after="0"/>
              <w:rPr>
                <w:sz w:val="20"/>
                <w:szCs w:val="20"/>
                <w:color w:val="auto"/>
              </w:rPr>
            </w:pPr>
            <w:r>
              <w:rPr>
                <w:rFonts w:ascii="Arial" w:cs="Arial" w:eastAsia="Arial" w:hAnsi="Arial"/>
                <w:sz w:val="14"/>
                <w:szCs w:val="14"/>
                <w:b w:val="1"/>
                <w:bCs w:val="1"/>
                <w:color w:val="auto"/>
                <w:w w:val="89"/>
              </w:rPr>
              <w:t>Amortization Lives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Core technology</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July 2003, the company sold 24.7 million shares of Micron common stock. TI recognized a pretax gain of $106 million from this sale, which was recorded in other income (expense) net. TI carries its public stock holdings at current market value on its balance sheet and records an impairment write-down against earnings if a stock’s value declines below its cost basis and the decline is deemed other than temporary. In the fourth quarter of 2002, TI recorded an impairment write-down of its Micron common stock but fully reserved the tax benefit associated with the write-down due to uncertainty as to its ultimate realization. $162 million of TI’s tax benefit associated with the prior year write-down was recognized upon the July 2003 sale of the Micron common stock through the reversal of the deferred tax asset valuation allowance recorded in the fourth quarter of 2002.</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first nine months of 2003, net cash used in financing activities totaled $362 million versus $320 million in the year-ago period due to payments on long-term debt. In the first nine months of 2003, the company used $169 million of cash to repurchase approximately 9.4 million shares of its common stock, compared with $298 million used to repurchase approximately 11.2 million shares of its common stock in the year-ago period. These repurchases are intended to neutralize the potential dilutive effect of shares expected to be issued upon exercise of stock options under the company’s long-term incentive and employee stock purchase plans. Also, the company paid a total of $111 million of common stock dividends in each period.</w:t>
      </w:r>
    </w:p>
    <w:p>
      <w:pPr>
        <w:spacing w:after="0" w:line="1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company’s primary source of liquidity is $943 million of cash and cash equivalents, $2360 million of short-term investments, and $1235 million of long-term cash investments, totaling $4538 million. Another source of liquidity is authorized borrowings of $500 million for commercial paper, backed by a 364-day revolving credit facility, which is currently not utilized. The company maintains the ability to issue up to $1.0 billion in debt under a U.S. Securities and Exchange Commission shelf registration. As of September 30, 2003, the company also had equity investments of $684 million, including 32.3 million shares ($433 million) of liquid, publicly traded, Micron common stock. The company</w:t>
      </w:r>
    </w:p>
    <w:p>
      <w:pPr>
        <w:spacing w:after="0" w:line="10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480"/>
          </w:cols>
          <w:pgMar w:left="1160" w:top="280" w:right="259" w:bottom="1440" w:gutter="0" w:footer="0" w:header="0"/>
        </w:sectPr>
      </w:pPr>
    </w:p>
    <w:bookmarkStart w:id="21" w:name="page22"/>
    <w:bookmarkEnd w:id="21"/>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believes it has the necessary financial resources to fund its working capital needs, capital expenditures, dividend payments and other business requirements for at least the next 12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Actions and Other Items</w:t>
      </w:r>
    </w:p>
    <w:p>
      <w:pPr>
        <w:spacing w:after="0" w:line="8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800 jobs through voluntary retirement and involuntary termination programs over the next two years, primarily at the Attleboro headquarters of the Sensors &amp; Controls business. The total cost of this restructuring action is expected to be about $60 million. The projected savings from this restructuring action are estimated to be an annualized $40 million, predominantly comprised of payroll and benefits savings.</w:t>
      </w:r>
    </w:p>
    <w:p>
      <w:pPr>
        <w:spacing w:after="0" w:line="1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the third quarter of 2003, the company recorded net pretax charges of $8 million, primarily for severance costs. Of the $8 million, $7 million is included in cost of revenue and $1 million is included in selling, general and administrative expense. The total number of employees affected was 90, primarily at the Attleboro and Japan locations. As of September 30, 2003, a total of 273 employees have been terminated and total net pretax charges of $34 million have been recorded associated with this action. Payments are expected to be completed in 2005.</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second quarter of 2003, the company recorded net pretax charges of $26 million, primarily for severance costs. Of the $26 million, $22 million is included in cost of revenue and $4 million is included in selling, general and administrative expense. The total number of employees affected was 183, primarily at the Attleboro location.</w:t>
      </w:r>
    </w:p>
    <w:p>
      <w:pPr>
        <w:spacing w:after="0" w:line="12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Semiconductor Restructuring Action: In the second quarter of 2003, the company announced a restructuring action that is expected to affect about 950 jobs in Semiconductor manufacturing operations in the U.S. and international locations, as those operations continue to become more productive with fewer people. The total cost of this restructuring action is expected to be about $90 million. The projected savings from this restructuring action were estimated to be an annualized $70 million, predominantly comprised of payroll and benefits savings.</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third quarter of 2003, the company recorded net pretax charges of $48 million, primarily for severance costs. Of the $48 million, $41 million is included in cost of revenue, $6 million is included in selling, general and administrative expense, and $1 million is in research and development expense. The total number of employees affected was 553, primarily at U.S. and Japan locations. As of September 30, 2003, a total of 662 employees have been terminated and total net pretax charges of $71 million have been recorded associated with this action. Payments are expected to be completed in 2004.</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second quarter of 2003, the company recorded net pretax charges of $23 million, primarily for severance costs. Of the $23 million, $21 million is included in cost of revenue and $2 million is included in selling, general and administrative expense. The total number of employees affected was 109, primarily at U.S. and Germany locations.</w:t>
      </w:r>
    </w:p>
    <w:p>
      <w:pPr>
        <w:spacing w:after="0" w:line="12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Semiconductor Severance Action: In late 2002, the company announced a plan to involuntarily terminate about 500 employees, primarily in manufacturing operations, to align resources with market demand. In the third and fourth quarters of 2002, the company terminated 54 and 434 employees, respectively. Of</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00"/>
          </w:cols>
          <w:pgMar w:left="1160" w:top="280" w:right="239" w:bottom="1440" w:gutter="0" w:footer="0" w:header="0"/>
        </w:sectPr>
      </w:pPr>
    </w:p>
    <w:bookmarkStart w:id="22" w:name="page23"/>
    <w:bookmarkEnd w:id="2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total 488 employees terminated, 450 were in U.S. locations while the remaining employees were in some of the company’s international locations. The company recorded net pretax charges of $17 million in severance and benefit costs, of which $11 million was included in cost of revenue, $4 million was in selling, general and administrative expense, and $2 million was in research and development expense. The projected savings from the cost-reduction plan were estimated to be an annualized $30 million, predominantly comprised of payroll and benefits savings. As of September 30, 2003, all employees have been terminated and a balance of $1 million of severance and benefit costs remains to be paid. Payments are expected to be completed in 2003.</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first quarter of 2001, the company began an aggressive worldwide cost-reduction plan to limit the impact of reduced revenue on profitability. The elements of the cost-reduction plan were a voluntary retirement program, involuntary terminations and the consolidation of certain manufacturing operations, including the closing of three Semiconductor facilities in Santa Cruz, California; Merrimack, New Hampshire; and Tustin, California. The projected savings from the cost-reduction plan were estimated to be an annualized $600 million, predominantly comprised of payroll and benefits savings. Since the 5724 affected employees have terminated and the three facilities are closed, the savings from this cost-reduction plan are being realized. Employees affected by this plan, primarily in manufacturing operations, totaled 5724.</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Voluntary/Involuntary Programs in U.S.: In the first quarter of 2001, the company announced a voluntary retirement program and a plan to involuntarily terminate employees in some of its U.S. locations. Of the total 5724 affected employees, 329 were in the company’s location in Massachusetts and 2038 were in other U.S. locations, primarily in Texas. The company recorded net pretax charges of $153 million in severance and benefit costs, of which $107 million was included in cost of revenue, $48 million was in selling, general, and administrative expense, $1 million was in research and development expense, and $3 million was in other income. The savings from this element of the cost-reduction plan were estimated to be an annualized $290 million. At year-end 2002, this program was complete.</w:t>
      </w:r>
    </w:p>
    <w:p>
      <w:pPr>
        <w:spacing w:after="0" w:line="10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Semiconductor Site Closings in U.S.: In the first and second quarters of 2001, the company announced a plan to consolidate certain manufacturing operations resulting in the closing of three Semiconductor facilities. Of the total 5724 affected employees, 1159 were in the company’s locations in California and New Hampshire. The company recorded net pretax charges of $88 million, of which $31 million was for severance and benefit costs, $46 million was for the acceleration of depreciation on the facilities’ assets over the remaining service life of the sites, and $11 million was for various other payments. Of the $31 million severance and benefit costs, $27 million was included in cost of revenue, and $4 million was included in selling, general, and administrative expense. The remaining $57 million of charges were included in cost of revenue. The savings from this element of the cost-reduction plan were estimated to be an annualized $170 million.</w:t>
      </w:r>
    </w:p>
    <w:p>
      <w:pPr>
        <w:spacing w:after="0" w:line="10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2002, the company continued to record acceleration of depreciation of $15 million on the Semiconductor facility in New Hampshire. This acceleration of depreciation was included in cost of revenue. In addition, $5 million of additional severance and benefit costs was recorded related to these facility closings. The $5 million was included in cost of revenue. At June 30, 2003, this program was complete.</w:t>
      </w:r>
    </w:p>
    <w:p>
      <w:pPr>
        <w:spacing w:after="0" w:line="9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480"/>
          </w:cols>
          <w:pgMar w:left="1160" w:top="280" w:right="259" w:bottom="1440" w:gutter="0" w:footer="0" w:header="0"/>
        </w:sectPr>
      </w:pPr>
    </w:p>
    <w:bookmarkStart w:id="23" w:name="page24"/>
    <w:bookmarkEnd w:id="23"/>
    <w:p>
      <w:pPr>
        <w:ind w:left="920"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 International Restructuring Actions: In the first quarter of 2001, the company announced a voluntary retirement program and a plan to involuntarily terminate employees in some of its international locations. Of the total 5724 affected employees, 471 were in the company’s locations in Europe, 1075 were in the company’s locations in Asia and 652 were in the company’s locations in Japan. The company recorded net pretax charges of $116 million of severance and benefit costs, of which $56 million was included in cost of revenue, $48 million was included in selling, general, and administrative expense, and $12 million was included in research and development expense. The savings from this element of the cost-reduction plan were estimated to be an annualized $140 million. As of September 30, 2003, all employees have been terminated and a balance of $25 million of severance and benefit costs remains to be paid. Payments are expected to continue through 2007, of which $9 million is to be paid in 2003, $5 million in 2004, $5 million in 2005, and $3 million in both 2006 and 2007.</w:t>
      </w:r>
    </w:p>
    <w:p>
      <w:pPr>
        <w:spacing w:after="0" w:line="10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Prior Actions:</w:t>
      </w:r>
    </w:p>
    <w:p>
      <w:pPr>
        <w:spacing w:after="0" w:line="77" w:lineRule="exact"/>
        <w:rPr>
          <w:sz w:val="20"/>
          <w:szCs w:val="20"/>
          <w:color w:val="auto"/>
        </w:rPr>
      </w:pPr>
    </w:p>
    <w:p>
      <w:pPr>
        <w:ind w:left="920" w:right="20"/>
        <w:spacing w:after="0" w:line="298" w:lineRule="auto"/>
        <w:rPr>
          <w:sz w:val="20"/>
          <w:szCs w:val="20"/>
          <w:color w:val="auto"/>
        </w:rPr>
      </w:pPr>
      <w:r>
        <w:rPr>
          <w:rFonts w:ascii="Arial" w:cs="Arial" w:eastAsia="Arial" w:hAnsi="Arial"/>
          <w:sz w:val="16"/>
          <w:szCs w:val="16"/>
          <w:color w:val="auto"/>
        </w:rPr>
        <w:t>In the second quarter of 2002, there was a gain in other income from the reversal of a warranty reserve taken against the gain on the sale of the software business unit in 1997 because the warranty period had expired. In years prior to 2001, actions were taken to terminate employees primarily in the company’s European locations. As of September 30, 2003, a balance of $3 million in severance and benefit costs remains to be paid. Payments are expected to continue through 2004, of which $1 million is to be paid in 2003 and $2 million in 2004.</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is a reconciliation of individual restructuring accruals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of Charge</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2001</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2002</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4"/>
            <w:vMerge w:val="restart"/>
          </w:tcPr>
          <w:p>
            <w:pPr>
              <w:jc w:val="center"/>
              <w:ind w:right="560"/>
              <w:spacing w:after="0"/>
              <w:rPr>
                <w:sz w:val="20"/>
                <w:szCs w:val="20"/>
                <w:color w:val="auto"/>
              </w:rPr>
            </w:pPr>
            <w:r>
              <w:rPr>
                <w:rFonts w:ascii="Arial" w:cs="Arial" w:eastAsia="Arial" w:hAnsi="Arial"/>
                <w:sz w:val="14"/>
                <w:szCs w:val="14"/>
                <w:b w:val="1"/>
                <w:bCs w:val="1"/>
                <w:color w:val="auto"/>
                <w:w w:val="83"/>
              </w:rPr>
              <w:t>Balance,</w:t>
            </w: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3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prior</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SC</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actions –</w:t>
            </w: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SC site</w:t>
            </w:r>
          </w:p>
        </w:tc>
        <w:tc>
          <w:tcPr>
            <w:tcW w:w="3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international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2"/>
              </w:rPr>
              <w:t>SC</w:t>
            </w:r>
          </w:p>
        </w:tc>
        <w:tc>
          <w:tcPr>
            <w:tcW w:w="10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S&amp;C</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primarily</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closings</w:t>
            </w:r>
          </w:p>
        </w:tc>
        <w:tc>
          <w:tcPr>
            <w:tcW w:w="3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360" w:type="dxa"/>
            <w:vAlign w:val="bottom"/>
          </w:tcPr>
          <w:p>
            <w:pPr>
              <w:spacing w:after="0"/>
              <w:rPr>
                <w:sz w:val="12"/>
                <w:szCs w:val="12"/>
                <w:color w:val="auto"/>
              </w:rPr>
            </w:pPr>
          </w:p>
        </w:tc>
        <w:tc>
          <w:tcPr>
            <w:tcW w:w="11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severance</w:t>
            </w: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severance</w:t>
            </w:r>
          </w:p>
        </w:tc>
        <w:tc>
          <w:tcPr>
            <w:tcW w:w="46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severance</w:t>
            </w:r>
          </w:p>
        </w:tc>
        <w:tc>
          <w:tcPr>
            <w:tcW w:w="0" w:type="dxa"/>
            <w:vAlign w:val="bottom"/>
          </w:tcPr>
          <w:p>
            <w:pPr>
              <w:spacing w:after="0"/>
              <w:rPr>
                <w:sz w:val="1"/>
                <w:szCs w:val="1"/>
                <w:color w:val="auto"/>
              </w:rPr>
            </w:pPr>
          </w:p>
        </w:tc>
      </w:tr>
      <w:tr>
        <w:trPr>
          <w:trHeight w:val="174"/>
        </w:trPr>
        <w:tc>
          <w:tcPr>
            <w:tcW w:w="412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severance</w:t>
            </w: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U.S.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actions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action</w:t>
            </w:r>
          </w:p>
        </w:tc>
        <w:tc>
          <w:tcPr>
            <w:tcW w:w="10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action</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action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$ 45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20" w:type="dxa"/>
            <w:vAlign w:val="bottom"/>
            <w:gridSpan w:val="5"/>
          </w:tcPr>
          <w:p>
            <w:pPr>
              <w:spacing w:after="0"/>
              <w:rPr>
                <w:sz w:val="20"/>
                <w:szCs w:val="20"/>
                <w:color w:val="auto"/>
              </w:rPr>
            </w:pPr>
            <w:r>
              <w:rPr>
                <w:rFonts w:ascii="Arial" w:cs="Arial" w:eastAsia="Arial" w:hAnsi="Arial"/>
                <w:sz w:val="18"/>
                <w:szCs w:val="18"/>
                <w:color w:val="auto"/>
              </w:rPr>
              <w:t>DISPOSITIONS: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MARCH 31, 2003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20" w:type="dxa"/>
            <w:vAlign w:val="bottom"/>
            <w:gridSpan w:val="5"/>
          </w:tcPr>
          <w:p>
            <w:pPr>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Non-cash acceleration of depreciation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Non-cash write-down of fixed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20" w:type="dxa"/>
            <w:vAlign w:val="bottom"/>
            <w:gridSpan w:val="5"/>
          </w:tcPr>
          <w:p>
            <w:pPr>
              <w:spacing w:after="0"/>
              <w:rPr>
                <w:sz w:val="20"/>
                <w:szCs w:val="20"/>
                <w:color w:val="auto"/>
              </w:rPr>
            </w:pPr>
            <w:r>
              <w:rPr>
                <w:rFonts w:ascii="Arial" w:cs="Arial" w:eastAsia="Arial" w:hAnsi="Arial"/>
                <w:sz w:val="18"/>
                <w:szCs w:val="18"/>
                <w:color w:val="auto"/>
              </w:rPr>
              <w:t>DISPOSITIONS: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Non-cash transfer to accumulated depreciation</w:t>
            </w:r>
          </w:p>
        </w:tc>
        <w:tc>
          <w:tcPr>
            <w:tcW w:w="900" w:type="dxa"/>
            <w:vAlign w:val="bottom"/>
            <w:gridSpan w:val="3"/>
          </w:tcPr>
          <w:p>
            <w:pPr>
              <w:jc w:val="right"/>
              <w:ind w:right="4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Non-cash write-down of fixed assets</w:t>
            </w:r>
          </w:p>
        </w:tc>
        <w:tc>
          <w:tcPr>
            <w:tcW w:w="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JUNE 30, 2003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20" w:type="dxa"/>
            <w:vAlign w:val="bottom"/>
            <w:gridSpan w:val="5"/>
          </w:tcPr>
          <w:p>
            <w:pPr>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Non-cash acceleration of depreciation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Non-cash write-down of fixed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20" w:type="dxa"/>
            <w:vAlign w:val="bottom"/>
            <w:gridSpan w:val="5"/>
          </w:tcPr>
          <w:p>
            <w:pPr>
              <w:spacing w:after="0"/>
              <w:rPr>
                <w:sz w:val="20"/>
                <w:szCs w:val="20"/>
                <w:color w:val="auto"/>
              </w:rPr>
            </w:pPr>
            <w:r>
              <w:rPr>
                <w:rFonts w:ascii="Arial" w:cs="Arial" w:eastAsia="Arial" w:hAnsi="Arial"/>
                <w:sz w:val="18"/>
                <w:szCs w:val="18"/>
                <w:color w:val="auto"/>
              </w:rPr>
              <w:t>DISPOSITIONS: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Non-cash transfer to accumulated depreciation</w:t>
            </w:r>
          </w:p>
        </w:tc>
        <w:tc>
          <w:tcPr>
            <w:tcW w:w="900" w:type="dxa"/>
            <w:vAlign w:val="bottom"/>
            <w:gridSpan w:val="3"/>
          </w:tcPr>
          <w:p>
            <w:pPr>
              <w:jc w:val="right"/>
              <w:ind w:right="4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Non-cash write-down of fixed assets</w:t>
            </w:r>
          </w:p>
        </w:tc>
        <w:tc>
          <w:tcPr>
            <w:tcW w:w="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SEPT. 30, 2003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$ 97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2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316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3900" w:type="dxa"/>
            <w:vAlign w:val="bottom"/>
            <w:gridSpan w:val="3"/>
          </w:tcPr>
          <w:p>
            <w:pPr>
              <w:spacing w:after="0"/>
              <w:rPr>
                <w:sz w:val="20"/>
                <w:szCs w:val="20"/>
                <w:color w:val="auto"/>
              </w:rPr>
            </w:pPr>
            <w:r>
              <w:rPr>
                <w:rFonts w:ascii="Arial" w:cs="Arial" w:eastAsia="Arial" w:hAnsi="Arial"/>
                <w:sz w:val="18"/>
                <w:szCs w:val="18"/>
                <w:color w:val="auto"/>
              </w:rPr>
              <w:t>Abbreviations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20" w:type="dxa"/>
            <w:vAlign w:val="bottom"/>
            <w:gridSpan w:val="2"/>
          </w:tcPr>
          <w:p>
            <w:pPr>
              <w:spacing w:after="0"/>
              <w:rPr>
                <w:sz w:val="20"/>
                <w:szCs w:val="20"/>
                <w:color w:val="auto"/>
              </w:rPr>
            </w:pPr>
            <w:r>
              <w:rPr>
                <w:rFonts w:ascii="Arial" w:cs="Arial" w:eastAsia="Arial" w:hAnsi="Arial"/>
                <w:sz w:val="18"/>
                <w:szCs w:val="18"/>
                <w:color w:val="auto"/>
                <w:w w:val="79"/>
              </w:rPr>
              <w:t>SC</w:t>
            </w:r>
          </w:p>
        </w:tc>
        <w:tc>
          <w:tcPr>
            <w:tcW w:w="3900" w:type="dxa"/>
            <w:vAlign w:val="bottom"/>
            <w:gridSpan w:val="3"/>
          </w:tcPr>
          <w:p>
            <w:pPr>
              <w:ind w:left="240"/>
              <w:spacing w:after="0"/>
              <w:rPr>
                <w:sz w:val="20"/>
                <w:szCs w:val="20"/>
                <w:color w:val="auto"/>
              </w:rPr>
            </w:pPr>
            <w:r>
              <w:rPr>
                <w:rFonts w:ascii="Arial" w:cs="Arial" w:eastAsia="Arial" w:hAnsi="Arial"/>
                <w:sz w:val="18"/>
                <w:szCs w:val="18"/>
                <w:color w:val="auto"/>
              </w:rPr>
              <w:t>= Semiconductor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20" w:type="dxa"/>
            <w:vAlign w:val="bottom"/>
            <w:gridSpan w:val="5"/>
          </w:tcPr>
          <w:p>
            <w:pPr>
              <w:spacing w:after="0"/>
              <w:rPr>
                <w:sz w:val="20"/>
                <w:szCs w:val="20"/>
                <w:color w:val="auto"/>
              </w:rPr>
            </w:pPr>
            <w:r>
              <w:rPr>
                <w:rFonts w:ascii="Arial" w:cs="Arial" w:eastAsia="Arial" w:hAnsi="Arial"/>
                <w:sz w:val="18"/>
                <w:szCs w:val="18"/>
                <w:color w:val="auto"/>
              </w:rPr>
              <w:t>S&amp;C = Sensors and Controls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-977900</wp:posOffset>
            </wp:positionV>
            <wp:extent cx="25273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-977900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-977900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-977900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-977900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-977900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-977900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-977900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-977900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-977900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-977900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-977900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-977900</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-977900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-977900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-977900</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-977900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-977900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-977900</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items included in the statement of operations (in millions of dollars):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For Three Months</w:t>
            </w:r>
          </w:p>
        </w:tc>
        <w:tc>
          <w:tcPr>
            <w:tcW w:w="30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For Nine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Sept. 30,</w:t>
            </w:r>
          </w:p>
        </w:tc>
        <w:tc>
          <w:tcPr>
            <w:tcW w:w="1400" w:type="dxa"/>
            <w:vAlign w:val="bottom"/>
            <w:gridSpan w:val="3"/>
          </w:tcPr>
          <w:p>
            <w:pPr>
              <w:ind w:left="560"/>
              <w:spacing w:after="0"/>
              <w:rPr>
                <w:sz w:val="20"/>
                <w:szCs w:val="20"/>
                <w:color w:val="auto"/>
              </w:rPr>
            </w:pPr>
            <w:r>
              <w:rPr>
                <w:rFonts w:ascii="Arial" w:cs="Arial" w:eastAsia="Arial" w:hAnsi="Arial"/>
                <w:sz w:val="14"/>
                <w:szCs w:val="14"/>
                <w:b w:val="1"/>
                <w:bCs w:val="1"/>
                <w:color w:val="auto"/>
              </w:rPr>
              <w:t>Sept. 30,</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Sept. 30,</w:t>
            </w: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66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10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10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costs</w:t>
            </w: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(26)</w:t>
            </w:r>
          </w:p>
        </w:tc>
        <w:tc>
          <w:tcPr>
            <w:tcW w:w="14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(30)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(79)</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Purchased in-process research and development</w:t>
            </w:r>
          </w:p>
        </w:tc>
        <w:tc>
          <w:tcPr>
            <w:tcW w:w="174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convertible notes</w:t>
            </w:r>
          </w:p>
        </w:tc>
        <w:tc>
          <w:tcPr>
            <w:tcW w:w="1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Gain on sale of Micron Common Stock</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left="60"/>
        <w:spacing w:after="0" w:line="268" w:lineRule="auto"/>
        <w:rPr>
          <w:sz w:val="20"/>
          <w:szCs w:val="20"/>
          <w:color w:val="auto"/>
        </w:rPr>
      </w:pPr>
      <w:r>
        <w:rPr>
          <w:rFonts w:ascii="Arial" w:cs="Arial" w:eastAsia="Arial" w:hAnsi="Arial"/>
          <w:sz w:val="18"/>
          <w:szCs w:val="18"/>
          <w:color w:val="auto"/>
        </w:rPr>
        <w:t>Information concerning market risk is contained on pages 44 and 45 of Exhibit 13 to Registrant’s Form 10-K for the year ended December 31, 2002, and is incorporated by reference to such exhibit.</w:t>
      </w:r>
    </w:p>
    <w:p>
      <w:pPr>
        <w:spacing w:after="0" w:line="1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left="60"/>
        <w:spacing w:after="0" w:line="291" w:lineRule="auto"/>
        <w:rPr>
          <w:sz w:val="20"/>
          <w:szCs w:val="20"/>
          <w:color w:val="auto"/>
        </w:rPr>
      </w:pPr>
      <w:r>
        <w:rPr>
          <w:rFonts w:ascii="Arial" w:cs="Arial" w:eastAsia="Arial" w:hAnsi="Arial"/>
          <w:sz w:val="16"/>
          <w:szCs w:val="16"/>
          <w:color w:val="auto"/>
        </w:rPr>
        <w:t>An evaluation as of the end of the period covered by this report was carried out under the supervision and with the participation of the Registrant’s management, including its Chief Executive Officer and Chief Financial Officer, of the effectiveness of the design and operation of the Registrant’s disclosure controls and procedures (as defined in Rule 13a-15(e) and 15d-15(e) under the Securities Exchange Act of 1934). Based upon that evaluation, the Chief Executive Officer and Chief Financial Officer concluded that those disclosure controls and procedures were adequate to ensure that information required to be disclosed by the Registrant in the reports that it files or submits under the Exchange Act is recorded, processed, summarized and reported, within the time periods specified in the Commission’s rules and forms.</w:t>
      </w:r>
    </w:p>
    <w:p>
      <w:pPr>
        <w:spacing w:after="0" w:line="10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Exhibits</w:t>
      </w:r>
    </w:p>
    <w:p>
      <w:pPr>
        <w:spacing w:after="0" w:line="14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4"/>
              </w:rPr>
              <w:t>Designation of</w:t>
            </w:r>
          </w:p>
        </w:tc>
        <w:tc>
          <w:tcPr>
            <w:tcW w:w="3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49"/>
        </w:trPr>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Exhibits in</w:t>
            </w:r>
          </w:p>
        </w:tc>
        <w:tc>
          <w:tcPr>
            <w:tcW w:w="3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40" w:type="dxa"/>
            <w:vAlign w:val="bottom"/>
          </w:tcPr>
          <w:p>
            <w:pPr>
              <w:spacing w:after="0"/>
              <w:rPr>
                <w:sz w:val="12"/>
                <w:szCs w:val="12"/>
                <w:color w:val="auto"/>
              </w:rPr>
            </w:pPr>
          </w:p>
        </w:tc>
      </w:tr>
      <w:tr>
        <w:trPr>
          <w:trHeight w:val="174"/>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This Report</w:t>
            </w:r>
          </w:p>
        </w:tc>
        <w:tc>
          <w:tcPr>
            <w:tcW w:w="3220" w:type="dxa"/>
            <w:vAlign w:val="bottom"/>
          </w:tcPr>
          <w:p>
            <w:pPr>
              <w:spacing w:after="0"/>
              <w:rPr>
                <w:sz w:val="15"/>
                <w:szCs w:val="15"/>
                <w:color w:val="auto"/>
              </w:rPr>
            </w:pPr>
          </w:p>
        </w:tc>
        <w:tc>
          <w:tcPr>
            <w:tcW w:w="4320" w:type="dxa"/>
            <w:vAlign w:val="bottom"/>
            <w:gridSpan w:val="2"/>
          </w:tcPr>
          <w:p>
            <w:pPr>
              <w:ind w:left="20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16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r>
      <w:tr>
        <w:trPr>
          <w:trHeight w:val="316"/>
        </w:trPr>
        <w:tc>
          <w:tcPr>
            <w:tcW w:w="1160" w:type="dxa"/>
            <w:vAlign w:val="bottom"/>
          </w:tcPr>
          <w:p>
            <w:pPr>
              <w:ind w:left="480"/>
              <w:spacing w:after="0"/>
              <w:rPr>
                <w:sz w:val="20"/>
                <w:szCs w:val="20"/>
                <w:color w:val="auto"/>
              </w:rPr>
            </w:pPr>
            <w:r>
              <w:rPr>
                <w:rFonts w:ascii="Arial" w:cs="Arial" w:eastAsia="Arial" w:hAnsi="Arial"/>
                <w:sz w:val="18"/>
                <w:szCs w:val="18"/>
                <w:color w:val="auto"/>
              </w:rPr>
              <w:t>11</w:t>
            </w:r>
          </w:p>
        </w:tc>
        <w:tc>
          <w:tcPr>
            <w:tcW w:w="7540" w:type="dxa"/>
            <w:vAlign w:val="bottom"/>
            <w:gridSpan w:val="3"/>
          </w:tcPr>
          <w:p>
            <w:pPr>
              <w:ind w:left="160"/>
              <w:spacing w:after="0"/>
              <w:rPr>
                <w:sz w:val="20"/>
                <w:szCs w:val="20"/>
                <w:color w:val="auto"/>
              </w:rPr>
            </w:pPr>
            <w:r>
              <w:rPr>
                <w:rFonts w:ascii="Arial" w:cs="Arial" w:eastAsia="Arial" w:hAnsi="Arial"/>
                <w:sz w:val="18"/>
                <w:szCs w:val="18"/>
                <w:color w:val="auto"/>
              </w:rPr>
              <w:t>Computation of Earnings Per Common and Dilutive Potential Common Share.</w:t>
            </w:r>
          </w:p>
        </w:tc>
      </w:tr>
      <w:tr>
        <w:trPr>
          <w:trHeight w:val="284"/>
        </w:trPr>
        <w:tc>
          <w:tcPr>
            <w:tcW w:w="1160" w:type="dxa"/>
            <w:vAlign w:val="bottom"/>
          </w:tcPr>
          <w:p>
            <w:pPr>
              <w:ind w:left="480"/>
              <w:spacing w:after="0"/>
              <w:rPr>
                <w:sz w:val="20"/>
                <w:szCs w:val="20"/>
                <w:color w:val="auto"/>
              </w:rPr>
            </w:pPr>
            <w:r>
              <w:rPr>
                <w:rFonts w:ascii="Arial" w:cs="Arial" w:eastAsia="Arial" w:hAnsi="Arial"/>
                <w:sz w:val="18"/>
                <w:szCs w:val="18"/>
                <w:color w:val="auto"/>
              </w:rPr>
              <w:t>12</w:t>
            </w:r>
          </w:p>
        </w:tc>
        <w:tc>
          <w:tcPr>
            <w:tcW w:w="7540" w:type="dxa"/>
            <w:vAlign w:val="bottom"/>
            <w:gridSpan w:val="3"/>
          </w:tcPr>
          <w:p>
            <w:pPr>
              <w:ind w:left="160"/>
              <w:spacing w:after="0"/>
              <w:rPr>
                <w:sz w:val="20"/>
                <w:szCs w:val="20"/>
                <w:color w:val="auto"/>
              </w:rPr>
            </w:pPr>
            <w:r>
              <w:rPr>
                <w:rFonts w:ascii="Arial" w:cs="Arial" w:eastAsia="Arial" w:hAnsi="Arial"/>
                <w:sz w:val="18"/>
                <w:szCs w:val="18"/>
                <w:color w:val="auto"/>
              </w:rPr>
              <w:t>Computation of Ratio of Earnings to Fixed Charges.</w:t>
            </w:r>
          </w:p>
        </w:tc>
      </w:tr>
      <w:tr>
        <w:trPr>
          <w:trHeight w:val="284"/>
        </w:trPr>
        <w:tc>
          <w:tcPr>
            <w:tcW w:w="1160" w:type="dxa"/>
            <w:vAlign w:val="bottom"/>
          </w:tcPr>
          <w:p>
            <w:pPr>
              <w:ind w:left="480"/>
              <w:spacing w:after="0"/>
              <w:rPr>
                <w:sz w:val="20"/>
                <w:szCs w:val="20"/>
                <w:color w:val="auto"/>
              </w:rPr>
            </w:pPr>
            <w:r>
              <w:rPr>
                <w:rFonts w:ascii="Arial" w:cs="Arial" w:eastAsia="Arial" w:hAnsi="Arial"/>
                <w:sz w:val="18"/>
                <w:szCs w:val="18"/>
                <w:color w:val="auto"/>
              </w:rPr>
              <w:t>31.1</w:t>
            </w:r>
          </w:p>
        </w:tc>
        <w:tc>
          <w:tcPr>
            <w:tcW w:w="7540" w:type="dxa"/>
            <w:vAlign w:val="bottom"/>
            <w:gridSpan w:val="3"/>
          </w:tcPr>
          <w:p>
            <w:pPr>
              <w:ind w:left="160"/>
              <w:spacing w:after="0"/>
              <w:rPr>
                <w:sz w:val="20"/>
                <w:szCs w:val="20"/>
                <w:color w:val="auto"/>
              </w:rPr>
            </w:pPr>
            <w:r>
              <w:rPr>
                <w:rFonts w:ascii="Arial" w:cs="Arial" w:eastAsia="Arial" w:hAnsi="Arial"/>
                <w:sz w:val="18"/>
                <w:szCs w:val="18"/>
                <w:color w:val="auto"/>
                <w:w w:val="89"/>
              </w:rPr>
              <w:t>Certification of Chief Executive Officer of Periodic Report Pursuant to Rule13a-15(e) or Rule 15d-15(e).</w:t>
            </w:r>
          </w:p>
        </w:tc>
      </w:tr>
      <w:tr>
        <w:trPr>
          <w:trHeight w:val="284"/>
        </w:trPr>
        <w:tc>
          <w:tcPr>
            <w:tcW w:w="1160" w:type="dxa"/>
            <w:vAlign w:val="bottom"/>
          </w:tcPr>
          <w:p>
            <w:pPr>
              <w:ind w:left="480"/>
              <w:spacing w:after="0"/>
              <w:rPr>
                <w:sz w:val="20"/>
                <w:szCs w:val="20"/>
                <w:color w:val="auto"/>
              </w:rPr>
            </w:pPr>
            <w:r>
              <w:rPr>
                <w:rFonts w:ascii="Arial" w:cs="Arial" w:eastAsia="Arial" w:hAnsi="Arial"/>
                <w:sz w:val="18"/>
                <w:szCs w:val="18"/>
                <w:color w:val="auto"/>
              </w:rPr>
              <w:t>31.2</w:t>
            </w:r>
          </w:p>
        </w:tc>
        <w:tc>
          <w:tcPr>
            <w:tcW w:w="7540" w:type="dxa"/>
            <w:vAlign w:val="bottom"/>
            <w:gridSpan w:val="3"/>
          </w:tcPr>
          <w:p>
            <w:pPr>
              <w:ind w:left="160"/>
              <w:spacing w:after="0"/>
              <w:rPr>
                <w:sz w:val="20"/>
                <w:szCs w:val="20"/>
                <w:color w:val="auto"/>
              </w:rPr>
            </w:pPr>
            <w:r>
              <w:rPr>
                <w:rFonts w:ascii="Arial" w:cs="Arial" w:eastAsia="Arial" w:hAnsi="Arial"/>
                <w:sz w:val="18"/>
                <w:szCs w:val="18"/>
                <w:color w:val="auto"/>
                <w:w w:val="90"/>
              </w:rPr>
              <w:t>Certification of Chief Financial Officer of Periodic Report Pursuant to Rule13a-15(e) or Rule 15d-15(e).</w:t>
            </w:r>
          </w:p>
        </w:tc>
      </w:tr>
      <w:tr>
        <w:trPr>
          <w:trHeight w:val="284"/>
        </w:trPr>
        <w:tc>
          <w:tcPr>
            <w:tcW w:w="1160" w:type="dxa"/>
            <w:vAlign w:val="bottom"/>
          </w:tcPr>
          <w:p>
            <w:pPr>
              <w:ind w:left="480"/>
              <w:spacing w:after="0"/>
              <w:rPr>
                <w:sz w:val="20"/>
                <w:szCs w:val="20"/>
                <w:color w:val="auto"/>
              </w:rPr>
            </w:pPr>
            <w:r>
              <w:rPr>
                <w:rFonts w:ascii="Arial" w:cs="Arial" w:eastAsia="Arial" w:hAnsi="Arial"/>
                <w:sz w:val="18"/>
                <w:szCs w:val="18"/>
                <w:color w:val="auto"/>
              </w:rPr>
              <w:t>32.1</w:t>
            </w:r>
          </w:p>
        </w:tc>
        <w:tc>
          <w:tcPr>
            <w:tcW w:w="7540" w:type="dxa"/>
            <w:vAlign w:val="bottom"/>
            <w:gridSpan w:val="3"/>
          </w:tcPr>
          <w:p>
            <w:pPr>
              <w:ind w:left="160"/>
              <w:spacing w:after="0"/>
              <w:rPr>
                <w:sz w:val="20"/>
                <w:szCs w:val="20"/>
                <w:color w:val="auto"/>
              </w:rPr>
            </w:pPr>
            <w:r>
              <w:rPr>
                <w:rFonts w:ascii="Arial" w:cs="Arial" w:eastAsia="Arial" w:hAnsi="Arial"/>
                <w:sz w:val="18"/>
                <w:szCs w:val="18"/>
                <w:color w:val="auto"/>
                <w:w w:val="97"/>
              </w:rPr>
              <w:t>Certification by Chief Executive Officer of Periodic Report Pursuant to 18 U.S.C. Section 1350.</w:t>
            </w:r>
          </w:p>
        </w:tc>
      </w:tr>
      <w:tr>
        <w:trPr>
          <w:trHeight w:val="284"/>
        </w:trPr>
        <w:tc>
          <w:tcPr>
            <w:tcW w:w="1160" w:type="dxa"/>
            <w:vAlign w:val="bottom"/>
          </w:tcPr>
          <w:p>
            <w:pPr>
              <w:ind w:left="480"/>
              <w:spacing w:after="0"/>
              <w:rPr>
                <w:sz w:val="20"/>
                <w:szCs w:val="20"/>
                <w:color w:val="auto"/>
              </w:rPr>
            </w:pPr>
            <w:r>
              <w:rPr>
                <w:rFonts w:ascii="Arial" w:cs="Arial" w:eastAsia="Arial" w:hAnsi="Arial"/>
                <w:sz w:val="18"/>
                <w:szCs w:val="18"/>
                <w:color w:val="auto"/>
              </w:rPr>
              <w:t>32.2</w:t>
            </w:r>
          </w:p>
        </w:tc>
        <w:tc>
          <w:tcPr>
            <w:tcW w:w="7540" w:type="dxa"/>
            <w:vAlign w:val="bottom"/>
            <w:gridSpan w:val="3"/>
          </w:tcPr>
          <w:p>
            <w:pPr>
              <w:ind w:left="160"/>
              <w:spacing w:after="0"/>
              <w:rPr>
                <w:sz w:val="20"/>
                <w:szCs w:val="20"/>
                <w:color w:val="auto"/>
              </w:rPr>
            </w:pPr>
            <w:r>
              <w:rPr>
                <w:rFonts w:ascii="Arial" w:cs="Arial" w:eastAsia="Arial" w:hAnsi="Arial"/>
                <w:sz w:val="18"/>
                <w:szCs w:val="18"/>
                <w:color w:val="auto"/>
                <w:w w:val="98"/>
              </w:rPr>
              <w:t>Certification by Chief Financial Officer of Periodic Report Pursuant to 18 U.S.C. Section 1350.</w:t>
            </w:r>
          </w:p>
        </w:tc>
      </w:tr>
      <w:tr>
        <w:trPr>
          <w:trHeight w:val="365"/>
        </w:trPr>
        <w:tc>
          <w:tcPr>
            <w:tcW w:w="1160" w:type="dxa"/>
            <w:vAlign w:val="bottom"/>
          </w:tcPr>
          <w:p>
            <w:pPr>
              <w:spacing w:after="0"/>
              <w:rPr>
                <w:sz w:val="24"/>
                <w:szCs w:val="24"/>
                <w:color w:val="auto"/>
              </w:rPr>
            </w:pPr>
          </w:p>
        </w:tc>
        <w:tc>
          <w:tcPr>
            <w:tcW w:w="4900" w:type="dxa"/>
            <w:vAlign w:val="bottom"/>
            <w:gridSpan w:val="2"/>
          </w:tcPr>
          <w:p>
            <w:pPr>
              <w:ind w:left="3300"/>
              <w:spacing w:after="0"/>
              <w:rPr>
                <w:sz w:val="20"/>
                <w:szCs w:val="20"/>
                <w:color w:val="auto"/>
              </w:rPr>
            </w:pPr>
            <w:r>
              <w:rPr>
                <w:rFonts w:ascii="Arial" w:cs="Arial" w:eastAsia="Arial" w:hAnsi="Arial"/>
                <w:sz w:val="18"/>
                <w:szCs w:val="18"/>
                <w:color w:val="auto"/>
              </w:rPr>
              <w:t>25</w:t>
            </w:r>
          </w:p>
        </w:tc>
        <w:tc>
          <w:tcPr>
            <w:tcW w:w="2640" w:type="dxa"/>
            <w:vAlign w:val="bottom"/>
          </w:tcPr>
          <w:p>
            <w:pPr>
              <w:spacing w:after="0"/>
              <w:rPr>
                <w:sz w:val="24"/>
                <w:szCs w:val="24"/>
                <w:color w:val="auto"/>
              </w:rPr>
            </w:pPr>
          </w:p>
        </w:tc>
      </w:tr>
    </w:tbl>
    <w:p>
      <w:pPr>
        <w:sectPr>
          <w:pgSz w:w="11900" w:h="16838" w:orient="portrait"/>
          <w:cols w:equalWidth="0" w:num="1">
            <w:col w:w="10500"/>
          </w:cols>
          <w:pgMar w:left="1100" w:top="280" w:right="299" w:bottom="1440" w:gutter="0" w:footer="0" w:header="0"/>
        </w:sectPr>
      </w:pPr>
    </w:p>
    <w:bookmarkStart w:id="25" w:name="page26"/>
    <w:bookmarkEnd w:id="25"/>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Reports on Form 8-K.</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quarter ended September 30, 2003, the Registrant filed the following reports on Form 8-K: a Form 8-K dated July 21, 2003, attaching as an exhibit its second quarter earnings release, and a Form 8-K dated September 9, 2003, attaching as an exhibit its press release updating the Registrant’s outlook for the third quarter of 2003.</w:t>
      </w:r>
    </w:p>
    <w:p>
      <w:pPr>
        <w:spacing w:after="0" w:line="127"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“Safe Harbor” Statement under the Private Securities Litigation Reform Act of 1995: This Form 10-Q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780" w:hanging="449"/>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digital signal processors and analog chips in key markets such as telecommunications and computers;</w:t>
      </w:r>
    </w:p>
    <w:p>
      <w:pPr>
        <w:spacing w:after="0" w:line="37" w:lineRule="exact"/>
        <w:rPr>
          <w:rFonts w:ascii="Arial" w:cs="Arial" w:eastAsia="Arial" w:hAnsi="Arial"/>
          <w:sz w:val="18"/>
          <w:szCs w:val="18"/>
          <w:color w:val="auto"/>
        </w:rPr>
      </w:pPr>
    </w:p>
    <w:p>
      <w:pPr>
        <w:ind w:left="780" w:right="40" w:hanging="449"/>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780" w:hanging="449"/>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780" w:hanging="449"/>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780" w:hanging="449"/>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780" w:hanging="449"/>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03" w:lineRule="exact"/>
        <w:rPr>
          <w:rFonts w:ascii="Arial" w:cs="Arial" w:eastAsia="Arial" w:hAnsi="Arial"/>
          <w:sz w:val="18"/>
          <w:szCs w:val="18"/>
          <w:color w:val="auto"/>
        </w:rPr>
      </w:pPr>
    </w:p>
    <w:p>
      <w:pPr>
        <w:ind w:left="780" w:hanging="449"/>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completion and successful integration of announced acquisitions;</w:t>
      </w:r>
    </w:p>
    <w:p>
      <w:pPr>
        <w:spacing w:after="0" w:line="18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480"/>
          </w:cols>
          <w:pgMar w:left="1160" w:top="280" w:right="259" w:bottom="1440" w:gutter="0" w:footer="0" w:header="0"/>
        </w:sectPr>
      </w:pPr>
    </w:p>
    <w:bookmarkStart w:id="26" w:name="page27"/>
    <w:bookmarkEnd w:id="26"/>
    <w:p>
      <w:pPr>
        <w:ind w:left="780" w:right="200" w:hanging="449"/>
        <w:spacing w:after="0" w:line="325"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Economic, social and political conditions in the countries in which TI, its customers or its suppliers operate, including security risks, possible disruptions in the transportation networks and fluctuations in foreign currency exchange rates;</w:t>
      </w:r>
    </w:p>
    <w:p>
      <w:pPr>
        <w:spacing w:after="0" w:line="1" w:lineRule="exact"/>
        <w:rPr>
          <w:rFonts w:ascii="Arial" w:cs="Arial" w:eastAsia="Arial" w:hAnsi="Arial"/>
          <w:sz w:val="16"/>
          <w:szCs w:val="16"/>
          <w:color w:val="auto"/>
        </w:rPr>
      </w:pPr>
    </w:p>
    <w:p>
      <w:pPr>
        <w:ind w:left="780" w:hanging="449"/>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of customer inventory adjustments;</w:t>
      </w:r>
    </w:p>
    <w:p>
      <w:pPr>
        <w:spacing w:after="0" w:line="103" w:lineRule="exact"/>
        <w:rPr>
          <w:rFonts w:ascii="Arial" w:cs="Arial" w:eastAsia="Arial" w:hAnsi="Arial"/>
          <w:sz w:val="18"/>
          <w:szCs w:val="18"/>
          <w:color w:val="auto"/>
        </w:rPr>
      </w:pPr>
    </w:p>
    <w:p>
      <w:pPr>
        <w:ind w:left="780" w:hanging="449"/>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103" w:lineRule="exact"/>
        <w:rPr>
          <w:rFonts w:ascii="Arial" w:cs="Arial" w:eastAsia="Arial" w:hAnsi="Arial"/>
          <w:sz w:val="18"/>
          <w:szCs w:val="18"/>
          <w:color w:val="auto"/>
        </w:rPr>
      </w:pPr>
    </w:p>
    <w:p>
      <w:pPr>
        <w:ind w:left="780" w:hanging="449"/>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03" w:lineRule="exact"/>
        <w:rPr>
          <w:rFonts w:ascii="Arial" w:cs="Arial" w:eastAsia="Arial" w:hAnsi="Arial"/>
          <w:sz w:val="18"/>
          <w:szCs w:val="18"/>
          <w:color w:val="auto"/>
        </w:rPr>
      </w:pPr>
    </w:p>
    <w:p>
      <w:pPr>
        <w:ind w:left="780" w:hanging="449"/>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market value of TI’s investments and in interest rates; and</w:t>
      </w:r>
    </w:p>
    <w:p>
      <w:pPr>
        <w:spacing w:after="0" w:line="103" w:lineRule="exact"/>
        <w:rPr>
          <w:rFonts w:ascii="Arial" w:cs="Arial" w:eastAsia="Arial" w:hAnsi="Arial"/>
          <w:sz w:val="18"/>
          <w:szCs w:val="18"/>
          <w:color w:val="auto"/>
        </w:rPr>
      </w:pPr>
    </w:p>
    <w:p>
      <w:pPr>
        <w:ind w:left="780" w:hanging="449"/>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w:t>
      </w:r>
    </w:p>
    <w:p>
      <w:pPr>
        <w:spacing w:after="0" w:line="18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report are made only as of the date of this report and TI undertakes no obligation to update the forward-looking statements to reflect subsequent events or circumstances.</w:t>
      </w:r>
    </w:p>
    <w:p>
      <w:pPr>
        <w:spacing w:after="0" w:line="9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5940"/>
        <w:spacing w:after="0"/>
        <w:tabs>
          <w:tab w:leader="none" w:pos="6340" w:val="left"/>
          <w:tab w:leader="none" w:pos="66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4034790</wp:posOffset>
            </wp:positionH>
            <wp:positionV relativeFrom="paragraph">
              <wp:posOffset>80010</wp:posOffset>
            </wp:positionV>
            <wp:extent cx="263271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24, 2003</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80"/>
          </w:cols>
          <w:pgMar w:left="1160" w:top="280" w:right="4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u w:val="single" w:color="auto"/>
          <w:color w:val="auto"/>
        </w:rPr>
        <w:t>Exhibit 11</w:t>
      </w:r>
    </w:p>
    <w:p>
      <w:pPr>
        <w:spacing w:after="0" w:line="77" w:lineRule="exact"/>
        <w:rPr>
          <w:sz w:val="20"/>
          <w:szCs w:val="20"/>
          <w:color w:val="auto"/>
        </w:rPr>
      </w:pPr>
    </w:p>
    <w:p>
      <w:pPr>
        <w:jc w:val="center"/>
        <w:ind w:right="1120"/>
        <w:spacing w:after="0" w:line="259" w:lineRule="auto"/>
        <w:rPr>
          <w:sz w:val="20"/>
          <w:szCs w:val="20"/>
          <w:color w:val="auto"/>
        </w:rPr>
      </w:pPr>
      <w:r>
        <w:rPr>
          <w:rFonts w:ascii="Arial" w:cs="Arial" w:eastAsia="Arial" w:hAnsi="Arial"/>
          <w:sz w:val="18"/>
          <w:szCs w:val="18"/>
          <w:color w:val="auto"/>
        </w:rPr>
        <w:t>TEXAS INSTRUMENTS INCORPORATED AND SUBSIDIARIES EARNINGS PER COMMON AND DILUTIVE POTENTIAL COMMON SHARE (In millions of dollars, except per-share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auto"/>
              </w:rPr>
              <w:t>For Three Months Ended</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4"/>
          </w:tcPr>
          <w:p>
            <w:pPr>
              <w:jc w:val="right"/>
              <w:ind w:right="297"/>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Sept. 30,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Sept. 30,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Sept.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77"/>
              <w:spacing w:after="0"/>
              <w:rPr>
                <w:sz w:val="20"/>
                <w:szCs w:val="20"/>
                <w:color w:val="auto"/>
              </w:rPr>
            </w:pPr>
            <w:r>
              <w:rPr>
                <w:rFonts w:ascii="Arial" w:cs="Arial" w:eastAsia="Arial" w:hAnsi="Arial"/>
                <w:sz w:val="14"/>
                <w:szCs w:val="14"/>
                <w:b w:val="1"/>
                <w:bCs w:val="1"/>
                <w:color w:val="auto"/>
                <w:w w:val="90"/>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Diluted Earnings per Common and Dilutive</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7"/>
              </w:rPr>
              <w:t>Potential Common Share:</w:t>
            </w:r>
          </w:p>
        </w:tc>
        <w:tc>
          <w:tcPr>
            <w:tcW w:w="1040" w:type="dxa"/>
            <w:vAlign w:val="bottom"/>
            <w:tcBorders>
              <w:top w:val="single" w:sz="8" w:color="auto"/>
              <w:bottom w:val="single" w:sz="8" w:color="CCEEFF"/>
            </w:tcBorders>
            <w:gridSpan w:val="2"/>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gridSpan w:val="5"/>
          </w:tcPr>
          <w:p>
            <w:pPr>
              <w:spacing w:after="0"/>
              <w:rPr>
                <w:sz w:val="20"/>
                <w:szCs w:val="20"/>
                <w:color w:val="auto"/>
              </w:rPr>
            </w:pPr>
            <w:r>
              <w:rPr>
                <w:rFonts w:ascii="Arial" w:cs="Arial" w:eastAsia="Arial" w:hAnsi="Arial"/>
                <w:sz w:val="18"/>
                <w:szCs w:val="18"/>
                <w:color w:val="auto"/>
                <w:w w:val="95"/>
              </w:rPr>
              <w:t>Weighted average common shares outstanding (in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thousands)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4"/>
              </w:rPr>
              <w:t>1,730,891</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1,732,783</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1,730,872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1,733,946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Weighted average dilutive potential common</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gridSpan w:val="4"/>
          </w:tcPr>
          <w:p>
            <w:pPr>
              <w:ind w:left="220"/>
              <w:spacing w:after="0"/>
              <w:rPr>
                <w:sz w:val="20"/>
                <w:szCs w:val="20"/>
                <w:color w:val="auto"/>
              </w:rPr>
            </w:pPr>
            <w:r>
              <w:rPr>
                <w:rFonts w:ascii="Arial" w:cs="Arial" w:eastAsia="Arial" w:hAnsi="Arial"/>
                <w:sz w:val="18"/>
                <w:szCs w:val="18"/>
                <w:color w:val="auto"/>
              </w:rPr>
              <w:t>Stock option and compensation plans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35,910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29,027</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30,627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Weighted average common and dilutive potential</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common shares</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1,766,801</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1,761,810</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1,761,499</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1,769,678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Basic Earnings per Common Share:</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60" w:type="dxa"/>
            <w:vAlign w:val="bottom"/>
            <w:gridSpan w:val="5"/>
          </w:tcPr>
          <w:p>
            <w:pPr>
              <w:spacing w:after="0"/>
              <w:rPr>
                <w:sz w:val="20"/>
                <w:szCs w:val="20"/>
                <w:color w:val="auto"/>
              </w:rPr>
            </w:pPr>
            <w:r>
              <w:rPr>
                <w:rFonts w:ascii="Arial" w:cs="Arial" w:eastAsia="Arial" w:hAnsi="Arial"/>
                <w:sz w:val="18"/>
                <w:szCs w:val="18"/>
                <w:color w:val="auto"/>
                <w:w w:val="95"/>
              </w:rPr>
              <w:t>Weighted average common shares outstanding (in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thousands)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4"/>
              </w:rPr>
              <w:t>1,730,891</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1,732,783</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1,730,872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1,733,946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2700655</wp:posOffset>
            </wp:positionH>
            <wp:positionV relativeFrom="paragraph">
              <wp:posOffset>-2747645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-2747645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-2747645</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-2747645</wp:posOffset>
            </wp:positionV>
            <wp:extent cx="224218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242185" cy="29845"/>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-1203960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-1203960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-1203960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-1203960</wp:posOffset>
            </wp:positionV>
            <wp:extent cx="224218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242185" cy="29845"/>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-904240</wp:posOffset>
            </wp:positionV>
            <wp:extent cx="50990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-904240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-904240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-904240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-904240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-904240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-904240</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5299075</wp:posOffset>
            </wp:positionH>
            <wp:positionV relativeFrom="paragraph">
              <wp:posOffset>-904240</wp:posOffset>
            </wp:positionV>
            <wp:extent cx="50990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-329565</wp:posOffset>
            </wp:positionV>
            <wp:extent cx="50990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-329565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-329565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-329565</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-329565</wp:posOffset>
            </wp:positionV>
            <wp:extent cx="137604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6045" cy="29845"/>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-29210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-29210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-29210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-29210</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5299075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5796915</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5350510</wp:posOffset>
            </wp:positionH>
            <wp:positionV relativeFrom="paragraph">
              <wp:posOffset>-29210</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0280"/>
          </w:cols>
          <w:pgMar w:left="1380" w:top="13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u w:val="single" w:color="auto"/>
          <w:color w:val="auto"/>
        </w:rPr>
        <w:t>Exhibit 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3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w w:val="94"/>
              </w:rPr>
              <w:t>For Nine Months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86"/>
              </w:rPr>
              <w:t>Ended Sept.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1998</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1999</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2000</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74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w w:val="91"/>
              </w:rPr>
              <w:t>Income (loss) from continuing operations before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640"/>
              <w:spacing w:after="0"/>
              <w:rPr>
                <w:sz w:val="20"/>
                <w:szCs w:val="20"/>
                <w:color w:val="auto"/>
              </w:rPr>
            </w:pPr>
            <w:r>
              <w:rPr>
                <w:rFonts w:ascii="Arial" w:cs="Arial" w:eastAsia="Arial" w:hAnsi="Arial"/>
                <w:sz w:val="18"/>
                <w:szCs w:val="18"/>
                <w:color w:val="auto"/>
              </w:rPr>
              <w:t>taxes plus fixed charges and amortization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640"/>
              <w:spacing w:after="0"/>
              <w:rPr>
                <w:sz w:val="20"/>
                <w:szCs w:val="20"/>
                <w:color w:val="auto"/>
              </w:rPr>
            </w:pPr>
            <w:r>
              <w:rPr>
                <w:rFonts w:ascii="Arial" w:cs="Arial" w:eastAsia="Arial" w:hAnsi="Arial"/>
                <w:sz w:val="18"/>
                <w:szCs w:val="18"/>
                <w:color w:val="auto"/>
              </w:rPr>
              <w:t>capitalized interest, less interest capitalized</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815</w:t>
            </w: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2,205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4,702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(316)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(248)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295</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Total interest on loans (expensed and capitalized)</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86</w:t>
            </w: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attributable to rental and lease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charges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127</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-1186815</wp:posOffset>
            </wp:positionV>
            <wp:extent cx="23558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-1186815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-1186815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-1186815</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-1186815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-1186815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-1186815</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-1186815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-1186815</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-1186815</wp:posOffset>
            </wp:positionV>
            <wp:extent cx="3873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-1186815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-1186815</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-1186815</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-1186815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-1186815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-1186815</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-1186815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-1186815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-1186815</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-329565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-329565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-329565</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-329565</wp:posOffset>
            </wp:positionV>
            <wp:extent cx="280860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808605"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32131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444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ratio is not meaningful. The coverage deficiency was $423 million in year 2001 and $334 million in 2002.</w:t>
      </w:r>
    </w:p>
    <w:p>
      <w:pPr>
        <w:sectPr>
          <w:pgSz w:w="11900" w:h="16838" w:orient="portrait"/>
          <w:cols w:equalWidth="0" w:num="1">
            <w:col w:w="11420"/>
          </w:cols>
          <w:pgMar w:left="240" w:top="13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7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Thomas J. Engibous, certify that:</w:t>
      </w:r>
    </w:p>
    <w:p>
      <w:pPr>
        <w:spacing w:after="0" w:line="77" w:lineRule="exact"/>
        <w:rPr>
          <w:sz w:val="20"/>
          <w:szCs w:val="20"/>
          <w:color w:val="auto"/>
        </w:rPr>
      </w:pPr>
    </w:p>
    <w:p>
      <w:pPr>
        <w:ind w:left="600" w:hanging="179"/>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140" w:firstLine="421"/>
        <w:spacing w:after="0" w:line="259" w:lineRule="auto"/>
        <w:tabs>
          <w:tab w:leader="none" w:pos="5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right="520" w:firstLine="421"/>
        <w:spacing w:after="0" w:line="332" w:lineRule="auto"/>
        <w:tabs>
          <w:tab w:leader="none" w:pos="5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440" w:firstLine="421"/>
        <w:spacing w:after="0" w:line="268" w:lineRule="auto"/>
        <w:tabs>
          <w:tab w:leader="none" w:pos="5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580" w:right="360" w:hanging="8"/>
        <w:spacing w:after="0" w:line="306" w:lineRule="auto"/>
        <w:tabs>
          <w:tab w:leader="none" w:pos="7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ind w:left="760" w:hanging="188"/>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76" w:lineRule="exact"/>
        <w:rPr>
          <w:rFonts w:ascii="Arial" w:cs="Arial" w:eastAsia="Arial" w:hAnsi="Arial"/>
          <w:sz w:val="18"/>
          <w:szCs w:val="18"/>
          <w:color w:val="auto"/>
        </w:rPr>
      </w:pPr>
    </w:p>
    <w:p>
      <w:pPr>
        <w:ind w:left="580" w:right="280" w:hanging="8"/>
        <w:spacing w:after="0" w:line="347" w:lineRule="auto"/>
        <w:tabs>
          <w:tab w:leader="none" w:pos="76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80" w:right="140" w:hanging="8"/>
        <w:spacing w:after="0" w:line="259" w:lineRule="auto"/>
        <w:tabs>
          <w:tab w:leader="none" w:pos="77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60" w:firstLine="421"/>
        <w:spacing w:after="0" w:line="325" w:lineRule="auto"/>
        <w:tabs>
          <w:tab w:leader="none" w:pos="5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580" w:right="500" w:hanging="8"/>
        <w:spacing w:after="0" w:line="332" w:lineRule="auto"/>
        <w:tabs>
          <w:tab w:leader="none" w:pos="7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0500"/>
          </w:cols>
          <w:pgMar w:left="1160" w:top="131" w:right="239" w:bottom="1440" w:gutter="0" w:footer="0" w:header="0"/>
        </w:sectPr>
      </w:pPr>
    </w:p>
    <w:bookmarkStart w:id="30" w:name="page31"/>
    <w:bookmarkEnd w:id="30"/>
    <w:p>
      <w:pPr>
        <w:ind w:left="-1" w:firstLine="1"/>
        <w:spacing w:after="0" w:line="268" w:lineRule="auto"/>
        <w:tabs>
          <w:tab w:leader="none" w:pos="189"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19"/>
        <w:spacing w:after="0"/>
        <w:rPr>
          <w:sz w:val="20"/>
          <w:szCs w:val="20"/>
          <w:color w:val="auto"/>
        </w:rPr>
      </w:pPr>
      <w:r>
        <w:rPr>
          <w:rFonts w:ascii="Arial" w:cs="Arial" w:eastAsia="Arial" w:hAnsi="Arial"/>
          <w:sz w:val="18"/>
          <w:szCs w:val="18"/>
          <w:color w:val="auto"/>
        </w:rPr>
        <w:t>Date: October 24, 2003</w:t>
      </w:r>
    </w:p>
    <w:p>
      <w:pPr>
        <w:spacing w:after="0" w:line="158" w:lineRule="exact"/>
        <w:rPr>
          <w:sz w:val="20"/>
          <w:szCs w:val="20"/>
          <w:color w:val="auto"/>
        </w:rPr>
      </w:pPr>
    </w:p>
    <w:p>
      <w:pPr>
        <w:ind w:left="5939"/>
        <w:spacing w:after="0"/>
        <w:tabs>
          <w:tab w:leader="none" w:pos="6259"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THOMAS J. ENGIBOUS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80010</wp:posOffset>
            </wp:positionV>
            <wp:extent cx="289877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5939"/>
        <w:spacing w:after="0"/>
        <w:rPr>
          <w:sz w:val="20"/>
          <w:szCs w:val="20"/>
          <w:color w:val="auto"/>
        </w:rPr>
      </w:pPr>
      <w:r>
        <w:rPr>
          <w:rFonts w:ascii="Arial" w:cs="Arial" w:eastAsia="Arial" w:hAnsi="Arial"/>
          <w:sz w:val="18"/>
          <w:szCs w:val="18"/>
          <w:color w:val="auto"/>
        </w:rPr>
        <w:t>Thomas J. Engibous</w:t>
      </w:r>
    </w:p>
    <w:p>
      <w:pPr>
        <w:spacing w:after="0" w:line="15" w:lineRule="exact"/>
        <w:rPr>
          <w:sz w:val="20"/>
          <w:szCs w:val="20"/>
          <w:color w:val="auto"/>
        </w:rPr>
      </w:pPr>
    </w:p>
    <w:p>
      <w:pPr>
        <w:ind w:left="5939"/>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939"/>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5939"/>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279"/>
          </w:cols>
          <w:pgMar w:left="1161" w:top="280" w:right="4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7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77" w:lineRule="exact"/>
        <w:rPr>
          <w:sz w:val="20"/>
          <w:szCs w:val="20"/>
          <w:color w:val="auto"/>
        </w:rPr>
      </w:pPr>
    </w:p>
    <w:p>
      <w:pPr>
        <w:ind w:left="600" w:hanging="179"/>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140" w:firstLine="421"/>
        <w:spacing w:after="0" w:line="259" w:lineRule="auto"/>
        <w:tabs>
          <w:tab w:leader="none" w:pos="5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right="520" w:firstLine="421"/>
        <w:spacing w:after="0" w:line="332" w:lineRule="auto"/>
        <w:tabs>
          <w:tab w:leader="none" w:pos="5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440" w:firstLine="421"/>
        <w:spacing w:after="0" w:line="268" w:lineRule="auto"/>
        <w:tabs>
          <w:tab w:leader="none" w:pos="5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580" w:right="360" w:hanging="8"/>
        <w:spacing w:after="0" w:line="306" w:lineRule="auto"/>
        <w:tabs>
          <w:tab w:leader="none" w:pos="7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ind w:left="760" w:hanging="188"/>
        <w:spacing w:after="0"/>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76" w:lineRule="exact"/>
        <w:rPr>
          <w:rFonts w:ascii="Arial" w:cs="Arial" w:eastAsia="Arial" w:hAnsi="Arial"/>
          <w:sz w:val="18"/>
          <w:szCs w:val="18"/>
          <w:color w:val="auto"/>
        </w:rPr>
      </w:pPr>
    </w:p>
    <w:p>
      <w:pPr>
        <w:ind w:left="580" w:right="280" w:hanging="8"/>
        <w:spacing w:after="0" w:line="347" w:lineRule="auto"/>
        <w:tabs>
          <w:tab w:leader="none" w:pos="76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80" w:right="140" w:hanging="8"/>
        <w:spacing w:after="0" w:line="259" w:lineRule="auto"/>
        <w:tabs>
          <w:tab w:leader="none" w:pos="7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60" w:firstLine="421"/>
        <w:spacing w:after="0" w:line="325" w:lineRule="auto"/>
        <w:tabs>
          <w:tab w:leader="none" w:pos="5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580" w:right="500" w:hanging="8"/>
        <w:spacing w:after="0" w:line="332" w:lineRule="auto"/>
        <w:tabs>
          <w:tab w:leader="none" w:pos="7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0500"/>
          </w:cols>
          <w:pgMar w:left="1160" w:top="131" w:right="239" w:bottom="1440" w:gutter="0" w:footer="0" w:header="0"/>
        </w:sectPr>
      </w:pPr>
    </w:p>
    <w:bookmarkStart w:id="32" w:name="page33"/>
    <w:bookmarkEnd w:id="32"/>
    <w:p>
      <w:pPr>
        <w:ind w:left="-1" w:firstLine="1"/>
        <w:spacing w:after="0" w:line="268" w:lineRule="auto"/>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19"/>
        <w:spacing w:after="0"/>
        <w:rPr>
          <w:sz w:val="20"/>
          <w:szCs w:val="20"/>
          <w:color w:val="auto"/>
        </w:rPr>
      </w:pPr>
      <w:r>
        <w:rPr>
          <w:rFonts w:ascii="Arial" w:cs="Arial" w:eastAsia="Arial" w:hAnsi="Arial"/>
          <w:sz w:val="18"/>
          <w:szCs w:val="18"/>
          <w:color w:val="auto"/>
        </w:rPr>
        <w:t>Date: October 24, 2003</w:t>
      </w:r>
    </w:p>
    <w:p>
      <w:pPr>
        <w:spacing w:after="0" w:line="158" w:lineRule="exact"/>
        <w:rPr>
          <w:sz w:val="20"/>
          <w:szCs w:val="20"/>
          <w:color w:val="auto"/>
        </w:rPr>
      </w:pPr>
    </w:p>
    <w:p>
      <w:pPr>
        <w:ind w:left="5939"/>
        <w:spacing w:after="0"/>
        <w:tabs>
          <w:tab w:leader="none" w:pos="6259"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80010</wp:posOffset>
            </wp:positionV>
            <wp:extent cx="289877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5939"/>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5939"/>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939"/>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79"/>
          </w:cols>
          <w:pgMar w:left="1161" w:top="280" w:right="4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77"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jc w:val="both"/>
        <w:ind w:right="220" w:firstLine="420"/>
        <w:spacing w:after="0" w:line="259"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Thomas J. Engibous, the Chairman of the Board, President and Chief Executive Officer of Texas Instruments Incorporated (the “Company”), hereby certifies that, to his knowledge:</w:t>
      </w:r>
    </w:p>
    <w:p>
      <w:pPr>
        <w:spacing w:after="0" w:line="46" w:lineRule="exact"/>
        <w:rPr>
          <w:sz w:val="20"/>
          <w:szCs w:val="20"/>
          <w:color w:val="auto"/>
        </w:rPr>
      </w:pPr>
    </w:p>
    <w:p>
      <w:pPr>
        <w:ind w:right="420" w:firstLine="1"/>
        <w:spacing w:after="0" w:line="259" w:lineRule="auto"/>
        <w:tabs>
          <w:tab w:leader="none" w:pos="2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2003, as filed with the Securities and Exchange Commission on the date hereof (the “Report”) fully complies with the requirements of Section 13(a) or 15(d) of the Securities Exchange Act of 1934; and</w:t>
      </w:r>
    </w:p>
    <w:p>
      <w:pPr>
        <w:spacing w:after="0" w:line="45" w:lineRule="exact"/>
        <w:rPr>
          <w:rFonts w:ascii="Arial" w:cs="Arial" w:eastAsia="Arial" w:hAnsi="Arial"/>
          <w:sz w:val="18"/>
          <w:szCs w:val="18"/>
          <w:color w:val="auto"/>
        </w:rPr>
      </w:pPr>
    </w:p>
    <w:p>
      <w:pPr>
        <w:ind w:left="260" w:hanging="259"/>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October 24, 2003</w:t>
      </w:r>
    </w:p>
    <w:p>
      <w:pPr>
        <w:spacing w:after="0" w:line="158" w:lineRule="exact"/>
        <w:rPr>
          <w:sz w:val="20"/>
          <w:szCs w:val="20"/>
          <w:color w:val="auto"/>
        </w:rPr>
      </w:pPr>
    </w:p>
    <w:p>
      <w:pPr>
        <w:ind w:left="5940"/>
        <w:spacing w:after="0"/>
        <w:tabs>
          <w:tab w:leader="none" w:pos="62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THOMAS J. ENGIBOUS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80010</wp:posOffset>
            </wp:positionV>
            <wp:extent cx="289877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Thomas J. Engibous</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500"/>
          </w:cols>
          <w:pgMar w:left="1160" w:top="13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77"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360" w:firstLine="420"/>
        <w:spacing w:after="0" w:line="259"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46" w:lineRule="exact"/>
        <w:rPr>
          <w:sz w:val="20"/>
          <w:szCs w:val="20"/>
          <w:color w:val="auto"/>
        </w:rPr>
      </w:pPr>
    </w:p>
    <w:p>
      <w:pPr>
        <w:ind w:right="420" w:firstLine="1"/>
        <w:spacing w:after="0" w:line="259" w:lineRule="auto"/>
        <w:tabs>
          <w:tab w:leader="none" w:pos="2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2003, as filed with the Securities and Exchange Commission on the date hereof (the “Report”) fully complies with the requirements of Section 13(a) or 15(d) of the Securities Exchange Act of 1934; and</w:t>
      </w:r>
    </w:p>
    <w:p>
      <w:pPr>
        <w:spacing w:after="0" w:line="45" w:lineRule="exact"/>
        <w:rPr>
          <w:rFonts w:ascii="Arial" w:cs="Arial" w:eastAsia="Arial" w:hAnsi="Arial"/>
          <w:sz w:val="18"/>
          <w:szCs w:val="18"/>
          <w:color w:val="auto"/>
        </w:rPr>
      </w:pPr>
    </w:p>
    <w:p>
      <w:pPr>
        <w:ind w:left="260" w:hanging="259"/>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October 24, 2003</w:t>
      </w:r>
    </w:p>
    <w:p>
      <w:pPr>
        <w:spacing w:after="0" w:line="158" w:lineRule="exact"/>
        <w:rPr>
          <w:sz w:val="20"/>
          <w:szCs w:val="20"/>
          <w:color w:val="auto"/>
        </w:rPr>
      </w:pPr>
    </w:p>
    <w:p>
      <w:pPr>
        <w:ind w:left="5940"/>
        <w:spacing w:after="0"/>
        <w:tabs>
          <w:tab w:leader="none" w:pos="62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80010</wp:posOffset>
            </wp:positionV>
            <wp:extent cx="28987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500"/>
      </w:cols>
      <w:pgMar w:left="116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5"/>
    </w:lvl>
  </w:abstractNum>
  <w:abstractNum w:abstractNumId="2">
    <w:nsid w:val="1190CDE7"/>
    <w:multiLevelType w:val="hybridMultilevel"/>
    <w:lvl w:ilvl="0">
      <w:lvlJc w:val="left"/>
      <w:lvlText w:val="%1."/>
      <w:numFmt w:val="decimal"/>
      <w:start w:val="11"/>
    </w:lvl>
  </w:abstractNum>
  <w:abstractNum w:abstractNumId="3">
    <w:nsid w:val="66EF438D"/>
    <w:multiLevelType w:val="hybridMultilevel"/>
    <w:lvl w:ilvl="0">
      <w:lvlJc w:val="left"/>
      <w:lvlText w:val="%1."/>
      <w:numFmt w:val="decimal"/>
      <w:start w:val="13"/>
    </w:lvl>
  </w:abstractNum>
  <w:abstractNum w:abstractNumId="4">
    <w:nsid w:val="140E0F76"/>
    <w:multiLevelType w:val="hybridMultilevel"/>
    <w:lvl w:ilvl="0">
      <w:lvlJc w:val="left"/>
      <w:lvlText w:val="%1."/>
      <w:numFmt w:val="decimal"/>
      <w:start w:val="14"/>
    </w:lvl>
  </w:abstractNum>
  <w:abstractNum w:abstractNumId="5">
    <w:nsid w:val="3352255A"/>
    <w:multiLevelType w:val="hybridMultilevel"/>
    <w:lvl w:ilvl="0">
      <w:lvlJc w:val="left"/>
      <w:lvlText w:val="%1."/>
      <w:numFmt w:val="decimal"/>
      <w:start w:val="16"/>
    </w:lvl>
  </w:abstractNum>
  <w:abstractNum w:abstractNumId="6">
    <w:nsid w:val="109CF92E"/>
    <w:multiLevelType w:val="hybridMultilevel"/>
    <w:lvl w:ilvl="0">
      <w:lvlJc w:val="left"/>
      <w:lvlText w:val="%1."/>
      <w:numFmt w:val="decimal"/>
      <w:start w:val="17"/>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lowerLetter"/>
      <w:start w:val="2"/>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2019-12-13T07:36:58Z</dcterms:created>
  <dcterms:modified xsi:type="dcterms:W3CDTF">2019-12-13T07:36:58Z</dcterms:modified>
</cp:coreProperties>
</file>