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62"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4"/>
          <w:szCs w:val="24"/>
          <w:color w:val="auto"/>
        </w:rPr>
      </w:pPr>
    </w:p>
    <w:p>
      <w:pPr>
        <w:ind w:right="4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6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720" w:right="219" w:bottom="1440" w:gutter="0" w:footer="0" w:header="0"/>
        </w:sectPr>
      </w:pP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440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4400" w:type="dxa"/>
            <w:vAlign w:val="bottom"/>
          </w:tcPr>
          <w:p>
            <w:pPr>
              <w:ind w:left="2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 xml:space="preserve"> (Do not check if a smaller reporting company)</w:t>
            </w:r>
          </w:p>
        </w:tc>
        <w:tc>
          <w:tcPr>
            <w:tcW w:w="356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4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2">
            <w:col w:w="1980" w:space="480"/>
            <w:col w:w="8980"/>
          </w:cols>
          <w:pgMar w:left="240" w:top="720" w:right="219" w:bottom="144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11180" w:type="dxa"/>
            <w:vAlign w:val="bottom"/>
          </w:tcPr>
          <w:p>
            <w:pPr>
              <w:ind w:left="4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 new</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11180" w:type="dxa"/>
            <w:vAlign w:val="bottom"/>
          </w:tcPr>
          <w:p>
            <w:pPr>
              <w:ind w:left="40"/>
              <w:spacing w:after="0"/>
              <w:rPr>
                <w:sz w:val="20"/>
                <w:szCs w:val="20"/>
                <w:color w:val="auto"/>
              </w:rPr>
            </w:pPr>
            <w:r>
              <w:rPr>
                <w:rFonts w:ascii="Arial" w:cs="Arial" w:eastAsia="Arial" w:hAnsi="Arial"/>
                <w:sz w:val="18"/>
                <w:szCs w:val="18"/>
                <w:color w:val="auto"/>
              </w:rPr>
              <w:t>or revised financial accounting standards provided pursuant to Section 13(a) of the Exchange Act</w:t>
            </w:r>
          </w:p>
        </w:tc>
        <w:tc>
          <w:tcPr>
            <w:tcW w:w="260" w:type="dxa"/>
            <w:vAlign w:val="bottom"/>
          </w:tcPr>
          <w:p>
            <w:pPr>
              <w:spacing w:after="0"/>
              <w:rPr>
                <w:sz w:val="20"/>
                <w:szCs w:val="20"/>
                <w:color w:val="auto"/>
              </w:rPr>
            </w:pPr>
          </w:p>
        </w:tc>
      </w:tr>
      <w:tr>
        <w:trPr>
          <w:trHeight w:val="240"/>
        </w:trPr>
        <w:tc>
          <w:tcPr>
            <w:tcW w:w="111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tc>
        <w:tc>
          <w:tcPr>
            <w:tcW w:w="260" w:type="dxa"/>
            <w:vAlign w:val="bottom"/>
          </w:tcPr>
          <w:p>
            <w:pPr>
              <w:spacing w:after="0"/>
              <w:rPr>
                <w:sz w:val="20"/>
                <w:szCs w:val="20"/>
                <w:color w:val="auto"/>
              </w:rPr>
            </w:pPr>
          </w:p>
        </w:tc>
      </w:tr>
      <w:tr>
        <w:trPr>
          <w:trHeight w:val="216"/>
        </w:trPr>
        <w:tc>
          <w:tcPr>
            <w:tcW w:w="11180" w:type="dxa"/>
            <w:vAlign w:val="bottom"/>
          </w:tcPr>
          <w:p>
            <w:pPr>
              <w:jc w:val="center"/>
              <w:ind w:left="150"/>
              <w:spacing w:after="0"/>
              <w:rPr>
                <w:sz w:val="20"/>
                <w:szCs w:val="20"/>
                <w:color w:val="auto"/>
              </w:rPr>
            </w:pPr>
            <w:r>
              <w:rPr>
                <w:rFonts w:ascii="Arial" w:cs="Arial" w:eastAsia="Arial" w:hAnsi="Arial"/>
                <w:sz w:val="18"/>
                <w:szCs w:val="18"/>
                <w:color w:val="auto"/>
                <w:w w:val="89"/>
              </w:rPr>
              <w:t>978,918,151</w:t>
            </w:r>
          </w:p>
        </w:tc>
        <w:tc>
          <w:tcPr>
            <w:tcW w:w="260" w:type="dxa"/>
            <w:vAlign w:val="bottom"/>
          </w:tcPr>
          <w:p>
            <w:pPr>
              <w:spacing w:after="0"/>
              <w:rPr>
                <w:sz w:val="18"/>
                <w:szCs w:val="18"/>
                <w:color w:val="auto"/>
              </w:rPr>
            </w:pPr>
          </w:p>
        </w:tc>
      </w:tr>
      <w:tr>
        <w:trPr>
          <w:trHeight w:val="216"/>
        </w:trPr>
        <w:tc>
          <w:tcPr>
            <w:tcW w:w="11180" w:type="dxa"/>
            <w:vAlign w:val="bottom"/>
          </w:tcPr>
          <w:p>
            <w:pPr>
              <w:jc w:val="center"/>
              <w:ind w:left="170"/>
              <w:spacing w:after="0"/>
              <w:rPr>
                <w:sz w:val="20"/>
                <w:szCs w:val="20"/>
                <w:color w:val="auto"/>
              </w:rPr>
            </w:pPr>
            <w:r>
              <w:rPr>
                <w:rFonts w:ascii="Arial" w:cs="Arial" w:eastAsia="Arial" w:hAnsi="Arial"/>
                <w:sz w:val="18"/>
                <w:szCs w:val="18"/>
                <w:color w:val="auto"/>
                <w:w w:val="90"/>
              </w:rPr>
              <w:t>Number of shares of Registrant’s common stock outstanding as of</w:t>
            </w:r>
          </w:p>
        </w:tc>
        <w:tc>
          <w:tcPr>
            <w:tcW w:w="260" w:type="dxa"/>
            <w:vAlign w:val="bottom"/>
          </w:tcPr>
          <w:p>
            <w:pPr>
              <w:spacing w:after="0"/>
              <w:rPr>
                <w:sz w:val="18"/>
                <w:szCs w:val="18"/>
                <w:color w:val="auto"/>
              </w:rPr>
            </w:pPr>
          </w:p>
        </w:tc>
      </w:tr>
      <w:tr>
        <w:trPr>
          <w:trHeight w:val="230"/>
        </w:trPr>
        <w:tc>
          <w:tcPr>
            <w:tcW w:w="11180" w:type="dxa"/>
            <w:vAlign w:val="bottom"/>
          </w:tcPr>
          <w:p>
            <w:pPr>
              <w:jc w:val="center"/>
              <w:ind w:left="150"/>
              <w:spacing w:after="0"/>
              <w:rPr>
                <w:sz w:val="20"/>
                <w:szCs w:val="20"/>
                <w:color w:val="auto"/>
              </w:rPr>
            </w:pPr>
            <w:r>
              <w:rPr>
                <w:rFonts w:ascii="Arial" w:cs="Arial" w:eastAsia="Arial" w:hAnsi="Arial"/>
                <w:sz w:val="18"/>
                <w:szCs w:val="18"/>
                <w:color w:val="auto"/>
                <w:w w:val="95"/>
              </w:rPr>
              <w:t>April 24, 2018</w:t>
            </w:r>
          </w:p>
        </w:tc>
        <w:tc>
          <w:tcPr>
            <w:tcW w:w="260" w:type="dxa"/>
            <w:vAlign w:val="bottom"/>
          </w:tcPr>
          <w:p>
            <w:pPr>
              <w:spacing w:after="0"/>
              <w:rPr>
                <w:sz w:val="20"/>
                <w:szCs w:val="20"/>
                <w:color w:val="auto"/>
              </w:rPr>
            </w:pPr>
          </w:p>
        </w:tc>
      </w:tr>
      <w:tr>
        <w:trPr>
          <w:trHeight w:val="966"/>
        </w:trPr>
        <w:tc>
          <w:tcPr>
            <w:tcW w:w="1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Three Months Ended</w:t>
            </w:r>
          </w:p>
        </w:tc>
      </w:tr>
      <w:tr>
        <w:trPr>
          <w:trHeight w:val="219"/>
        </w:trPr>
        <w:tc>
          <w:tcPr>
            <w:tcW w:w="90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3,789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20" w:type="dxa"/>
            <w:vAlign w:val="bottom"/>
            <w:shd w:val="clear" w:color="auto" w:fill="CCEEFF"/>
          </w:tcPr>
          <w:p>
            <w:pPr>
              <w:spacing w:after="0"/>
              <w:rPr>
                <w:sz w:val="18"/>
                <w:szCs w:val="18"/>
                <w:color w:val="auto"/>
              </w:rPr>
            </w:pPr>
          </w:p>
        </w:tc>
      </w:tr>
      <w:tr>
        <w:trPr>
          <w:trHeight w:val="213"/>
        </w:trPr>
        <w:tc>
          <w:tcPr>
            <w:tcW w:w="908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1,342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2,447</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908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385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433</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9"/>
                <w:szCs w:val="19"/>
                <w:color w:val="auto"/>
              </w:rPr>
            </w:pPr>
          </w:p>
        </w:tc>
      </w:tr>
      <w:tr>
        <w:trPr>
          <w:trHeight w:val="213"/>
        </w:trPr>
        <w:tc>
          <w:tcPr>
            <w:tcW w:w="908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r>
      <w:tr>
        <w:trPr>
          <w:trHeight w:val="207"/>
        </w:trPr>
        <w:tc>
          <w:tcPr>
            <w:tcW w:w="908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1,548</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r>
      <w:tr>
        <w:trPr>
          <w:trHeight w:val="213"/>
        </w:trPr>
        <w:tc>
          <w:tcPr>
            <w:tcW w:w="908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9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1,553</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908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9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9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8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9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983</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9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1,005</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8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1,366</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18"/>
                <w:szCs w:val="18"/>
                <w:color w:val="auto"/>
              </w:rPr>
            </w:pPr>
          </w:p>
        </w:tc>
      </w:tr>
      <w:tr>
        <w:trPr>
          <w:trHeight w:val="213"/>
        </w:trPr>
        <w:tc>
          <w:tcPr>
            <w:tcW w:w="908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3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(11)</w:t>
            </w:r>
          </w:p>
        </w:tc>
        <w:tc>
          <w:tcPr>
            <w:tcW w:w="4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r>
      <w:tr>
        <w:trPr>
          <w:trHeight w:val="210"/>
        </w:trPr>
        <w:tc>
          <w:tcPr>
            <w:tcW w:w="9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1,355</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w w:val="94"/>
              </w:rPr>
              <w:t>For Three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losses of defined benefit plans: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(16)</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Prior service credit of defined benefit plans: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2"/>
            <w:vMerge w:val="restart"/>
          </w:tcPr>
          <w:p>
            <w:pPr>
              <w:ind w:left="1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9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(8)</w:t>
            </w:r>
          </w:p>
        </w:tc>
        <w:tc>
          <w:tcPr>
            <w:tcW w:w="2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9"/>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240" w:type="dxa"/>
            <w:vAlign w:val="bottom"/>
          </w:tcPr>
          <w:p>
            <w:pPr>
              <w:spacing w:after="0"/>
              <w:rPr>
                <w:sz w:val="19"/>
                <w:szCs w:val="19"/>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($8) and ($8)</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2,032</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1,025</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8,590</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4,907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(2,171)</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2,736</w:t>
            </w:r>
          </w:p>
        </w:tc>
        <w:tc>
          <w:tcPr>
            <w:tcW w:w="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218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17,507</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1,860</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3,578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6,865</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1,770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35,619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March 31, 2018 – 759,098,020; December 31, 2017 – 757,657,217</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(28,096)</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(27,458)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(392)</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10,642</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17,507</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w w:val="95"/>
              </w:rPr>
              <w:t>For Three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1,366</w:t>
            </w:r>
          </w:p>
        </w:tc>
        <w:tc>
          <w:tcPr>
            <w:tcW w:w="3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Deferred taxes</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Increase (decrease) from changes in:</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(176)</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(97)</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356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(51)</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(372)</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taxes payable</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(131)</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(15)</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(36)</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1,112</w:t>
            </w: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(189)</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asset sales</w:t>
            </w: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Purchases of short-term investments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(996)</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short-term investments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1,455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(4)</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266</w:t>
            </w: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(611)</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(873)</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(11)</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(1,317)</w:t>
            </w:r>
          </w:p>
        </w:tc>
        <w:tc>
          <w:tcPr>
            <w:tcW w:w="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Net change in Cash and cash equivalents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1,656</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1,717</w:t>
            </w:r>
          </w:p>
        </w:tc>
        <w:tc>
          <w:tcPr>
            <w:tcW w:w="36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7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3"/>
          <w:szCs w:val="13"/>
          <w:color w:val="auto"/>
        </w:rPr>
        <w:t>®</w:t>
      </w:r>
      <w:r>
        <w:rPr>
          <w:rFonts w:ascii="Arial" w:cs="Arial" w:eastAsia="Arial" w:hAnsi="Arial"/>
          <w:sz w:val="15"/>
          <w:szCs w:val="15"/>
          <w:color w:val="auto"/>
        </w:rPr>
        <w:t xml:space="preserve"> products, calculators and custom ASIC products.</w:t>
      </w:r>
    </w:p>
    <w:p>
      <w:pPr>
        <w:spacing w:after="0" w:line="10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90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For 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Analog</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2,566</w:t>
            </w:r>
          </w:p>
        </w:tc>
        <w:tc>
          <w:tcPr>
            <w:tcW w:w="144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926</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w:t>
            </w:r>
          </w:p>
        </w:tc>
        <w:tc>
          <w:tcPr>
            <w:tcW w:w="4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3,789</w:t>
            </w: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tcPr>
          <w:p>
            <w:pPr>
              <w:ind w:left="120"/>
              <w:spacing w:after="0"/>
              <w:rPr>
                <w:sz w:val="20"/>
                <w:szCs w:val="20"/>
                <w:color w:val="auto"/>
              </w:rPr>
            </w:pPr>
            <w:r>
              <w:rPr>
                <w:rFonts w:ascii="Arial" w:cs="Arial" w:eastAsia="Arial" w:hAnsi="Arial"/>
                <w:sz w:val="16"/>
                <w:szCs w:val="16"/>
                <w:color w:val="auto"/>
              </w:rPr>
              <w:t>Analog</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1,166</w:t>
            </w:r>
          </w:p>
        </w:tc>
        <w:tc>
          <w:tcPr>
            <w:tcW w:w="144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328</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4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1,548</w:t>
            </w: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geographic area information includes revenue based on product shipment destination. The revenue information is not necessarily indicative of the geographic area in which the end applications containing our products are ultimately consumed because our products tend to be shipped to the locations where our customers manufacture their products. Specifically, many of our products are shipped to our customers in China who may include these parts in the manufacture of their own end products, which they may in turn export to their customers around the world.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290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For 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9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9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504</w:t>
            </w:r>
          </w:p>
        </w:tc>
        <w:tc>
          <w:tcPr>
            <w:tcW w:w="144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2,215</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10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771</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w:t>
            </w:r>
          </w:p>
        </w:tc>
        <w:tc>
          <w:tcPr>
            <w:tcW w:w="4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3,789</w:t>
            </w:r>
          </w:p>
        </w:tc>
        <w:tc>
          <w:tcPr>
            <w:tcW w:w="14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00" w:type="dxa"/>
            <w:vAlign w:val="bottom"/>
            <w:shd w:val="clear" w:color="auto" w:fill="CCEEFF"/>
          </w:tcPr>
          <w:p>
            <w:pPr>
              <w:spacing w:after="0"/>
              <w:rPr>
                <w:sz w:val="18"/>
                <w:szCs w:val="18"/>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460" w:right="3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including Hong Kong, was $1.6 billion and $1.5 billion in the three months ended March 31, 2018, and March 31, 2017,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consolidated financial statements have been prepared in accordance with accounting principles generally accepted in the United States (GAAP) and on the same basis as the audited financial statements included in our annual report on Form 10-K for the year ended December 31, 2017, except for the effects of adopting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Consolidated Statements of Income, Comprehensive Income and Cash Flows for the periods ended March 31, 2018 and 2017, and the Consolidated Balance Sheet as of March 31, 2018,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2017. The results for the three-month periods are not necessarily indicative of a full year’s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generate revenue primarily from the sale of semiconductor products, either directly to a customer or to a distributor, or at the conclusion of a consignment process. We have a variety of types of contracts with our customers and distributors. In determining whether a contract exists, we evaluate the terms of the agreement, the relationship with the customer or distributor and their ability to pay.</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recognize revenue from sales of our products, including sales to our distributors, at a point in time, generally upon shipment or delivery to the customer or distributor, depending upon the terms of the sales order. Control is considered transferred when title and risk of loss pass, when the customer becomes obligated to pay and, where required, when the customer has accepted the products. For sales to distributors, payment is due on our standard commercial terms and is not contingent upon resale of the products.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Revenue from sales of our products that is subject to inventory consignment agreements is recognized at a point in time, when the customer or distributor pulls product from consignment inventory that we store at designated locations. Transfer of control occurs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amount of revenue recognized is adjusted based on allowances, which are prepared on a portfolio basis using a most likely amount methodology based on analysis of historical data, current economic conditions and contractual terms. These allowances, which are not material, generally include adjustments for pricing arrangements, product returns and incentives. The length of time between invoicing and payment is not significant under any of our payment terms. In instances where the timing of revenue recognition differs from the timing of invoicing, we have determined our contracts generally do not include a significant financing component.</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we record allowances for accounts receivable that we estimate may not be collected. We monitor collectability of accounts receivable primarily through review of accounts receivable aging. When collection is at risk, we assess the impact on amounts recorded for bad debts and, if necessary, record a charge in the period such determination is made.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recognize shipping fees, if any, received from customers in revenue. We include shipping and handling costs in COR. The majority of our customers pay these fees directly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w w:val="98"/>
              </w:rPr>
              <w:t>For Three Months Ended March 31,</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Net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Net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Income</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Income</w:t>
            </w: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1,366</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997</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 basic EPS calculation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1,355</w:t>
            </w:r>
          </w:p>
        </w:tc>
        <w:tc>
          <w:tcPr>
            <w:tcW w:w="2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983</w:t>
            </w:r>
          </w:p>
        </w:tc>
        <w:tc>
          <w:tcPr>
            <w:tcW w:w="4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1.38</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3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998</w:t>
            </w:r>
          </w:p>
        </w:tc>
        <w:tc>
          <w:tcPr>
            <w:tcW w:w="5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1,366</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997</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1,355</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1,005</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Potentially dilutive securities representing 5 million and 6 million shares of common stock that were outstanding during the first quarters of 2018 and 2017, respectively, were excluded from the computation of diluted earnings per common share for these periods because their effect would have been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March 31, 2018.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4 for a description of fair value and the definition of Level 2 inputs.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2014-09, Revenue from Contracts with Customers (Topic 606)</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This standard provides a single set of guidelines for revenue recognition to be used across all industries and requires additional disclosures. We adopted Accounting Standards Codification Topic 606 (ASC 606) as of January 1, 2018, using the modified retrospective transition method applied only to contracts that were not completed as of the adoption date. The reported results for 2018 reflect the application of the new accounting guidance, while the reported results for prior period amounts are not adjusted and continue to be reported in accordance with our historical accounting under ASC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(ASC 605).</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most significant impact from adopting the standard relates to our accounting for royalty income on licenses of intellectual property; however, the effect of such change during any individual reporting period will not materially impact our results of operations and financial position. Although royalty income is recorded within OI&amp;E, the new revenue guidance applies to these agreements by analogy, and therefore, such agreements have been evaluated for ASC transition considerations. Under ASC 606, royalty income for our fixed-rate royalty agreements is bifurcated between two performance obligations: providing a right to use our initial patent portfolio and the right to access our future patents when those patents are developed. We have determined that the value of these agreements is allocated more heavily to the initial performance obligation. As a result, income from these agreements is recognized predominately at the time of contract execution rather than ratably over the life of the agreements, accelerating the timing of when we recognize royalty income in OI&amp;E.</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timing of revenue recognition, billings and cash collections may result in billed accounts receivable, unbilled receivables (contract assets), and customer advances and deposits (contract liabilities). These items are included in other current and non-current assets and liabilities on the Consolidated Balance Sheets.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time frame between when the customer places an order for products and when it is shipped is less than 12 months. Generally, we invoice customers for payment upon shipment or when goods are pulled from consignment inventory, which results in an unconditional right to consideration. Our contract assets are primarily related to our rights to consideration for satisfied or partially satisfied performance obligations on our royalty agreements for which payment has not been received as of the reporting date.</w:t>
      </w:r>
    </w:p>
    <w:p>
      <w:pPr>
        <w:spacing w:after="0" w:line="18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recognized an increase to opening retained earnings of $206 million, net of taxes, as of January 1, 2018, due to the cumulative impact of adopting ASC 606, with the impact primarily related to our fixed payment patent licensing agreements that were not completed as of the adoption date. A contract asset of $283 million and deferred tax liabilities of $55 million were recorded as of January 1, 2018, related to the transition period adjustments.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Occasionally, as of the end of a reporting period, some of the performance obligations associated with contracts will have been unsatisfied or only partially satisfied. In accordance with the practical expedients available in the guidance, we do not disclose the value of unsatisfied performance obligations for contracts with an original expected duration of one year or less. Similarly, we do not disclose information for variable-rate consideration on our sales-based or usage-based royalties for our patent licenses.</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For royalty income from licensing our patent portfolios, income is allocated to performance obligations that have not yet been satisfied. The remaining performance obligations represent contracted income that has not yet been recognized, including amounts that will be invoiced and recognized as income in future periods. As of March 31, 2018, we had $75 million of remaining performance obligations that had not yet been satisfied. We expect to recognize approximately 20 percent of our remaining performance obligations as income over the next 12 months and the remainder thereafter.</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March 31, 2018, we had contract assets of $273 million. During the three months ended March 31, 2018, our contract assets were reduced by $10 million, due to $14 million of cash received offset by $4 million of income recognized.</w:t>
      </w:r>
    </w:p>
    <w:p>
      <w:pPr>
        <w:spacing w:after="0" w:line="17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incur commission expenses paid to internal sales personnel that are incremental to obtaining contracts with customers. We generally expense sales commissions when incurred because the amortization period would have been one year or less. These costs are included in SG&amp;A.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standards were adopted during the current period and did not have a material impact on our financial position and 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ASU</w:t>
            </w:r>
          </w:p>
        </w:tc>
        <w:tc>
          <w:tcPr>
            <w:tcW w:w="120" w:type="dxa"/>
            <w:vAlign w:val="bottom"/>
            <w:tcBorders>
              <w:bottom w:val="single" w:sz="8" w:color="CCEEFF"/>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203"/>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ASU No. 2016-01</w:t>
            </w: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w w:val="96"/>
              </w:rPr>
              <w:t>Financial Instruments – Overall (Subtopic 825-10): Recognition and Measurement of Financial Assets and Financial</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2018</w:t>
            </w:r>
          </w:p>
        </w:tc>
      </w:tr>
      <w:tr>
        <w:trPr>
          <w:trHeight w:val="212"/>
        </w:trPr>
        <w:tc>
          <w:tcPr>
            <w:tcW w:w="18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Liabilities</w:t>
            </w:r>
          </w:p>
        </w:tc>
        <w:tc>
          <w:tcPr>
            <w:tcW w:w="1600" w:type="dxa"/>
            <w:vAlign w:val="bottom"/>
            <w:shd w:val="clear" w:color="auto" w:fill="CCEEFF"/>
          </w:tcPr>
          <w:p>
            <w:pPr>
              <w:spacing w:after="0"/>
              <w:rPr>
                <w:sz w:val="18"/>
                <w:szCs w:val="18"/>
                <w:color w:val="auto"/>
              </w:rPr>
            </w:pPr>
          </w:p>
        </w:tc>
      </w:tr>
      <w:tr>
        <w:trPr>
          <w:trHeight w:val="213"/>
        </w:trPr>
        <w:tc>
          <w:tcPr>
            <w:tcW w:w="1800" w:type="dxa"/>
            <w:vAlign w:val="bottom"/>
          </w:tcPr>
          <w:p>
            <w:pPr>
              <w:spacing w:after="0"/>
              <w:rPr>
                <w:sz w:val="20"/>
                <w:szCs w:val="20"/>
                <w:color w:val="auto"/>
              </w:rPr>
            </w:pPr>
            <w:r>
              <w:rPr>
                <w:rFonts w:ascii="Arial" w:cs="Arial" w:eastAsia="Arial" w:hAnsi="Arial"/>
                <w:sz w:val="16"/>
                <w:szCs w:val="16"/>
                <w:color w:val="auto"/>
              </w:rPr>
              <w:t>ASU No. 2017-01</w:t>
            </w: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rPr>
              <w:t>Business Combinations (Topic 805): Clarifying the Definition of a Business</w:t>
            </w: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January 1, 2018</w:t>
            </w:r>
          </w:p>
        </w:tc>
      </w:tr>
      <w:tr>
        <w:trPr>
          <w:trHeight w:val="209"/>
        </w:trPr>
        <w:tc>
          <w:tcPr>
            <w:tcW w:w="1800" w:type="dxa"/>
            <w:vAlign w:val="bottom"/>
            <w:shd w:val="clear" w:color="auto" w:fill="CCEEFF"/>
          </w:tcPr>
          <w:p>
            <w:pPr>
              <w:spacing w:after="0"/>
              <w:rPr>
                <w:sz w:val="20"/>
                <w:szCs w:val="20"/>
                <w:color w:val="auto"/>
              </w:rPr>
            </w:pPr>
            <w:r>
              <w:rPr>
                <w:rFonts w:ascii="Arial" w:cs="Arial" w:eastAsia="Arial" w:hAnsi="Arial"/>
                <w:sz w:val="16"/>
                <w:szCs w:val="16"/>
                <w:color w:val="auto"/>
              </w:rPr>
              <w:t>ASU No. 2017-05</w:t>
            </w: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w w:val="97"/>
              </w:rPr>
              <w:t>Other Income – Gains and Losses from the Derecognition of Nonfinancial Assets (Subtopic 610-20): Clarifying the</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2018</w:t>
            </w:r>
          </w:p>
        </w:tc>
      </w:tr>
      <w:tr>
        <w:trPr>
          <w:trHeight w:val="212"/>
        </w:trPr>
        <w:tc>
          <w:tcPr>
            <w:tcW w:w="18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Scope of Asset Derecognition Guidance and Accounting for Partial Sales of Nonfinancial Assets</w:t>
            </w:r>
          </w:p>
        </w:tc>
        <w:tc>
          <w:tcPr>
            <w:tcW w:w="16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2016-02, Leases (Topic 842)</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Costs of an operating lease will continue to be recognized as a single operating expense on a straight-line basis over the lease term. Costs for a financing lease will be disaggregated and recognized as both an operating expense (for the amortization of the right-of-use asset) and interest expense (for interest on the lease liability). This standard will be effective for our interim and annual periods beginning January 1, 2019, and must be applied on a modified retrospective basis. In March 2018, the FASB tentatively approved an optional transition method to initially account for the impact of the adoption with a cumulative-effect adjustment to the January 1, 2019, rather than January 1, 2017, financial statements. This would eliminate the need to restate amounts presented prior to January 1, 2019. We plan to adopt the standard effective January 1, 2019, and expect to elect this optional transition method. We are currently evaluating the potential impact of this standard on our financial position, but we do not expect it to have a material impact on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2016-13, Financial Instruments – Credit Losses (Topic 326): Measurement of Credit Losses on Financial Instruments</w:t>
      </w:r>
    </w:p>
    <w:p>
      <w:pPr>
        <w:spacing w:after="0" w:line="23"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This standard will be effective for our interim and annual periods beginning January 1, 2020, and permits earlier application but not before periods beginning January 1, 2019. The standard will be applied using a modified retrospective approach. We are currently evaluating the potential impact of this standard, but we do not expect it to have a material impact on our financial position and results of operations.</w:t>
      </w:r>
    </w:p>
    <w:p>
      <w:pPr>
        <w:spacing w:after="0" w:line="164"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i w:val="1"/>
          <w:iCs w:val="1"/>
          <w:u w:val="single" w:color="auto"/>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standard allows a reclassification of stranded tax effects as a result of the U.S. Tax Cuts and Jobs Act (the Tax Act) from accumulated other comprehensive income to retained earnings. The provisions from this guidance are effective for interim and annual periods beginning after January 1, 2019. Early adoption is permitted. This standard should be applied either in the period of adoption or retrospectively to each period (or periods) in which the effects of the Tax Act are recognized. We plan to adopt this standard during the interim period in which we complete our accounting for the tax effects of the enactment of the Tax Act, applying the guidance to the period of adoption. This standard will have no impact on our results of operations. We are currently evaluating the potential impact of this standard on our financial position.</w:t>
      </w:r>
    </w:p>
    <w:p>
      <w:pPr>
        <w:spacing w:after="0" w:line="200" w:lineRule="exact"/>
        <w:rPr>
          <w:sz w:val="20"/>
          <w:szCs w:val="20"/>
          <w:color w:val="auto"/>
        </w:rPr>
      </w:pPr>
    </w:p>
    <w:p>
      <w:pPr>
        <w:spacing w:after="0" w:line="21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Provision for income taxes was $187 million and $258 million for the first quarters of 2018 and 2017, respectively.</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estimated annual effective tax rate is about 20 percent, which does not include discrete tax items. This differs from the 21 percent statutory corporate tax rate due to the effect of U.S. tax benefits, offset by a 2018 transitional tax effect.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have included the provisions of the Tax Act in the calculation of our estimated annual effective tax rate. The estimates could change when additional information on implementation of the provisions of the Tax Act becomes available.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Tax Act was enacted on December 22, 2017. We have not completed our accounting for the tax effects of enactment of the Tax Act. We have made reasonable estimates of the tax on indefinitely reinvested earnings and the effects on our existing deferred tax balances. This resulted in additional tax expense in 2017 of $773 million, consisting of $714 million related to the tax on indefinitely reinvested earnings and $59 million related to remeasuring our existing deferred tax balances.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tax on indefinitely reinvested earnings is based on our non-U.S. post-1986 earnings and profits (E&amp;P) that we previously deferred from U.S. income taxes. We have not yet completed our calculation of the total post-1986 E&amp;P for these non-U.S. subsidiaries.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first quarter of 2018 we reduced the amount of income tax expense recorded for indefinitely reinvested earnings to $669 million from $714 million recorded in 2017. This adjustment did not affect the estimated annual effective tax rate for 2018.</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calculations of the tax effect of the Tax Act for both indefinitely reinvested earnings and deferred tax assets and liabilities are expected to be completed with the preparation of the U.S. 2017 tax return in the third quarter of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980" w:type="dxa"/>
            <w:vAlign w:val="bottom"/>
            <w:gridSpan w:val="4"/>
          </w:tcPr>
          <w:p>
            <w:pPr>
              <w:jc w:val="right"/>
              <w:ind w:right="302"/>
              <w:spacing w:after="0"/>
              <w:rPr>
                <w:sz w:val="20"/>
                <w:szCs w:val="20"/>
                <w:color w:val="auto"/>
              </w:rPr>
            </w:pPr>
            <w:r>
              <w:rPr>
                <w:rFonts w:ascii="Arial" w:cs="Arial" w:eastAsia="Arial" w:hAnsi="Arial"/>
                <w:sz w:val="16"/>
                <w:szCs w:val="16"/>
                <w:b w:val="1"/>
                <w:bCs w:val="1"/>
                <w:color w:val="auto"/>
              </w:rPr>
              <w:t>For Three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842"/>
              <w:spacing w:after="0"/>
              <w:rPr>
                <w:sz w:val="20"/>
                <w:szCs w:val="20"/>
                <w:color w:val="auto"/>
              </w:rPr>
            </w:pPr>
            <w:r>
              <w:rPr>
                <w:rFonts w:ascii="Arial" w:cs="Arial" w:eastAsia="Arial" w:hAnsi="Arial"/>
                <w:sz w:val="16"/>
                <w:szCs w:val="16"/>
                <w:b w:val="1"/>
                <w:bCs w:val="1"/>
                <w:color w:val="auto"/>
              </w:rPr>
              <w:t>March 31,</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Taxes calculated using the estimated annual effective tax rate</w:t>
            </w:r>
          </w:p>
        </w:tc>
        <w:tc>
          <w:tcPr>
            <w:tcW w:w="19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40" w:type="dxa"/>
            <w:vAlign w:val="bottom"/>
            <w:shd w:val="clear" w:color="auto" w:fill="CCEEFF"/>
          </w:tcPr>
          <w:p>
            <w:pPr>
              <w:spacing w:after="0"/>
              <w:rPr>
                <w:sz w:val="18"/>
                <w:szCs w:val="18"/>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Discrete tax items</w:t>
            </w: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(129)</w:t>
            </w: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r>
      <w:tr>
        <w:trPr>
          <w:trHeight w:val="21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5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Estimated annual effective tax rate</w:t>
            </w:r>
          </w:p>
        </w:tc>
        <w:tc>
          <w:tcPr>
            <w:tcW w:w="1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20%</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10"/>
        </w:trPr>
        <w:tc>
          <w:tcPr>
            <w:tcW w:w="5900" w:type="dxa"/>
            <w:vAlign w:val="bottom"/>
          </w:tcPr>
          <w:p>
            <w:pPr>
              <w:spacing w:after="0"/>
              <w:rPr>
                <w:sz w:val="20"/>
                <w:szCs w:val="20"/>
                <w:color w:val="auto"/>
              </w:rPr>
            </w:pPr>
            <w:r>
              <w:rPr>
                <w:rFonts w:ascii="Arial" w:cs="Arial" w:eastAsia="Arial" w:hAnsi="Arial"/>
                <w:sz w:val="16"/>
                <w:szCs w:val="16"/>
                <w:color w:val="auto"/>
              </w:rPr>
              <w:t>Actual effective tax rate</w:t>
            </w:r>
          </w:p>
        </w:tc>
        <w:tc>
          <w:tcPr>
            <w:tcW w:w="1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12%</w:t>
            </w:r>
          </w:p>
        </w:tc>
        <w:tc>
          <w:tcPr>
            <w:tcW w:w="10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classify our investments as available for sale, trading, equity method or non-marketable equity. Most of our investments are debt securities, which are classified as available for sale.</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Available-for-sale and trading securities are stated at fair value, which is generally based on market prices or broker quotes. See </w:t>
      </w:r>
      <w:r>
        <w:rPr>
          <w:rFonts w:ascii="Arial" w:cs="Arial" w:eastAsia="Arial" w:hAnsi="Arial"/>
          <w:sz w:val="16"/>
          <w:szCs w:val="16"/>
          <w:i w:val="1"/>
          <w:iCs w:val="1"/>
          <w:color w:val="auto"/>
        </w:rPr>
        <w:t>Fair-value considerations</w:t>
      </w:r>
      <w:r>
        <w:rPr>
          <w:rFonts w:ascii="Arial" w:cs="Arial" w:eastAsia="Arial" w:hAnsi="Arial"/>
          <w:sz w:val="16"/>
          <w:szCs w:val="16"/>
          <w:color w:val="auto"/>
        </w:rPr>
        <w:t xml:space="preserve"> below. Unrealized gains and losses from available-for-sale debt securities are recorded as an increase or decrease, net of taxes, in AOCI on our Consolidated Balance Sheets. We record other-than-temporary impairments on available-for-sale debt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Cash and Cash</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Short-Term</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Long-Term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Cash and Cash</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Short-Term</w:t>
            </w: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Long-Term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Equivalents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spacing w:after="0"/>
              <w:rPr>
                <w:sz w:val="20"/>
                <w:szCs w:val="20"/>
                <w:color w:val="auto"/>
              </w:rPr>
            </w:pPr>
            <w:r>
              <w:rPr>
                <w:rFonts w:ascii="Arial" w:cs="Arial" w:eastAsia="Arial" w:hAnsi="Arial"/>
                <w:sz w:val="16"/>
                <w:szCs w:val="16"/>
                <w:color w:val="auto"/>
              </w:rPr>
              <w:t>Available-for-sale debt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U.S. government agency and Treasury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1,481</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2,362</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243</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2,813</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Non-marketable equity investments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1,717</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2,362</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271</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1,656</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2,813</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As of March 31, 2018, and December 31, 2017, unrealized gains and losses associated with our available-for-sale investments were not material. We did not recognize any credit losses related to available-for-sale investments for the three months ended March 31, 2018, and March 31, 2017.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For the three months ended March 31, 2018, and March 31, 2017, the proceeds from sales, redemptions and maturities of short-term available-for-sale investments were $1.46 billion and $1.12 billion, respectively. Gross realized gains and losses from these sales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investments as of March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Borders>
              <w:bottom w:val="single" w:sz="8" w:color="CCEEFF"/>
            </w:tcBorders>
          </w:tcPr>
          <w:p>
            <w:pPr>
              <w:spacing w:after="0"/>
              <w:rPr>
                <w:sz w:val="18"/>
                <w:szCs w:val="18"/>
                <w:color w:val="auto"/>
              </w:rPr>
            </w:pPr>
          </w:p>
        </w:tc>
      </w:tr>
      <w:tr>
        <w:trPr>
          <w:trHeight w:val="213"/>
        </w:trPr>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One year or less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w:t>
            </w:r>
          </w:p>
        </w:tc>
        <w:tc>
          <w:tcPr>
            <w:tcW w:w="120" w:type="dxa"/>
            <w:vAlign w:val="bottom"/>
            <w:shd w:val="clear" w:color="auto" w:fill="CCEEFF"/>
          </w:tcPr>
          <w:p>
            <w:pPr>
              <w:spacing w:after="0"/>
              <w:rPr>
                <w:sz w:val="18"/>
                <w:szCs w:val="18"/>
                <w:color w:val="auto"/>
              </w:rPr>
            </w:pPr>
          </w:p>
        </w:tc>
      </w:tr>
      <w:tr>
        <w:trPr>
          <w:trHeight w:val="210"/>
        </w:trPr>
        <w:tc>
          <w:tcPr>
            <w:tcW w:w="9880" w:type="dxa"/>
            <w:vAlign w:val="bottom"/>
          </w:tcPr>
          <w:p>
            <w:pPr>
              <w:spacing w:after="0"/>
              <w:rPr>
                <w:sz w:val="20"/>
                <w:szCs w:val="20"/>
                <w:color w:val="auto"/>
              </w:rPr>
            </w:pPr>
            <w:r>
              <w:rPr>
                <w:rFonts w:ascii="Arial" w:cs="Arial" w:eastAsia="Arial" w:hAnsi="Arial"/>
                <w:sz w:val="16"/>
                <w:szCs w:val="16"/>
                <w:color w:val="auto"/>
              </w:rPr>
              <w:t>One to two years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r>
    </w:tbl>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Other-than-temporary declines and impairments in the values of our available-for-sale investments, which were recognized in OI&amp;E, were not material in the three months ended March 31, 2018, and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ind w:left="1040" w:right="80" w:hanging="519"/>
        <w:spacing w:after="0" w:line="31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March 31, 2018 and December 31, 2017, we had no Level 3 assets or liabilities, other than certain assets held by our postretirement plans.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March 31, 2018</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December 31, 2017</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369</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369</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1,177</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2,247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2,297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2,859</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1,227</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4,086</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3,526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920</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256</w:t>
            </w:r>
          </w:p>
        </w:tc>
        <w:tc>
          <w:tcPr>
            <w:tcW w:w="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256</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Goodwill was $4.36 billion as of March 31, 2018, and December 31, 2017. There was no impairment of goodwill during the three months ended March 31, 2018, or March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Accumulated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c>
          <w:tcPr>
            <w:tcW w:w="14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r>
      <w:tr>
        <w:trPr>
          <w:trHeight w:val="213"/>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7 - 10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2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Customer relationships</w:t>
            </w:r>
          </w:p>
        </w:tc>
        <w:tc>
          <w:tcPr>
            <w:tcW w:w="1380" w:type="dxa"/>
            <w:vAlign w:val="bottom"/>
            <w:tcBorders>
              <w:bottom w:val="single" w:sz="8" w:color="CCEEFF"/>
            </w:tcBorders>
          </w:tcPr>
          <w:p>
            <w:pPr>
              <w:jc w:val="right"/>
              <w:ind w:right="559"/>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r>
      <w:tr>
        <w:trPr>
          <w:trHeight w:val="210"/>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Amortization of acquisition-related intangibles was $80 million for the first quarters of both 2018 and 2017. Fully amortized assets are written off against accumulated amortization.</w:t>
      </w:r>
    </w:p>
    <w:p>
      <w:pPr>
        <w:spacing w:after="0" w:line="36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2"/>
              <w:spacing w:after="0"/>
              <w:rPr>
                <w:sz w:val="20"/>
                <w:szCs w:val="20"/>
                <w:color w:val="auto"/>
              </w:rPr>
            </w:pPr>
            <w:r>
              <w:rPr>
                <w:rFonts w:ascii="Arial" w:cs="Arial" w:eastAsia="Arial" w:hAnsi="Arial"/>
                <w:sz w:val="16"/>
                <w:szCs w:val="16"/>
                <w:b w:val="1"/>
                <w:bCs w:val="1"/>
                <w:color w:val="auto"/>
              </w:rPr>
              <w:t>Retiree Health Care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March 31,</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18"/>
                <w:szCs w:val="18"/>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2"/>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(17)</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March 31, 2018, we had a variable-rate revolving credit facility from a consortium of investment-grade banks that allows us to borrow up to $2 billion until March 2023. The interest rate on borrowings under this credit facility, if drawn, is indexed to the applicable London Interbank Offered Rate (LIBOR). As of March 31, 2018,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April 30, 2018, we agreed to issue $1.30 billion principal amount of debt that we expect to use for general corporate purposes, including to replenish our cash on hand following the repayment of maturing debt. The offering is expected to close on May 7,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7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2018 at 1.00%</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2019 at 1.65%</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2020 at 1.75%</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2021 at 2.75%</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2022 at 1.85%</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2023 at 2.25%</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2024 at 2.625%</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Notes due 2027 at 2.90%</w:t>
            </w:r>
          </w:p>
        </w:tc>
        <w:tc>
          <w:tcPr>
            <w:tcW w:w="1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r>
      <w:tr>
        <w:trPr>
          <w:trHeight w:val="212"/>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Total debt</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100" w:type="dxa"/>
            <w:vAlign w:val="bottom"/>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(22)</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r>
      <w:tr>
        <w:trPr>
          <w:trHeight w:val="212"/>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debt, including net unamortized discounts, premiums and debt issuance costs</w:t>
            </w:r>
          </w:p>
        </w:tc>
        <w:tc>
          <w:tcPr>
            <w:tcW w:w="1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4,078</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(500)</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(500)</w:t>
            </w:r>
          </w:p>
        </w:tc>
      </w:tr>
      <w:tr>
        <w:trPr>
          <w:trHeight w:val="210"/>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3,578</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and debt expense was $23 million and $18 million for the first quarters of 2018 and 2017, respectively. This was net of the amortization of the debt discounts, premiums and debt issuance costs. Capitalized interest was not material.</w:t>
      </w:r>
    </w:p>
    <w:p>
      <w:pPr>
        <w:spacing w:after="0" w:line="36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6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 See Note 5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March 31, 2018, we have recognized $21 million of restructuring charges for severance and benefit costs related to the previously reported reorganization of the product lines within our two reportable segments. We have paid $18 million to terminated employees for severance and benefits. Any further charges are not expected to be material.</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2018, we have recognized $33 million of restructuring charges for severance and benefits costs, as well as accelerated depreciation, related to the phase out of a manufacturing facility in Greenock, Scotland. Total restructuring charges, primarily severance and benefit costs, are estimated to be about $40 million. The remaining charges are expected to be recognized through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accrued restructuring balances are as follows: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r>
      <w:tr>
        <w:trPr>
          <w:trHeight w:val="210"/>
        </w:trPr>
        <w:tc>
          <w:tcPr>
            <w:tcW w:w="10400" w:type="dxa"/>
            <w:vAlign w:val="bottom"/>
          </w:tcPr>
          <w:p>
            <w:pPr>
              <w:spacing w:after="0"/>
              <w:rPr>
                <w:sz w:val="20"/>
                <w:szCs w:val="20"/>
                <w:color w:val="auto"/>
              </w:rPr>
            </w:pPr>
            <w:r>
              <w:rPr>
                <w:rFonts w:ascii="Arial" w:cs="Arial" w:eastAsia="Arial" w:hAnsi="Arial"/>
                <w:sz w:val="16"/>
                <w:szCs w:val="16"/>
                <w:b w:val="1"/>
                <w:bCs w:val="1"/>
                <w:color w:val="auto"/>
              </w:rPr>
              <w:t>Restructuring charges</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r>
      <w:tr>
        <w:trPr>
          <w:trHeight w:val="222"/>
        </w:trPr>
        <w:tc>
          <w:tcPr>
            <w:tcW w:w="10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items (a)</w:t>
            </w: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r>
      <w:tr>
        <w:trPr>
          <w:trHeight w:val="213"/>
        </w:trPr>
        <w:tc>
          <w:tcPr>
            <w:tcW w:w="10400" w:type="dxa"/>
            <w:vAlign w:val="bottom"/>
          </w:tcPr>
          <w:p>
            <w:pPr>
              <w:spacing w:after="0"/>
              <w:rPr>
                <w:sz w:val="20"/>
                <w:szCs w:val="20"/>
                <w:color w:val="auto"/>
              </w:rPr>
            </w:pPr>
            <w:r>
              <w:rPr>
                <w:rFonts w:ascii="Arial" w:cs="Arial" w:eastAsia="Arial" w:hAnsi="Arial"/>
                <w:sz w:val="16"/>
                <w:szCs w:val="16"/>
                <w:b w:val="1"/>
                <w:bCs w:val="1"/>
                <w:color w:val="auto"/>
              </w:rPr>
              <w:t>Payments</w:t>
            </w:r>
          </w:p>
        </w:tc>
        <w:tc>
          <w:tcPr>
            <w:tcW w:w="4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w:t>
            </w:r>
          </w:p>
        </w:tc>
      </w:tr>
      <w:tr>
        <w:trPr>
          <w:trHeight w:val="210"/>
        </w:trPr>
        <w:tc>
          <w:tcPr>
            <w:tcW w:w="10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2018</w:t>
            </w: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charges for impacts of accelerated depreciation and changes in exchange rates.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restructuring accrual balances are primarily reported as a component of either Accrued expenses and other liabilities or Other long-term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Our Consolidated Statements of Comprehensive Income include items that have been recognized within Net income during the periods ended March 31, 2018, and March 31, 2017. The table below details where these transactions are recorded in our Consolidated Statements of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6"/>
                <w:szCs w:val="16"/>
                <w:b w:val="1"/>
                <w:bCs w:val="1"/>
                <w:color w:val="auto"/>
              </w:rPr>
              <w:t>March 31,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2"/>
              </w:rPr>
              <w:t>Impact to Related</w:t>
            </w:r>
          </w:p>
        </w:tc>
      </w:tr>
      <w:tr>
        <w:trPr>
          <w:trHeight w:val="213"/>
        </w:trPr>
        <w:tc>
          <w:tcPr>
            <w:tcW w:w="5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Statement of Income Lines</w:t>
            </w:r>
          </w:p>
        </w:tc>
      </w:tr>
      <w:tr>
        <w:trPr>
          <w:trHeight w:val="212"/>
        </w:trPr>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Net actuarial losses of defined benefit plans: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r>
      <w:tr>
        <w:trPr>
          <w:trHeight w:val="213"/>
        </w:trPr>
        <w:tc>
          <w:tcPr>
            <w:tcW w:w="510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 losses (a)</w:t>
            </w:r>
          </w:p>
        </w:tc>
        <w:tc>
          <w:tcPr>
            <w:tcW w:w="700" w:type="dxa"/>
            <w:vAlign w:val="bottom"/>
          </w:tcPr>
          <w:p>
            <w:pPr>
              <w:jc w:val="right"/>
              <w:ind w:right="54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Pr>
          <w:p>
            <w:pPr>
              <w:spacing w:after="0"/>
              <w:rPr>
                <w:sz w:val="18"/>
                <w:szCs w:val="18"/>
                <w:color w:val="auto"/>
              </w:rPr>
            </w:pP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18"/>
                <w:szCs w:val="18"/>
                <w:color w:val="auto"/>
              </w:rPr>
            </w:pPr>
          </w:p>
        </w:tc>
        <w:tc>
          <w:tcPr>
            <w:tcW w:w="4000" w:type="dxa"/>
            <w:vAlign w:val="bottom"/>
            <w:gridSpan w:val="2"/>
          </w:tcPr>
          <w:p>
            <w:pPr>
              <w:ind w:left="60"/>
              <w:spacing w:after="0"/>
              <w:rPr>
                <w:sz w:val="20"/>
                <w:szCs w:val="20"/>
                <w:color w:val="auto"/>
              </w:rPr>
            </w:pPr>
            <w:r>
              <w:rPr>
                <w:rFonts w:ascii="Arial" w:cs="Arial" w:eastAsia="Arial" w:hAnsi="Arial"/>
                <w:sz w:val="16"/>
                <w:szCs w:val="16"/>
                <w:color w:val="auto"/>
              </w:rPr>
              <w:t>Decrease to OI&amp;E</w:t>
            </w:r>
          </w:p>
        </w:tc>
      </w:tr>
      <w:tr>
        <w:trPr>
          <w:trHeight w:val="219"/>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7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w:t>
            </w:r>
          </w:p>
        </w:tc>
        <w:tc>
          <w:tcPr>
            <w:tcW w:w="8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40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Decrease to Provision for income taxes</w:t>
            </w:r>
          </w:p>
        </w:tc>
      </w:tr>
      <w:tr>
        <w:trPr>
          <w:trHeight w:val="247"/>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6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12</w:t>
            </w:r>
          </w:p>
        </w:tc>
        <w:tc>
          <w:tcPr>
            <w:tcW w:w="100" w:type="dxa"/>
            <w:vAlign w:val="bottom"/>
            <w:tcBorders>
              <w:bottom w:val="single" w:sz="8" w:color="CCEEFF"/>
            </w:tcBorders>
          </w:tcPr>
          <w:p>
            <w:pPr>
              <w:spacing w:after="0"/>
              <w:rPr>
                <w:sz w:val="21"/>
                <w:szCs w:val="21"/>
                <w:color w:val="auto"/>
              </w:rPr>
            </w:pPr>
          </w:p>
        </w:tc>
        <w:tc>
          <w:tcPr>
            <w:tcW w:w="400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Decrease to Net income</w:t>
            </w:r>
          </w:p>
        </w:tc>
      </w:tr>
      <w:tr>
        <w:trPr>
          <w:trHeight w:val="199"/>
        </w:trPr>
        <w:tc>
          <w:tcPr>
            <w:tcW w:w="5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Prior service credit of defined benefit plans: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9"/>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700" w:type="dxa"/>
            <w:vAlign w:val="bottom"/>
            <w:shd w:val="clear" w:color="auto" w:fill="CCEEFF"/>
          </w:tcPr>
          <w:p>
            <w:pPr>
              <w:jc w:val="right"/>
              <w:ind w:right="542"/>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c>
          <w:tcPr>
            <w:tcW w:w="84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40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Increase to OI&amp;E</w:t>
            </w:r>
          </w:p>
        </w:tc>
      </w:tr>
      <w:tr>
        <w:trPr>
          <w:trHeight w:val="213"/>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Increase to Provision for income taxes</w:t>
            </w:r>
          </w:p>
        </w:tc>
      </w:tr>
      <w:tr>
        <w:trPr>
          <w:trHeight w:val="210"/>
        </w:trPr>
        <w:tc>
          <w:tcPr>
            <w:tcW w:w="5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00" w:type="dxa"/>
            <w:vAlign w:val="bottom"/>
            <w:shd w:val="clear" w:color="auto" w:fill="CCEEFF"/>
          </w:tcPr>
          <w:p>
            <w:pPr>
              <w:jc w:val="right"/>
              <w:ind w:right="542"/>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c>
          <w:tcPr>
            <w:tcW w:w="84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40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Increase to Net income</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Detailed in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shares of 6,893,414 were issued from treasury shares during the first quarter of 2018 related to stock compensation.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designed around the following four sustainable competitive advantages, that we believe, in combination, put us in a unique class of companies:</w:t>
      </w:r>
    </w:p>
    <w:p>
      <w:pPr>
        <w:spacing w:after="0" w:line="170" w:lineRule="exact"/>
        <w:rPr>
          <w:sz w:val="20"/>
          <w:szCs w:val="20"/>
          <w:color w:val="auto"/>
        </w:rPr>
      </w:pPr>
    </w:p>
    <w:p>
      <w:pPr>
        <w:ind w:left="1040" w:hanging="519"/>
        <w:spacing w:after="0" w:line="293"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A strong foundation of manufacturing and technology. </w:t>
      </w:r>
      <w:r>
        <w:rPr>
          <w:rFonts w:ascii="Arial" w:cs="Arial" w:eastAsia="Arial" w:hAnsi="Arial"/>
          <w:sz w:val="16"/>
          <w:szCs w:val="16"/>
          <w:color w:val="auto"/>
        </w:rPr>
        <w:t>We invest in manufacturing technologies and do most of our manufacturing in-house.</w:t>
      </w:r>
      <w:r>
        <w:rPr>
          <w:rFonts w:ascii="Arial" w:cs="Arial" w:eastAsia="Arial" w:hAnsi="Arial"/>
          <w:sz w:val="16"/>
          <w:szCs w:val="16"/>
          <w:i w:val="1"/>
          <w:iCs w:val="1"/>
          <w:color w:val="auto"/>
        </w:rPr>
        <w:t xml:space="preserve"> </w:t>
      </w:r>
      <w:r>
        <w:rPr>
          <w:rFonts w:ascii="Arial" w:cs="Arial" w:eastAsia="Arial" w:hAnsi="Arial"/>
          <w:sz w:val="16"/>
          <w:szCs w:val="16"/>
          <w:color w:val="auto"/>
        </w:rPr>
        <w:t>This 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increasing factory loadings of our advanced analog 300-millimeter wafers, which have about a 40 percent cost advantage per unpackaged chip over 200-millimeter wafers. 300-millimeter wafers will support the majority of our Analog growth going forward. Additionally, we keep our manufacturing costs low by using mature assets acquired ahead of demand when their prices are most attractive.</w:t>
      </w:r>
    </w:p>
    <w:p>
      <w:pPr>
        <w:spacing w:after="0" w:line="56" w:lineRule="exact"/>
        <w:rPr>
          <w:rFonts w:ascii="Arial" w:cs="Arial" w:eastAsia="Arial" w:hAnsi="Arial"/>
          <w:sz w:val="16"/>
          <w:szCs w:val="16"/>
          <w:color w:val="auto"/>
        </w:rPr>
      </w:pPr>
    </w:p>
    <w:p>
      <w:pPr>
        <w:ind w:left="1040" w:right="22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semiconductors. </w:t>
      </w:r>
      <w:r>
        <w:rPr>
          <w:rFonts w:ascii="Arial" w:cs="Arial" w:eastAsia="Arial" w:hAnsi="Arial"/>
          <w:sz w:val="18"/>
          <w:szCs w:val="18"/>
          <w:color w:val="auto"/>
        </w:rPr>
        <w:t>Our customers need multiple chips for their systems.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means we can solve more of these needs than our competitors,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jc w:val="both"/>
        <w:ind w:left="1040" w:right="8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Broadest reach of market channels. </w:t>
      </w:r>
      <w:r>
        <w:rPr>
          <w:rFonts w:ascii="Arial" w:cs="Arial" w:eastAsia="Arial" w:hAnsi="Arial"/>
          <w:sz w:val="18"/>
          <w:szCs w:val="18"/>
          <w:color w:val="auto"/>
        </w:rPr>
        <w:t>Customers often begin their initial product selection process and design-in journey on our website,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attracts more customers to our website than any of our competitors. Our web presence, combined with our global sales force that is also greater in size than those of our competitors, are advantages that give us unique access to about 100,000 customers designing TI semiconductors into their end products.</w:t>
      </w:r>
    </w:p>
    <w:p>
      <w:pPr>
        <w:spacing w:after="0" w:line="78" w:lineRule="exact"/>
        <w:rPr>
          <w:rFonts w:ascii="Arial" w:cs="Arial" w:eastAsia="Arial" w:hAnsi="Arial"/>
          <w:sz w:val="18"/>
          <w:szCs w:val="18"/>
          <w:color w:val="auto"/>
        </w:rPr>
      </w:pPr>
    </w:p>
    <w:p>
      <w:pPr>
        <w:ind w:left="1040" w:right="10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of our products, markets and customer positions. </w:t>
      </w:r>
      <w:r>
        <w:rPr>
          <w:rFonts w:ascii="Arial" w:cs="Arial" w:eastAsia="Arial" w:hAnsi="Arial"/>
          <w:sz w:val="18"/>
          <w:szCs w:val="18"/>
          <w:color w:val="auto"/>
        </w:rPr>
        <w:t>Together, the attributes above result in diverse and long-lived</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strategic focus, and where we invest the majority of our resources, is on Analog and Embedded Processing, with a particular emphasis on designing and selling those products into the industrial and automotive markets, which we believe represent the best growth opportunities. Analog and embedded processing products sold into industrial and automotive markets provide long product life cycles, intrinsic diversity, and less capital-intensive manufacturing, which we believe offer stability, profitability and strong cash generation. This business model is the foundation of our capital management strategy, which is based on our belief that free cash flow growth, especially on a per share basis, is important for maximizing shareholder value over the long term. We also believe that free cash flow will be valued only if it is productively invested in the business or returned to shareholders.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combined effect of these sustainable competitive advantages is that over time we have gained market share in Analog and Embedded Processing and have grown free cash flow. Our business model puts us in a unique class of companies with the ability to grow, generate cash, and return that cash to shareholders.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1040" w:right="12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sz w:val="20"/>
          <w:szCs w:val="20"/>
          <w:color w:val="auto"/>
        </w:rPr>
      </w:pPr>
    </w:p>
    <w:p>
      <w:pPr>
        <w:ind w:left="1520" w:right="120" w:hanging="378"/>
        <w:spacing w:after="0" w:line="259" w:lineRule="auto"/>
        <w:tabs>
          <w:tab w:leader="none" w:pos="152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76" w:lineRule="exact"/>
        <w:rPr>
          <w:rFonts w:ascii="Courier New" w:cs="Courier New" w:eastAsia="Courier New" w:hAnsi="Courier New"/>
          <w:sz w:val="18"/>
          <w:szCs w:val="18"/>
          <w:color w:val="auto"/>
        </w:rPr>
      </w:pPr>
    </w:p>
    <w:p>
      <w:pPr>
        <w:ind w:left="1520" w:hanging="378"/>
        <w:spacing w:after="0"/>
        <w:tabs>
          <w:tab w:leader="none" w:pos="1520" w:val="left"/>
        </w:tabs>
        <w:numPr>
          <w:ilvl w:val="0"/>
          <w:numId w:val="18"/>
        </w:numPr>
        <w:rPr>
          <w:rFonts w:ascii="Courier New" w:cs="Courier New" w:eastAsia="Courier New" w:hAnsi="Courier New"/>
          <w:sz w:val="16"/>
          <w:szCs w:val="16"/>
          <w:color w:val="auto"/>
        </w:rPr>
      </w:pP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left="1520" w:right="40" w:hanging="378"/>
        <w:spacing w:after="0" w:line="259" w:lineRule="auto"/>
        <w:tabs>
          <w:tab w:leader="none" w:pos="152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76" w:lineRule="exact"/>
        <w:rPr>
          <w:rFonts w:ascii="Courier New" w:cs="Courier New" w:eastAsia="Courier New" w:hAnsi="Courier New"/>
          <w:sz w:val="18"/>
          <w:szCs w:val="18"/>
          <w:color w:val="auto"/>
        </w:rPr>
      </w:pPr>
    </w:p>
    <w:p>
      <w:pPr>
        <w:ind w:left="1520" w:right="140" w:hanging="378"/>
        <w:spacing w:after="0" w:line="272" w:lineRule="auto"/>
        <w:tabs>
          <w:tab w:leader="none" w:pos="1520" w:val="left"/>
        </w:tabs>
        <w:numPr>
          <w:ilvl w:val="0"/>
          <w:numId w:val="19"/>
        </w:numPr>
        <w:rPr>
          <w:rFonts w:ascii="Courier New" w:cs="Courier New" w:eastAsia="Courier New" w:hAnsi="Courier New"/>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9" w:lineRule="exact"/>
        <w:rPr>
          <w:rFonts w:ascii="Courier New" w:cs="Courier New" w:eastAsia="Courier New" w:hAnsi="Courier New"/>
          <w:sz w:val="17"/>
          <w:szCs w:val="17"/>
          <w:color w:val="auto"/>
        </w:rPr>
      </w:pPr>
    </w:p>
    <w:p>
      <w:pPr>
        <w:ind w:left="1520" w:hanging="378"/>
        <w:spacing w:after="0"/>
        <w:tabs>
          <w:tab w:leader="none" w:pos="1520" w:val="left"/>
        </w:tabs>
        <w:numPr>
          <w:ilvl w:val="0"/>
          <w:numId w:val="19"/>
        </w:numPr>
        <w:rPr>
          <w:rFonts w:ascii="Courier New" w:cs="Courier New" w:eastAsia="Courier New" w:hAnsi="Courier New"/>
          <w:sz w:val="18"/>
          <w:szCs w:val="18"/>
          <w:color w:val="auto"/>
        </w:rPr>
      </w:pPr>
      <w:r>
        <w:rPr>
          <w:rFonts w:ascii="Arial" w:cs="Arial" w:eastAsia="Arial" w:hAnsi="Arial"/>
          <w:sz w:val="18"/>
          <w:szCs w:val="18"/>
          <w:color w:val="auto"/>
        </w:rPr>
        <w:t>Over time, we have been allocating resources from areas like manufacturing support and SG&amp;A into R&amp;D activities.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first-quarter revenue was $3.79 billion, net income was $1.37 billion and earnings per share (EPS) were $1.35. Earnings per share include 14 cents in tax-related benefits not in our original guidance.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Revenue increased 11 percent from the same quarter a year ago. Demand for our Analog and Embedded Processing products continued to be strong in the industrial and automotive markets.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cash flow from operations of $5.7 billion for the trailing 12 months again underscored the strength of our business model. Free cash flow for the trailing 12 months was up 17 percent from a year ago to $4.9 billion, or 32.1 percent of revenue. This reflects the quality of our product portfolio, as well as the efficiency of our manufacturing strategy, including the benefit of 300-millimeter Analog production.</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have returned $5.1 billion to owners in the past 12 months through stock repurchases and dividends, consistent with our strategy to return to owners all of our free cash flow. Over the last 12 months, our dividends represented 45 percent of free cash flow, emphasizing their sustainability.</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now expect our ongoing annual operating tax rate to be about 16 percent starting in 2019 and 20 percent in 2018, lower than our previous expectation of 18 percent and 23 percent,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first-quarter 2018 compared with first-quarter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$387 million, or 11 percent, due to higher revenue from Analog and Embedded Processing.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Gross profit of $2.45 billion was up $303 million, or 14 percent, due to higher revenue and lower manufacturing costs. As a percentage of revenue, gross profit increased to 64.6 percent from 63.0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$818 million compared with $808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$80 million were non-cash. See Note 9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$1.55 billion, or 40.9 percent of revenue, compared with $1.25 billion, or 36.8 percent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$28 million of income compared with $21 million.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Provision for income taxes was $187 million compared with $258 million, which includes discrete tax benefits of $129 million and $124 million, respectively. The decrease in our tax provision was primarily due to a lower U.S. statutory corporate tax rate and other net benefits resulting from the U.S. Tax Cuts and Jobs Act (the Tax Act), partially offset by higher income before income taxes. The $129 million discrete tax benefits include $82 million due to stock-based compensation, $45 million due to updated estimates related to the Tax Act, and $2 million of other net tax benefits.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annual operating tax rate, which does not include discrete tax items, is about 20 percent compared with 31 percent in 2017. We use “annual operating tax rate” to describe the estimated annual effective tax rate. The 2018 rate differs from the 21 percent U.S. statutory corporate tax rate due to the effect of U.S. tax benefits, offset by a transitional non-cash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$1.37 billion compared with $997 million. EPS was $1.35 compared with $0.97.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First-quarter 2018 segment results</w:t>
            </w:r>
          </w:p>
        </w:tc>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540" w:type="dxa"/>
            <w:vAlign w:val="bottom"/>
            <w:gridSpan w:val="2"/>
          </w:tcPr>
          <w:p>
            <w:pPr>
              <w:spacing w:after="0"/>
              <w:rPr>
                <w:sz w:val="20"/>
                <w:szCs w:val="20"/>
                <w:color w:val="auto"/>
              </w:rPr>
            </w:pPr>
            <w:r>
              <w:rPr>
                <w:rFonts w:ascii="Arial" w:cs="Arial" w:eastAsia="Arial" w:hAnsi="Arial"/>
                <w:sz w:val="18"/>
                <w:szCs w:val="18"/>
                <w:color w:val="auto"/>
              </w:rPr>
              <w:t>Our segment results compared with the year-ago quarter are as follows: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tc>
        <w:tc>
          <w:tcPr>
            <w:tcW w:w="200" w:type="dxa"/>
            <w:vAlign w:val="bottom"/>
          </w:tcPr>
          <w:p>
            <w:pPr>
              <w:spacing w:after="0"/>
              <w:rPr>
                <w:sz w:val="24"/>
                <w:szCs w:val="24"/>
                <w:color w:val="auto"/>
              </w:rPr>
            </w:pPr>
          </w:p>
        </w:tc>
        <w:tc>
          <w:tcPr>
            <w:tcW w:w="7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1Q18</w:t>
            </w:r>
          </w:p>
        </w:tc>
        <w:tc>
          <w:tcPr>
            <w:tcW w:w="4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1Q17</w:t>
            </w:r>
          </w:p>
        </w:tc>
        <w:tc>
          <w:tcPr>
            <w:tcW w:w="380" w:type="dxa"/>
            <w:vAlign w:val="bottom"/>
            <w:vMerge w:val="restart"/>
          </w:tcPr>
          <w:p>
            <w:pPr>
              <w:spacing w:after="0"/>
              <w:rPr>
                <w:sz w:val="24"/>
                <w:szCs w:val="24"/>
                <w:color w:val="auto"/>
              </w:rPr>
            </w:pPr>
          </w:p>
        </w:tc>
        <w:tc>
          <w:tcPr>
            <w:tcW w:w="10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Change</w:t>
            </w: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CCEEFF"/>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2,566</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1,166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935</w:t>
            </w:r>
          </w:p>
        </w:tc>
        <w:tc>
          <w:tcPr>
            <w:tcW w:w="3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45.4%</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Analog revenue increased due to Power and, to a lesser extent, Signal Chain. High Volume revenue was about even. Operating profit increased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tc>
        <w:tc>
          <w:tcPr>
            <w:tcW w:w="260" w:type="dxa"/>
            <w:vAlign w:val="bottom"/>
          </w:tcPr>
          <w:p>
            <w:pPr>
              <w:spacing w:after="0"/>
              <w:rPr>
                <w:sz w:val="20"/>
                <w:szCs w:val="20"/>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9"/>
              </w:rPr>
              <w:t>1Q18</w:t>
            </w:r>
          </w:p>
        </w:tc>
        <w:tc>
          <w:tcPr>
            <w:tcW w:w="40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1Q17</w:t>
            </w:r>
          </w:p>
        </w:tc>
        <w:tc>
          <w:tcPr>
            <w:tcW w:w="360" w:type="dxa"/>
            <w:vAlign w:val="bottom"/>
            <w:vMerge w:val="restart"/>
          </w:tcPr>
          <w:p>
            <w:pPr>
              <w:spacing w:after="0"/>
              <w:rPr>
                <w:sz w:val="20"/>
                <w:szCs w:val="20"/>
                <w:color w:val="auto"/>
              </w:rPr>
            </w:pPr>
          </w:p>
        </w:tc>
        <w:tc>
          <w:tcPr>
            <w:tcW w:w="10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Change</w:t>
            </w:r>
          </w:p>
        </w:tc>
        <w:tc>
          <w:tcPr>
            <w:tcW w:w="1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926</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35.4%</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Embedded Processing revenue increased in both product lines, led by Processors. Operating profit increased primarily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and custom ASIC products)</w:t>
            </w:r>
          </w:p>
        </w:tc>
        <w:tc>
          <w:tcPr>
            <w:tcW w:w="240" w:type="dxa"/>
            <w:vAlign w:val="bottom"/>
          </w:tcPr>
          <w:p>
            <w:pPr>
              <w:spacing w:after="0"/>
              <w:rPr>
                <w:sz w:val="20"/>
                <w:szCs w:val="20"/>
                <w:color w:val="auto"/>
              </w:rPr>
            </w:pP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8"/>
                <w:szCs w:val="18"/>
                <w:b w:val="1"/>
                <w:bCs w:val="1"/>
                <w:color w:val="auto"/>
              </w:rPr>
              <w:t>1Q18</w:t>
            </w:r>
          </w:p>
        </w:tc>
        <w:tc>
          <w:tcPr>
            <w:tcW w:w="240" w:type="dxa"/>
            <w:vAlign w:val="bottom"/>
          </w:tcPr>
          <w:p>
            <w:pPr>
              <w:spacing w:after="0"/>
              <w:rPr>
                <w:sz w:val="20"/>
                <w:szCs w:val="20"/>
                <w:color w:val="auto"/>
              </w:rPr>
            </w:pP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8"/>
                <w:szCs w:val="18"/>
                <w:b w:val="1"/>
                <w:bCs w:val="1"/>
                <w:color w:val="auto"/>
              </w:rPr>
              <w:t>1Q17</w:t>
            </w:r>
          </w:p>
        </w:tc>
        <w:tc>
          <w:tcPr>
            <w:tcW w:w="1260" w:type="dxa"/>
            <w:vAlign w:val="bottom"/>
            <w:gridSpan w:val="2"/>
            <w:vMerge w:val="restart"/>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3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18.2%</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$46 million, and operating profit declined by $23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the end of the first quarter of 2018, total cash (Cash and cash equivalents plus Short-term investments) was $4.08 billion, a decrease of $390 million from the end of 2017.</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Accounts receivable were $1.45 billion, an increase of $176 million compared with the end of 2017. Days sales outstanding at the end of the first quarter of 2018 were 35 compared with 31 at the end of 2017.</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Inventory was $2.03 billion, an increase of $75 million from the end of 2017. Days of inventory at the end of the first quarter of 2018 were 136 compared with 134 at the end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three months of 2018 were $1.11 billion, an increase of $317 million from the year-ago period. This increase was primarily due to higher Net income.</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2023. This credit facility also serves as support for the issuance of commercial paper. As of March 31, 2018, our credit facility was undrawn, and we had no commercial paper outstanding.</w:t>
      </w:r>
    </w:p>
    <w:p>
      <w:pPr>
        <w:spacing w:after="0" w:line="1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Investing activities for the first three months of 2018 provided $266 million compared with $267 million in the year-ago period. Capital expenditures were $189 million compared with $127 million in the year-ago period and were primarily for semiconductor manufacturing equipment in both periods. We had proceeds from sales of short-term investments, net of purchases, that provided cash of $459 million compared with $363 million in the year-ago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8" w:name="page19"/>
    <w:bookmarkEnd w:id="18"/>
    <w:p>
      <w:pPr>
        <w:ind w:right="40"/>
        <w:spacing w:after="0" w:line="257" w:lineRule="auto"/>
        <w:rPr>
          <w:sz w:val="20"/>
          <w:szCs w:val="20"/>
          <w:color w:val="auto"/>
        </w:rPr>
      </w:pPr>
      <w:r>
        <w:rPr>
          <w:rFonts w:ascii="Arial" w:cs="Arial" w:eastAsia="Arial" w:hAnsi="Arial"/>
          <w:sz w:val="18"/>
          <w:szCs w:val="18"/>
          <w:color w:val="auto"/>
        </w:rPr>
        <w:t>Financing activities for the first three months of 2018 used $1.32 billion compared with $1.14 billion in the year-ago period. In the year-ago period, we repaid $250 million of maturing debt. Dividends paid were $611 million compared with $500 million in the year-ago period, reflecting an increase in the dividend rate, partially offset by fewer shares outstanding. We used $873 million to repurchase 8.2 million shares of our common stock compared with $550 million used in the year-ago period to repurchase 7.1 million shares. Employee exercises of stock options provided cash proceeds of $178 million compared with $161 million in the year-ago period.</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April 30, 2018, we agreed to issue $1.30 billion principal amount of debt that we expect to use for general corporate purposes, including to replenish our cash on hand following the repayment of maturing debt. The offering is expected to close on May 7, 2018.</w:t>
      </w:r>
    </w:p>
    <w:p>
      <w:pPr>
        <w:spacing w:after="0" w:line="17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had $1.72 billion of Cash and cash equivalents and $2.36 billion of Short-term investments as of March 31, 2018.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24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For 12 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70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18"/>
                <w:szCs w:val="18"/>
                <w:color w:val="auto"/>
              </w:rPr>
            </w:pPr>
          </w:p>
        </w:tc>
      </w:tr>
      <w:tr>
        <w:trPr>
          <w:trHeight w:val="212"/>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(GAAP)</w:t>
            </w:r>
          </w:p>
        </w:tc>
        <w:tc>
          <w:tcPr>
            <w:tcW w:w="78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5,680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4,756</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13"/>
        </w:trPr>
        <w:tc>
          <w:tcPr>
            <w:tcW w:w="7020" w:type="dxa"/>
            <w:vAlign w:val="bottom"/>
          </w:tcPr>
          <w:p>
            <w:pPr>
              <w:spacing w:after="0"/>
              <w:rPr>
                <w:sz w:val="20"/>
                <w:szCs w:val="20"/>
                <w:color w:val="auto"/>
              </w:rPr>
            </w:pPr>
            <w:r>
              <w:rPr>
                <w:rFonts w:ascii="Arial" w:cs="Arial" w:eastAsia="Arial" w:hAnsi="Arial"/>
                <w:sz w:val="16"/>
                <w:szCs w:val="16"/>
                <w:color w:val="auto"/>
              </w:rPr>
              <w:t>Capital expenditures</w:t>
            </w:r>
          </w:p>
        </w:tc>
        <w:tc>
          <w:tcPr>
            <w:tcW w:w="7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(757)</w:t>
            </w:r>
          </w:p>
        </w:tc>
        <w:tc>
          <w:tcPr>
            <w:tcW w:w="7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(534)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Free cash flow (non-GAAP)</w:t>
            </w:r>
          </w:p>
        </w:tc>
        <w:tc>
          <w:tcPr>
            <w:tcW w:w="78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0"/>
        </w:trPr>
        <w:tc>
          <w:tcPr>
            <w:tcW w:w="7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70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7"/>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15,348</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13,764</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7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as a percent of revenue (GAAP)</w:t>
            </w: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37.0%</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34.6%</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6"/>
                <w:szCs w:val="16"/>
                <w:color w:val="auto"/>
              </w:rPr>
              <w:t>Free cash flow as a percent of revenue (non-GAAP)</w:t>
            </w:r>
          </w:p>
        </w:tc>
        <w:tc>
          <w:tcPr>
            <w:tcW w:w="7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32.1%</w:t>
            </w:r>
          </w:p>
        </w:tc>
        <w:tc>
          <w:tcPr>
            <w:tcW w:w="7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30.7%</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regarding long-term debt obligations is described in the long-term contractual obligations table in Item 7 of our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Our critical accounting policies are described in </w:t>
      </w:r>
      <w:r>
        <w:rPr>
          <w:rFonts w:ascii="Arial" w:cs="Arial" w:eastAsia="Arial" w:hAnsi="Arial"/>
          <w:sz w:val="18"/>
          <w:szCs w:val="18"/>
          <w:i w:val="1"/>
          <w:iCs w:val="1"/>
          <w:color w:val="auto"/>
        </w:rPr>
        <w:t>Management’s Discussion and Analysis of Financial Condition and Results of Operations – 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our Annual Report on Form 10-K for the year ended December 31, 2017.</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On January 1, 2018, we adopted Accounting Standards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is discussed in Note 2 of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2017,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4880" w:type="dxa"/>
            <w:vAlign w:val="bottom"/>
            <w:gridSpan w:val="3"/>
          </w:tcPr>
          <w:p>
            <w:pPr>
              <w:ind w:left="240"/>
              <w:spacing w:after="0"/>
              <w:rPr>
                <w:sz w:val="20"/>
                <w:szCs w:val="20"/>
                <w:color w:val="auto"/>
              </w:rPr>
            </w:pPr>
            <w:r>
              <w:rPr>
                <w:rFonts w:ascii="Arial" w:cs="Arial" w:eastAsia="Arial" w:hAnsi="Arial"/>
                <w:sz w:val="18"/>
                <w:szCs w:val="18"/>
                <w:b w:val="1"/>
                <w:bCs w:val="1"/>
                <w:color w:val="auto"/>
              </w:rPr>
              <w:t>ISSUER PURCHASES OF EQUITY SECURITIES</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1"/>
        </w:trPr>
        <w:tc>
          <w:tcPr>
            <w:tcW w:w="34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80" w:type="dxa"/>
            <w:vAlign w:val="bottom"/>
          </w:tcPr>
          <w:p>
            <w:pPr>
              <w:spacing w:after="0"/>
              <w:rPr>
                <w:sz w:val="24"/>
                <w:szCs w:val="24"/>
                <w:color w:val="auto"/>
              </w:rPr>
            </w:pPr>
          </w:p>
        </w:tc>
        <w:tc>
          <w:tcPr>
            <w:tcW w:w="15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2"/>
              </w:rPr>
              <w:t>Approximate</w:t>
            </w:r>
          </w:p>
        </w:tc>
      </w:tr>
      <w:tr>
        <w:trPr>
          <w:trHeight w:val="230"/>
        </w:trPr>
        <w:tc>
          <w:tcPr>
            <w:tcW w:w="34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9"/>
                <w:szCs w:val="19"/>
                <w:color w:val="auto"/>
              </w:rPr>
            </w:pPr>
          </w:p>
        </w:tc>
        <w:tc>
          <w:tcPr>
            <w:tcW w:w="15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Dollar Value</w:t>
            </w:r>
          </w:p>
        </w:tc>
      </w:tr>
      <w:tr>
        <w:trPr>
          <w:trHeight w:val="230"/>
        </w:trPr>
        <w:tc>
          <w:tcPr>
            <w:tcW w:w="34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280" w:type="dxa"/>
            <w:vAlign w:val="bottom"/>
          </w:tcPr>
          <w:p>
            <w:pPr>
              <w:spacing w:after="0"/>
              <w:rPr>
                <w:sz w:val="19"/>
                <w:szCs w:val="19"/>
                <w:color w:val="auto"/>
              </w:rPr>
            </w:pPr>
          </w:p>
        </w:tc>
        <w:tc>
          <w:tcPr>
            <w:tcW w:w="15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8"/>
              </w:rPr>
              <w:t>of Shares that</w:t>
            </w:r>
          </w:p>
        </w:tc>
      </w:tr>
      <w:tr>
        <w:trPr>
          <w:trHeight w:val="230"/>
        </w:trPr>
        <w:tc>
          <w:tcPr>
            <w:tcW w:w="34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Part of</w:t>
            </w:r>
          </w:p>
        </w:tc>
        <w:tc>
          <w:tcPr>
            <w:tcW w:w="280" w:type="dxa"/>
            <w:vAlign w:val="bottom"/>
          </w:tcPr>
          <w:p>
            <w:pPr>
              <w:spacing w:after="0"/>
              <w:rPr>
                <w:sz w:val="19"/>
                <w:szCs w:val="19"/>
                <w:color w:val="auto"/>
              </w:rPr>
            </w:pPr>
          </w:p>
        </w:tc>
        <w:tc>
          <w:tcPr>
            <w:tcW w:w="15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May Yet Be</w:t>
            </w:r>
          </w:p>
        </w:tc>
      </w:tr>
      <w:tr>
        <w:trPr>
          <w:trHeight w:val="230"/>
        </w:trPr>
        <w:tc>
          <w:tcPr>
            <w:tcW w:w="3480" w:type="dxa"/>
            <w:vAlign w:val="bottom"/>
          </w:tcPr>
          <w:p>
            <w:pPr>
              <w:spacing w:after="0"/>
              <w:rPr>
                <w:sz w:val="19"/>
                <w:szCs w:val="19"/>
                <w:color w:val="auto"/>
              </w:rPr>
            </w:pPr>
          </w:p>
        </w:tc>
        <w:tc>
          <w:tcPr>
            <w:tcW w:w="3440" w:type="dxa"/>
            <w:vAlign w:val="bottom"/>
          </w:tcPr>
          <w:p>
            <w:pPr>
              <w:jc w:val="center"/>
              <w:ind w:left="199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280" w:type="dxa"/>
            <w:vAlign w:val="bottom"/>
          </w:tcPr>
          <w:p>
            <w:pPr>
              <w:spacing w:after="0"/>
              <w:rPr>
                <w:sz w:val="19"/>
                <w:szCs w:val="19"/>
                <w:color w:val="auto"/>
              </w:rPr>
            </w:pPr>
          </w:p>
        </w:tc>
        <w:tc>
          <w:tcPr>
            <w:tcW w:w="15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6"/>
              </w:rPr>
              <w:t>Purchased</w:t>
            </w:r>
          </w:p>
        </w:tc>
      </w:tr>
      <w:tr>
        <w:trPr>
          <w:trHeight w:val="230"/>
        </w:trPr>
        <w:tc>
          <w:tcPr>
            <w:tcW w:w="3480" w:type="dxa"/>
            <w:vAlign w:val="bottom"/>
          </w:tcPr>
          <w:p>
            <w:pPr>
              <w:spacing w:after="0"/>
              <w:rPr>
                <w:sz w:val="19"/>
                <w:szCs w:val="19"/>
                <w:color w:val="auto"/>
              </w:rPr>
            </w:pPr>
          </w:p>
        </w:tc>
        <w:tc>
          <w:tcPr>
            <w:tcW w:w="3440" w:type="dxa"/>
            <w:vAlign w:val="bottom"/>
          </w:tcPr>
          <w:p>
            <w:pPr>
              <w:jc w:val="center"/>
              <w:ind w:left="1990"/>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9"/>
                <w:szCs w:val="19"/>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80" w:type="dxa"/>
            <w:vAlign w:val="bottom"/>
          </w:tcPr>
          <w:p>
            <w:pPr>
              <w:spacing w:after="0"/>
              <w:rPr>
                <w:sz w:val="19"/>
                <w:szCs w:val="19"/>
                <w:color w:val="auto"/>
              </w:rPr>
            </w:pPr>
          </w:p>
        </w:tc>
        <w:tc>
          <w:tcPr>
            <w:tcW w:w="15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2"/>
              </w:rPr>
              <w:t>Under the</w:t>
            </w:r>
          </w:p>
        </w:tc>
      </w:tr>
      <w:tr>
        <w:trPr>
          <w:trHeight w:val="230"/>
        </w:trPr>
        <w:tc>
          <w:tcPr>
            <w:tcW w:w="3480" w:type="dxa"/>
            <w:vAlign w:val="bottom"/>
          </w:tcPr>
          <w:p>
            <w:pPr>
              <w:spacing w:after="0"/>
              <w:rPr>
                <w:sz w:val="19"/>
                <w:szCs w:val="19"/>
                <w:color w:val="auto"/>
              </w:rPr>
            </w:pPr>
          </w:p>
        </w:tc>
        <w:tc>
          <w:tcPr>
            <w:tcW w:w="3440" w:type="dxa"/>
            <w:vAlign w:val="bottom"/>
          </w:tcPr>
          <w:p>
            <w:pPr>
              <w:jc w:val="center"/>
              <w:ind w:left="199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Price Paid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280" w:type="dxa"/>
            <w:vAlign w:val="bottom"/>
          </w:tcPr>
          <w:p>
            <w:pPr>
              <w:spacing w:after="0"/>
              <w:rPr>
                <w:sz w:val="19"/>
                <w:szCs w:val="19"/>
                <w:color w:val="auto"/>
              </w:rPr>
            </w:pPr>
          </w:p>
        </w:tc>
        <w:tc>
          <w:tcPr>
            <w:tcW w:w="15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3440" w:type="dxa"/>
            <w:vAlign w:val="bottom"/>
            <w:tcBorders>
              <w:bottom w:val="single" w:sz="8" w:color="auto"/>
            </w:tcBorders>
          </w:tcPr>
          <w:p>
            <w:pPr>
              <w:jc w:val="center"/>
              <w:ind w:left="1990"/>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per Share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Programs</w:t>
            </w:r>
            <w:r>
              <w:rPr>
                <w:rFonts w:ascii="Arial" w:cs="Arial" w:eastAsia="Arial" w:hAnsi="Arial"/>
                <w:sz w:val="15"/>
                <w:szCs w:val="15"/>
                <w:b w:val="1"/>
                <w:bCs w:val="1"/>
                <w:color w:val="auto"/>
                <w:w w:val="89"/>
              </w:rPr>
              <w:t>(1)</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b w:val="1"/>
                <w:bCs w:val="1"/>
                <w:color w:val="auto"/>
                <w:w w:val="91"/>
              </w:rPr>
              <w:t>Programs</w:t>
            </w:r>
            <w:r>
              <w:rPr>
                <w:rFonts w:ascii="Arial" w:cs="Arial" w:eastAsia="Arial" w:hAnsi="Arial"/>
                <w:sz w:val="15"/>
                <w:szCs w:val="15"/>
                <w:b w:val="1"/>
                <w:bCs w:val="1"/>
                <w:color w:val="auto"/>
                <w:w w:val="91"/>
              </w:rPr>
              <w:t>(1)</w:t>
            </w:r>
          </w:p>
        </w:tc>
      </w:tr>
      <w:tr>
        <w:trPr>
          <w:trHeight w:val="237"/>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January 1, 2018 through January 31, 2018</w:t>
            </w:r>
          </w:p>
        </w:tc>
        <w:tc>
          <w:tcPr>
            <w:tcW w:w="3440" w:type="dxa"/>
            <w:vAlign w:val="bottom"/>
            <w:shd w:val="clear" w:color="auto" w:fill="CFF0FC"/>
          </w:tcPr>
          <w:p>
            <w:pPr>
              <w:ind w:left="2480"/>
              <w:spacing w:after="0"/>
              <w:rPr>
                <w:sz w:val="20"/>
                <w:szCs w:val="20"/>
                <w:color w:val="auto"/>
              </w:rPr>
            </w:pPr>
            <w:r>
              <w:rPr>
                <w:rFonts w:ascii="Arial" w:cs="Arial" w:eastAsia="Arial" w:hAnsi="Arial"/>
                <w:sz w:val="18"/>
                <w:szCs w:val="18"/>
                <w:color w:val="auto"/>
              </w:rPr>
              <w:t>3,446,350</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110.91</w:t>
            </w: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2,978,806</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billion</w:t>
            </w:r>
          </w:p>
        </w:tc>
      </w:tr>
      <w:tr>
        <w:trPr>
          <w:trHeight w:val="243"/>
        </w:trPr>
        <w:tc>
          <w:tcPr>
            <w:tcW w:w="3480" w:type="dxa"/>
            <w:vAlign w:val="bottom"/>
          </w:tcPr>
          <w:p>
            <w:pPr>
              <w:spacing w:after="0"/>
              <w:rPr>
                <w:sz w:val="20"/>
                <w:szCs w:val="20"/>
                <w:color w:val="auto"/>
              </w:rPr>
            </w:pPr>
            <w:r>
              <w:rPr>
                <w:rFonts w:ascii="Arial" w:cs="Arial" w:eastAsia="Arial" w:hAnsi="Arial"/>
                <w:sz w:val="18"/>
                <w:szCs w:val="18"/>
                <w:color w:val="auto"/>
                <w:w w:val="97"/>
              </w:rPr>
              <w:t>February 1, 2018 through February 28, 2018</w:t>
            </w:r>
          </w:p>
        </w:tc>
        <w:tc>
          <w:tcPr>
            <w:tcW w:w="3440" w:type="dxa"/>
            <w:vAlign w:val="bottom"/>
          </w:tcPr>
          <w:p>
            <w:pPr>
              <w:ind w:left="2480"/>
              <w:spacing w:after="0"/>
              <w:rPr>
                <w:sz w:val="20"/>
                <w:szCs w:val="20"/>
                <w:color w:val="auto"/>
              </w:rPr>
            </w:pPr>
            <w:r>
              <w:rPr>
                <w:rFonts w:ascii="Arial" w:cs="Arial" w:eastAsia="Arial" w:hAnsi="Arial"/>
                <w:sz w:val="18"/>
                <w:szCs w:val="18"/>
                <w:color w:val="auto"/>
              </w:rPr>
              <w:t>3,814,825</w:t>
            </w:r>
          </w:p>
        </w:tc>
        <w:tc>
          <w:tcPr>
            <w:tcW w:w="220" w:type="dxa"/>
            <w:vAlign w:val="bottom"/>
          </w:tcPr>
          <w:p>
            <w:pPr>
              <w:spacing w:after="0"/>
              <w:rPr>
                <w:sz w:val="21"/>
                <w:szCs w:val="21"/>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104.01</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3,814,825</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8.52</w:t>
            </w:r>
          </w:p>
        </w:tc>
        <w:tc>
          <w:tcPr>
            <w:tcW w:w="880" w:type="dxa"/>
            <w:vAlign w:val="bottom"/>
          </w:tcPr>
          <w:p>
            <w:pPr>
              <w:ind w:left="20"/>
              <w:spacing w:after="0"/>
              <w:rPr>
                <w:sz w:val="20"/>
                <w:szCs w:val="20"/>
                <w:color w:val="auto"/>
              </w:rPr>
            </w:pPr>
            <w:r>
              <w:rPr>
                <w:rFonts w:ascii="Arial" w:cs="Arial" w:eastAsia="Arial" w:hAnsi="Arial"/>
                <w:sz w:val="18"/>
                <w:szCs w:val="18"/>
                <w:color w:val="auto"/>
              </w:rPr>
              <w:t>billion</w:t>
            </w:r>
          </w:p>
        </w:tc>
      </w:tr>
      <w:tr>
        <w:trPr>
          <w:trHeight w:val="243"/>
        </w:trPr>
        <w:tc>
          <w:tcPr>
            <w:tcW w:w="3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1, 2018 through March 31, 2018</w:t>
            </w:r>
          </w:p>
        </w:tc>
        <w:tc>
          <w:tcPr>
            <w:tcW w:w="3440" w:type="dxa"/>
            <w:vAlign w:val="bottom"/>
            <w:tcBorders>
              <w:bottom w:val="single" w:sz="8" w:color="auto"/>
            </w:tcBorders>
            <w:shd w:val="clear" w:color="auto" w:fill="CFF0FC"/>
          </w:tcPr>
          <w:p>
            <w:pPr>
              <w:ind w:left="2480"/>
              <w:spacing w:after="0"/>
              <w:rPr>
                <w:sz w:val="20"/>
                <w:szCs w:val="20"/>
                <w:color w:val="auto"/>
              </w:rPr>
            </w:pPr>
            <w:r>
              <w:rPr>
                <w:rFonts w:ascii="Arial" w:cs="Arial" w:eastAsia="Arial" w:hAnsi="Arial"/>
                <w:sz w:val="18"/>
                <w:szCs w:val="18"/>
                <w:color w:val="auto"/>
              </w:rPr>
              <w:t>1,540,586</w:t>
            </w:r>
          </w:p>
        </w:tc>
        <w:tc>
          <w:tcPr>
            <w:tcW w:w="2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rPr>
              <w:t>105.76</w:t>
            </w:r>
          </w:p>
        </w:tc>
        <w:tc>
          <w:tcPr>
            <w:tcW w:w="12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1,540,586</w:t>
            </w:r>
          </w:p>
        </w:tc>
        <w:tc>
          <w:tcPr>
            <w:tcW w:w="2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billion</w:t>
            </w:r>
          </w:p>
        </w:tc>
      </w:tr>
      <w:tr>
        <w:trPr>
          <w:trHeight w:val="384"/>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3440" w:type="dxa"/>
            <w:vAlign w:val="bottom"/>
          </w:tcPr>
          <w:p>
            <w:pPr>
              <w:ind w:left="2480"/>
              <w:spacing w:after="0"/>
              <w:rPr>
                <w:sz w:val="20"/>
                <w:szCs w:val="20"/>
                <w:color w:val="auto"/>
              </w:rPr>
            </w:pPr>
            <w:r>
              <w:rPr>
                <w:rFonts w:ascii="Arial" w:cs="Arial" w:eastAsia="Arial" w:hAnsi="Arial"/>
                <w:sz w:val="18"/>
                <w:szCs w:val="18"/>
                <w:color w:val="auto"/>
                <w:w w:val="89"/>
              </w:rPr>
              <w:t>8,801,761</w:t>
            </w:r>
            <w:r>
              <w:rPr>
                <w:rFonts w:ascii="Arial" w:cs="Arial" w:eastAsia="Arial" w:hAnsi="Arial"/>
                <w:sz w:val="30"/>
                <w:szCs w:val="30"/>
                <w:color w:val="auto"/>
                <w:w w:val="89"/>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440"/>
              <w:spacing w:after="0"/>
              <w:rPr>
                <w:sz w:val="20"/>
                <w:szCs w:val="20"/>
                <w:color w:val="auto"/>
              </w:rPr>
            </w:pPr>
            <w:r>
              <w:rPr>
                <w:rFonts w:ascii="Arial" w:cs="Arial" w:eastAsia="Arial" w:hAnsi="Arial"/>
                <w:sz w:val="18"/>
                <w:szCs w:val="18"/>
                <w:color w:val="auto"/>
                <w:w w:val="95"/>
              </w:rPr>
              <w:t>107.02</w:t>
            </w:r>
            <w:r>
              <w:rPr>
                <w:rFonts w:ascii="Arial" w:cs="Arial" w:eastAsia="Arial" w:hAnsi="Arial"/>
                <w:sz w:val="30"/>
                <w:szCs w:val="30"/>
                <w:color w:val="auto"/>
                <w:w w:val="95"/>
                <w:vertAlign w:val="superscript"/>
              </w:rPr>
              <w:t>(2)</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8,334,217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8.35</w:t>
            </w:r>
          </w:p>
        </w:tc>
        <w:tc>
          <w:tcPr>
            <w:tcW w:w="880" w:type="dxa"/>
            <w:vAlign w:val="bottom"/>
          </w:tcPr>
          <w:p>
            <w:pPr>
              <w:ind w:left="20"/>
              <w:spacing w:after="0"/>
              <w:rPr>
                <w:sz w:val="20"/>
                <w:szCs w:val="20"/>
                <w:color w:val="auto"/>
              </w:rPr>
            </w:pPr>
            <w:r>
              <w:rPr>
                <w:rFonts w:ascii="Arial" w:cs="Arial" w:eastAsia="Arial" w:hAnsi="Arial"/>
                <w:sz w:val="18"/>
                <w:szCs w:val="18"/>
                <w:color w:val="auto"/>
              </w:rPr>
              <w:t>billion</w:t>
            </w:r>
            <w:r>
              <w:rPr>
                <w:rFonts w:ascii="Arial" w:cs="Arial" w:eastAsia="Arial" w:hAnsi="Arial"/>
                <w:sz w:val="15"/>
                <w:szCs w:val="15"/>
                <w:color w:val="auto"/>
              </w:rPr>
              <w:t>(3)</w:t>
            </w:r>
          </w:p>
        </w:tc>
      </w:tr>
    </w:tbl>
    <w:p>
      <w:pPr>
        <w:ind w:left="380" w:right="20" w:hanging="372"/>
        <w:spacing w:after="0" w:line="251"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All open-market purchases during the quarter were made under the authorization from our board of directors to purchase up to $7.5 billion of additional shares of TI common stock announced September 17, 2015. On September 21, 2017, our board of directors authorized the purchase of an additional $6.0 billion of our common stock.</w:t>
      </w:r>
    </w:p>
    <w:p>
      <w:pPr>
        <w:ind w:left="380" w:right="660" w:hanging="372"/>
        <w:spacing w:after="0" w:line="250"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 addition to open-market purchases, 467,544 shares of common stock were surrendered by employees to satisfy tax withholding obligations in connection with the vesting of restricted stock units.</w:t>
      </w:r>
    </w:p>
    <w:p>
      <w:pPr>
        <w:ind w:left="380" w:right="20" w:hanging="372"/>
        <w:spacing w:after="0" w:line="261"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As of March 31, 2018, this amount consisted of the remaining portion of the $7.5 billion authorized in September 2015 and the $6.0 billion authorized in September 2017. No expiration date has been specified for these authorizations.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Exhibits.</w:t>
      </w:r>
    </w:p>
    <w:p>
      <w:pPr>
        <w:spacing w:after="0" w:line="306" w:lineRule="exact"/>
        <w:rPr>
          <w:sz w:val="20"/>
          <w:szCs w:val="20"/>
          <w:color w:val="auto"/>
        </w:rPr>
      </w:pPr>
    </w:p>
    <w:p>
      <w:pPr>
        <w:jc w:val="center"/>
        <w:ind w:right="10020"/>
        <w:spacing w:after="0"/>
        <w:rPr>
          <w:sz w:val="20"/>
          <w:szCs w:val="20"/>
          <w:color w:val="auto"/>
        </w:rPr>
      </w:pPr>
      <w:r>
        <w:rPr>
          <w:rFonts w:ascii="Arial" w:cs="Arial" w:eastAsia="Arial" w:hAnsi="Arial"/>
          <w:sz w:val="18"/>
          <w:szCs w:val="18"/>
          <w:b w:val="1"/>
          <w:bCs w:val="1"/>
          <w:color w:val="auto"/>
        </w:rPr>
        <w:t>Designation</w:t>
      </w:r>
    </w:p>
    <w:p>
      <w:pPr>
        <w:spacing w:after="0" w:line="27" w:lineRule="exact"/>
        <w:rPr>
          <w:sz w:val="20"/>
          <w:szCs w:val="20"/>
          <w:color w:val="auto"/>
        </w:rPr>
      </w:pPr>
    </w:p>
    <w:p>
      <w:pPr>
        <w:jc w:val="center"/>
        <w:ind w:right="10020"/>
        <w:spacing w:after="0"/>
        <w:rPr>
          <w:sz w:val="20"/>
          <w:szCs w:val="20"/>
          <w:color w:val="auto"/>
        </w:rPr>
      </w:pPr>
      <w:r>
        <w:rPr>
          <w:rFonts w:ascii="Arial" w:cs="Arial" w:eastAsia="Arial" w:hAnsi="Arial"/>
          <w:sz w:val="18"/>
          <w:szCs w:val="18"/>
          <w:b w:val="1"/>
          <w:bCs w:val="1"/>
          <w:color w:val="auto"/>
        </w:rPr>
        <w:t>of Exhibits</w:t>
      </w:r>
    </w:p>
    <w:p>
      <w:pPr>
        <w:spacing w:after="0" w:line="9" w:lineRule="exact"/>
        <w:rPr>
          <w:sz w:val="20"/>
          <w:szCs w:val="20"/>
          <w:color w:val="auto"/>
        </w:rPr>
      </w:pPr>
    </w:p>
    <w:p>
      <w:pPr>
        <w:jc w:val="center"/>
        <w:ind w:right="10020"/>
        <w:spacing w:after="0"/>
        <w:rPr>
          <w:sz w:val="20"/>
          <w:szCs w:val="20"/>
          <w:color w:val="auto"/>
        </w:rPr>
      </w:pPr>
      <w:r>
        <w:rPr>
          <w:rFonts w:ascii="Arial" w:cs="Arial" w:eastAsia="Arial" w:hAnsi="Arial"/>
          <w:sz w:val="18"/>
          <w:szCs w:val="18"/>
          <w:b w:val="1"/>
          <w:bCs w:val="1"/>
          <w:color w:val="auto"/>
        </w:rPr>
        <w:t>in This</w:t>
      </w:r>
    </w:p>
    <w:p>
      <w:pPr>
        <w:spacing w:after="0" w:line="9" w:lineRule="exact"/>
        <w:rPr>
          <w:sz w:val="20"/>
          <w:szCs w:val="20"/>
          <w:color w:val="auto"/>
        </w:rPr>
      </w:pPr>
    </w:p>
    <w:p>
      <w:pPr>
        <w:jc w:val="both"/>
        <w:ind w:left="440"/>
        <w:spacing w:after="0"/>
        <w:tabs>
          <w:tab w:leader="none" w:pos="1440" w:val="left"/>
        </w:tabs>
        <w:rPr>
          <w:sz w:val="20"/>
          <w:szCs w:val="20"/>
          <w:color w:val="auto"/>
        </w:rPr>
      </w:pPr>
      <w:r>
        <w:rPr>
          <w:rFonts w:ascii="Arial" w:cs="Arial" w:eastAsia="Arial" w:hAnsi="Arial"/>
          <w:sz w:val="18"/>
          <w:szCs w:val="18"/>
          <w:b w:val="1"/>
          <w:bCs w:val="1"/>
          <w:color w:val="auto"/>
        </w:rPr>
        <w:t>Report</w:t>
      </w:r>
      <w:r>
        <w:rPr>
          <w:sz w:val="20"/>
          <w:szCs w:val="20"/>
          <w:color w:val="auto"/>
        </w:rPr>
        <w:tab/>
      </w: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143"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3(a)</w:t>
      </w:r>
    </w:p>
    <w:p>
      <w:pPr>
        <w:spacing w:after="0" w:line="316"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3(b)</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60"/>
        <w:spacing w:after="0" w:line="277" w:lineRule="auto"/>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Restated Certificate of Incorporation of the Registrant, dated April 18, 1985, as amended (incorporated by reference to Exhibit 3(a) of the</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Registrant's Annual Report on Form 10-K for the year ended December 31, 2014).</w:t>
        </w:r>
      </w:hyperlink>
    </w:p>
    <w:p>
      <w:pPr>
        <w:spacing w:after="0" w:line="22" w:lineRule="exact"/>
        <w:rPr>
          <w:sz w:val="20"/>
          <w:szCs w:val="20"/>
          <w:color w:val="auto"/>
        </w:rPr>
      </w:pPr>
    </w:p>
    <w:p>
      <w:pPr>
        <w:ind w:right="320"/>
        <w:spacing w:after="0" w:line="274" w:lineRule="auto"/>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By-Laws of the Registrant (incorporated by reference to Exhibit 3 of the Registrant's Current Report on Form 8-K filed December 12,</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2016).</w:t>
        </w:r>
      </w:hyperlink>
    </w:p>
    <w:p>
      <w:pPr>
        <w:spacing w:after="0" w:line="1" w:lineRule="exact"/>
        <w:rPr>
          <w:sz w:val="20"/>
          <w:szCs w:val="20"/>
          <w:color w:val="auto"/>
        </w:rPr>
      </w:pPr>
    </w:p>
    <w:p>
      <w:pPr>
        <w:sectPr>
          <w:pgSz w:w="11900" w:h="16838" w:orient="portrait"/>
          <w:cols w:equalWidth="0" w:num="2">
            <w:col w:w="860" w:space="600"/>
            <w:col w:w="996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146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31(a)</w:t>
            </w:r>
          </w:p>
        </w:tc>
        <w:tc>
          <w:tcPr>
            <w:tcW w:w="7620" w:type="dxa"/>
            <w:vAlign w:val="bottom"/>
            <w:tcBorders>
              <w:bottom w:val="single" w:sz="8" w:color="CCEEFF"/>
            </w:tcBorders>
            <w:gridSpan w:val="6"/>
            <w:shd w:val="clear" w:color="auto" w:fill="CCEEFF"/>
          </w:tcPr>
          <w:p>
            <w:pPr>
              <w:spacing w:after="0" w:line="170"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Chief Executive Officer of Periodic Report Pursuant to Rule 13a-15(e) or Rule 15d-15(e).</w:t>
              </w:r>
            </w:hyperlink>
          </w:p>
        </w:tc>
        <w:tc>
          <w:tcPr>
            <w:tcW w:w="60" w:type="dxa"/>
            <w:vAlign w:val="bottom"/>
            <w:tcBorders>
              <w:bottom w:val="single" w:sz="8" w:color="0000EE"/>
            </w:tcBorders>
            <w:gridSpan w:val="2"/>
            <w:shd w:val="clear" w:color="auto" w:fill="CCEEFF"/>
          </w:tcPr>
          <w:p>
            <w:pPr>
              <w:spacing w:after="0"/>
              <w:rPr>
                <w:rFonts w:ascii="Arial" w:cs="Arial" w:eastAsia="Arial" w:hAnsi="Arial"/>
                <w:sz w:val="10"/>
                <w:szCs w:val="10"/>
                <w:color w:val="0000EE"/>
                <w:w w:val="71"/>
              </w:rPr>
            </w:pPr>
            <w:hyperlink w:anchor="page26">
              <w:r>
                <w:rPr>
                  <w:rFonts w:ascii="Arial" w:cs="Arial" w:eastAsia="Arial" w:hAnsi="Arial"/>
                  <w:sz w:val="10"/>
                  <w:szCs w:val="10"/>
                  <w:color w:val="0000EE"/>
                  <w:w w:val="71"/>
                </w:rPr>
                <w:t>†</w:t>
              </w:r>
            </w:hyperlink>
          </w:p>
        </w:tc>
        <w:tc>
          <w:tcPr>
            <w:tcW w:w="2280" w:type="dxa"/>
            <w:vAlign w:val="bottom"/>
            <w:tcBorders>
              <w:bottom w:val="single" w:sz="8" w:color="CCEEFF"/>
            </w:tcBorders>
            <w:shd w:val="clear" w:color="auto" w:fill="CCEEFF"/>
          </w:tcPr>
          <w:p>
            <w:pPr>
              <w:spacing w:after="0"/>
              <w:rPr>
                <w:sz w:val="17"/>
                <w:szCs w:val="17"/>
                <w:color w:val="auto"/>
              </w:rPr>
            </w:pPr>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68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tcPr>
          <w:p>
            <w:pPr>
              <w:jc w:val="center"/>
              <w:spacing w:after="0" w:line="170" w:lineRule="exact"/>
              <w:rPr>
                <w:sz w:val="20"/>
                <w:szCs w:val="20"/>
                <w:color w:val="auto"/>
              </w:rPr>
            </w:pPr>
            <w:r>
              <w:rPr>
                <w:rFonts w:ascii="Arial" w:cs="Arial" w:eastAsia="Arial" w:hAnsi="Arial"/>
                <w:sz w:val="18"/>
                <w:szCs w:val="18"/>
                <w:color w:val="auto"/>
                <w:w w:val="95"/>
              </w:rPr>
              <w:t>31(b)</w:t>
            </w:r>
          </w:p>
        </w:tc>
        <w:tc>
          <w:tcPr>
            <w:tcW w:w="7560" w:type="dxa"/>
            <w:vAlign w:val="bottom"/>
            <w:tcBorders>
              <w:bottom w:val="single" w:sz="8" w:color="0000EE"/>
            </w:tcBorders>
            <w:gridSpan w:val="5"/>
          </w:tcPr>
          <w:p>
            <w:pPr>
              <w:spacing w:after="0" w:line="170"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of Chief Financial Officer of Periodic Report Pursuant to Rule 13a-15(e) or Rule 15d-15(e).</w:t>
              </w:r>
            </w:hyperlink>
          </w:p>
        </w:tc>
        <w:tc>
          <w:tcPr>
            <w:tcW w:w="80" w:type="dxa"/>
            <w:vAlign w:val="bottom"/>
            <w:tcBorders>
              <w:bottom w:val="single" w:sz="8" w:color="0000EE"/>
            </w:tcBorders>
            <w:gridSpan w:val="2"/>
          </w:tcPr>
          <w:p>
            <w:pPr>
              <w:spacing w:after="0" w:line="156" w:lineRule="exact"/>
              <w:rPr>
                <w:rFonts w:ascii="Arial" w:cs="Arial" w:eastAsia="Arial" w:hAnsi="Arial"/>
                <w:sz w:val="15"/>
                <w:szCs w:val="15"/>
                <w:color w:val="0000EE"/>
                <w:w w:val="71"/>
              </w:rPr>
            </w:pPr>
            <w:hyperlink w:anchor="page27">
              <w:r>
                <w:rPr>
                  <w:rFonts w:ascii="Arial" w:cs="Arial" w:eastAsia="Arial" w:hAnsi="Arial"/>
                  <w:sz w:val="15"/>
                  <w:szCs w:val="15"/>
                  <w:color w:val="0000EE"/>
                  <w:w w:val="71"/>
                </w:rPr>
                <w:t>†</w:t>
              </w:r>
            </w:hyperlink>
          </w:p>
        </w:tc>
        <w:tc>
          <w:tcPr>
            <w:tcW w:w="2320" w:type="dxa"/>
            <w:vAlign w:val="bottom"/>
            <w:gridSpan w:val="2"/>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208"/>
        </w:trPr>
        <w:tc>
          <w:tcPr>
            <w:tcW w:w="146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32(a)</w:t>
            </w:r>
          </w:p>
        </w:tc>
        <w:tc>
          <w:tcPr>
            <w:tcW w:w="6920" w:type="dxa"/>
            <w:vAlign w:val="bottom"/>
            <w:tcBorders>
              <w:bottom w:val="single" w:sz="8" w:color="CCEEFF"/>
            </w:tcBorders>
            <w:gridSpan w:val="2"/>
            <w:shd w:val="clear" w:color="auto" w:fill="CCEEFF"/>
          </w:tcPr>
          <w:p>
            <w:pPr>
              <w:spacing w:after="0" w:line="170"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by Chief Executive Officer of Periodic Report Pursuant to 18 U.S.C. Section 1350.</w:t>
              </w:r>
            </w:hyperlink>
          </w:p>
        </w:tc>
        <w:tc>
          <w:tcPr>
            <w:tcW w:w="80" w:type="dxa"/>
            <w:vAlign w:val="bottom"/>
            <w:tcBorders>
              <w:bottom w:val="single" w:sz="8" w:color="0000EE"/>
            </w:tcBorders>
            <w:gridSpan w:val="2"/>
            <w:shd w:val="clear" w:color="auto" w:fill="CCEEFF"/>
          </w:tcPr>
          <w:p>
            <w:pPr>
              <w:spacing w:after="0" w:line="156" w:lineRule="exact"/>
              <w:rPr>
                <w:rFonts w:ascii="Arial" w:cs="Arial" w:eastAsia="Arial" w:hAnsi="Arial"/>
                <w:sz w:val="15"/>
                <w:szCs w:val="15"/>
                <w:color w:val="0000EE"/>
                <w:w w:val="71"/>
              </w:rPr>
            </w:pPr>
            <w:hyperlink w:anchor="page28">
              <w:r>
                <w:rPr>
                  <w:rFonts w:ascii="Arial" w:cs="Arial" w:eastAsia="Arial" w:hAnsi="Arial"/>
                  <w:sz w:val="15"/>
                  <w:szCs w:val="15"/>
                  <w:color w:val="0000EE"/>
                  <w:w w:val="71"/>
                </w:rPr>
                <w:t>†</w:t>
              </w:r>
            </w:hyperlink>
          </w:p>
        </w:tc>
        <w:tc>
          <w:tcPr>
            <w:tcW w:w="2960" w:type="dxa"/>
            <w:vAlign w:val="bottom"/>
            <w:tcBorders>
              <w:bottom w:val="single" w:sz="8" w:color="CCEEFF"/>
            </w:tcBorders>
            <w:gridSpan w:val="5"/>
            <w:shd w:val="clear" w:color="auto" w:fill="CCEEFF"/>
          </w:tcPr>
          <w:p>
            <w:pPr>
              <w:spacing w:after="0"/>
              <w:rPr>
                <w:sz w:val="17"/>
                <w:szCs w:val="17"/>
                <w:color w:val="auto"/>
              </w:rPr>
            </w:pPr>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68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tcPr>
          <w:p>
            <w:pPr>
              <w:jc w:val="center"/>
              <w:spacing w:after="0" w:line="170" w:lineRule="exact"/>
              <w:rPr>
                <w:sz w:val="20"/>
                <w:szCs w:val="20"/>
                <w:color w:val="auto"/>
              </w:rPr>
            </w:pPr>
            <w:r>
              <w:rPr>
                <w:rFonts w:ascii="Arial" w:cs="Arial" w:eastAsia="Arial" w:hAnsi="Arial"/>
                <w:sz w:val="18"/>
                <w:szCs w:val="18"/>
                <w:color w:val="auto"/>
                <w:w w:val="95"/>
              </w:rPr>
              <w:t>32(b)</w:t>
            </w:r>
          </w:p>
        </w:tc>
        <w:tc>
          <w:tcPr>
            <w:tcW w:w="6880" w:type="dxa"/>
            <w:vAlign w:val="bottom"/>
            <w:tcBorders>
              <w:bottom w:val="single" w:sz="8" w:color="0000EE"/>
            </w:tcBorders>
          </w:tcPr>
          <w:p>
            <w:pPr>
              <w:spacing w:after="0" w:line="170"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 by Chief Financial Officer of Periodic Report Pursuant to 18 U.S.C. Section 1350.</w:t>
              </w:r>
            </w:hyperlink>
          </w:p>
        </w:tc>
        <w:tc>
          <w:tcPr>
            <w:tcW w:w="100" w:type="dxa"/>
            <w:vAlign w:val="bottom"/>
            <w:tcBorders>
              <w:bottom w:val="single" w:sz="8" w:color="0000EE"/>
            </w:tcBorders>
            <w:gridSpan w:val="2"/>
          </w:tcPr>
          <w:p>
            <w:pPr>
              <w:ind w:left="40"/>
              <w:spacing w:after="0"/>
              <w:rPr>
                <w:rFonts w:ascii="Arial" w:cs="Arial" w:eastAsia="Arial" w:hAnsi="Arial"/>
                <w:sz w:val="10"/>
                <w:szCs w:val="10"/>
                <w:color w:val="0000EE"/>
                <w:w w:val="71"/>
              </w:rPr>
            </w:pPr>
            <w:hyperlink w:anchor="page29">
              <w:r>
                <w:rPr>
                  <w:rFonts w:ascii="Arial" w:cs="Arial" w:eastAsia="Arial" w:hAnsi="Arial"/>
                  <w:sz w:val="10"/>
                  <w:szCs w:val="10"/>
                  <w:color w:val="0000EE"/>
                  <w:w w:val="71"/>
                </w:rPr>
                <w:t>†</w:t>
              </w:r>
            </w:hyperlink>
          </w:p>
        </w:tc>
        <w:tc>
          <w:tcPr>
            <w:tcW w:w="2980" w:type="dxa"/>
            <w:vAlign w:val="bottom"/>
            <w:gridSpan w:val="6"/>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250"/>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101.ins</w:t>
            </w:r>
          </w:p>
        </w:tc>
        <w:tc>
          <w:tcPr>
            <w:tcW w:w="99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15"/>
                <w:szCs w:val="15"/>
                <w:color w:val="auto"/>
              </w:rPr>
              <w:t>†</w:t>
            </w:r>
          </w:p>
        </w:tc>
      </w:tr>
      <w:tr>
        <w:trPr>
          <w:trHeight w:val="243"/>
        </w:trPr>
        <w:tc>
          <w:tcPr>
            <w:tcW w:w="1460" w:type="dxa"/>
            <w:vAlign w:val="bottom"/>
          </w:tcPr>
          <w:p>
            <w:pPr>
              <w:jc w:val="center"/>
              <w:spacing w:after="0"/>
              <w:rPr>
                <w:sz w:val="20"/>
                <w:szCs w:val="20"/>
                <w:color w:val="auto"/>
              </w:rPr>
            </w:pPr>
            <w:r>
              <w:rPr>
                <w:rFonts w:ascii="Arial" w:cs="Arial" w:eastAsia="Arial" w:hAnsi="Arial"/>
                <w:sz w:val="18"/>
                <w:szCs w:val="18"/>
                <w:color w:val="auto"/>
                <w:w w:val="89"/>
              </w:rPr>
              <w:t>101.def</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r>
              <w:rPr>
                <w:rFonts w:ascii="Arial" w:cs="Arial" w:eastAsia="Arial" w:hAnsi="Arial"/>
                <w:sz w:val="15"/>
                <w:szCs w:val="15"/>
                <w:color w:val="auto"/>
              </w:rPr>
              <w:t>†</w:t>
            </w:r>
          </w:p>
        </w:tc>
      </w:tr>
      <w:tr>
        <w:trPr>
          <w:trHeight w:val="27"/>
        </w:trPr>
        <w:tc>
          <w:tcPr>
            <w:tcW w:w="14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101.sch</w:t>
            </w:r>
          </w:p>
        </w:tc>
        <w:tc>
          <w:tcPr>
            <w:tcW w:w="99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r>
              <w:rPr>
                <w:rFonts w:ascii="Arial" w:cs="Arial" w:eastAsia="Arial" w:hAnsi="Arial"/>
                <w:sz w:val="15"/>
                <w:szCs w:val="15"/>
                <w:color w:val="auto"/>
              </w:rPr>
              <w:t>†</w:t>
            </w:r>
          </w:p>
        </w:tc>
      </w:tr>
      <w:tr>
        <w:trPr>
          <w:trHeight w:val="243"/>
        </w:trPr>
        <w:tc>
          <w:tcPr>
            <w:tcW w:w="1460" w:type="dxa"/>
            <w:vAlign w:val="bottom"/>
          </w:tcPr>
          <w:p>
            <w:pPr>
              <w:jc w:val="center"/>
              <w:spacing w:after="0"/>
              <w:rPr>
                <w:sz w:val="20"/>
                <w:szCs w:val="20"/>
                <w:color w:val="auto"/>
              </w:rPr>
            </w:pPr>
            <w:r>
              <w:rPr>
                <w:rFonts w:ascii="Arial" w:cs="Arial" w:eastAsia="Arial" w:hAnsi="Arial"/>
                <w:sz w:val="18"/>
                <w:szCs w:val="18"/>
                <w:color w:val="auto"/>
                <w:w w:val="89"/>
              </w:rPr>
              <w:t>101.cal</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r>
              <w:rPr>
                <w:rFonts w:ascii="Arial" w:cs="Arial" w:eastAsia="Arial" w:hAnsi="Arial"/>
                <w:sz w:val="15"/>
                <w:szCs w:val="15"/>
                <w:color w:val="auto"/>
              </w:rPr>
              <w:t>†</w:t>
            </w:r>
          </w:p>
        </w:tc>
      </w:tr>
      <w:tr>
        <w:trPr>
          <w:trHeight w:val="27"/>
        </w:trPr>
        <w:tc>
          <w:tcPr>
            <w:tcW w:w="14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101.lab</w:t>
            </w:r>
          </w:p>
        </w:tc>
        <w:tc>
          <w:tcPr>
            <w:tcW w:w="99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r>
              <w:rPr>
                <w:rFonts w:ascii="Arial" w:cs="Arial" w:eastAsia="Arial" w:hAnsi="Arial"/>
                <w:sz w:val="15"/>
                <w:szCs w:val="15"/>
                <w:color w:val="auto"/>
              </w:rPr>
              <w:t>†</w:t>
            </w:r>
          </w:p>
        </w:tc>
      </w:tr>
      <w:tr>
        <w:trPr>
          <w:trHeight w:val="243"/>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r>
              <w:rPr>
                <w:rFonts w:ascii="Arial" w:cs="Arial" w:eastAsia="Arial" w:hAnsi="Arial"/>
                <w:sz w:val="15"/>
                <w:szCs w:val="15"/>
                <w:color w:val="auto"/>
              </w:rPr>
              <w:t>†</w:t>
            </w:r>
          </w:p>
        </w:tc>
      </w:tr>
    </w:tbl>
    <w:p>
      <w:pPr>
        <w:spacing w:after="0" w:line="121"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6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8"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19"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63"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6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86" w:lineRule="exact"/>
        <w:rPr>
          <w:rFonts w:ascii="Arial" w:cs="Arial" w:eastAsia="Arial" w:hAnsi="Arial"/>
          <w:sz w:val="16"/>
          <w:szCs w:val="16"/>
          <w:color w:val="auto"/>
        </w:rPr>
      </w:pPr>
    </w:p>
    <w:p>
      <w:pPr>
        <w:ind w:left="1040" w:right="24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9"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8" w:lineRule="exact"/>
        <w:rPr>
          <w:rFonts w:ascii="Arial" w:cs="Arial" w:eastAsia="Arial" w:hAnsi="Arial"/>
          <w:sz w:val="18"/>
          <w:szCs w:val="18"/>
          <w:color w:val="auto"/>
        </w:rPr>
      </w:pPr>
    </w:p>
    <w:p>
      <w:pPr>
        <w:ind w:left="1040" w:hanging="519"/>
        <w:spacing w:after="0" w:line="29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63"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86" w:lineRule="exact"/>
        <w:rPr>
          <w:rFonts w:ascii="Arial" w:cs="Arial" w:eastAsia="Arial" w:hAnsi="Arial"/>
          <w:sz w:val="16"/>
          <w:szCs w:val="16"/>
          <w:color w:val="auto"/>
        </w:rPr>
      </w:pPr>
    </w:p>
    <w:p>
      <w:pPr>
        <w:ind w:left="1040" w:right="240" w:hanging="519"/>
        <w:spacing w:after="0" w:line="29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ind w:left="1040" w:right="3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8"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63"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tbl>
      <w:tblPr>
        <w:tblLayout w:type="fixed"/>
        <w:tblInd w:w="74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R. Lizardi</w:t>
            </w:r>
          </w:p>
        </w:tc>
      </w:tr>
      <w:tr>
        <w:trPr>
          <w:trHeight w:val="195"/>
        </w:trPr>
        <w:tc>
          <w:tcPr>
            <w:tcW w:w="520" w:type="dxa"/>
            <w:vAlign w:val="bottom"/>
          </w:tcPr>
          <w:p>
            <w:pPr>
              <w:spacing w:after="0"/>
              <w:rPr>
                <w:sz w:val="16"/>
                <w:szCs w:val="16"/>
                <w:color w:val="auto"/>
              </w:rPr>
            </w:pPr>
          </w:p>
        </w:tc>
        <w:tc>
          <w:tcPr>
            <w:tcW w:w="3460" w:type="dxa"/>
            <w:vAlign w:val="bottom"/>
          </w:tcPr>
          <w:p>
            <w:pPr>
              <w:ind w:left="220"/>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52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Senior Vice President,</w:t>
            </w:r>
          </w:p>
        </w:tc>
      </w:tr>
      <w:tr>
        <w:trPr>
          <w:trHeight w:val="216"/>
        </w:trPr>
        <w:tc>
          <w:tcPr>
            <w:tcW w:w="520" w:type="dxa"/>
            <w:vAlign w:val="bottom"/>
          </w:tcPr>
          <w:p>
            <w:pPr>
              <w:spacing w:after="0"/>
              <w:rPr>
                <w:sz w:val="18"/>
                <w:szCs w:val="18"/>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Chief Financial Officer and Chief</w:t>
            </w:r>
          </w:p>
        </w:tc>
      </w:tr>
      <w:tr>
        <w:trPr>
          <w:trHeight w:val="230"/>
        </w:trPr>
        <w:tc>
          <w:tcPr>
            <w:tcW w:w="520" w:type="dxa"/>
            <w:vAlign w:val="bottom"/>
          </w:tcPr>
          <w:p>
            <w:pPr>
              <w:spacing w:after="0"/>
              <w:rPr>
                <w:sz w:val="20"/>
                <w:szCs w:val="20"/>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9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5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120" w:hanging="5"/>
        <w:spacing w:after="0" w:line="342" w:lineRule="auto"/>
        <w:tabs>
          <w:tab w:leader="none" w:pos="7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2018,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2018</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220" w:firstLine="547"/>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38" w:lineRule="exact"/>
        <w:rPr>
          <w:sz w:val="20"/>
          <w:szCs w:val="20"/>
          <w:color w:val="auto"/>
        </w:rPr>
      </w:pPr>
    </w:p>
    <w:p>
      <w:pPr>
        <w:ind w:left="560" w:right="120" w:hanging="5"/>
        <w:spacing w:after="0" w:line="342" w:lineRule="auto"/>
        <w:tabs>
          <w:tab w:leader="none" w:pos="7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2018,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2018</w:t>
      </w:r>
    </w:p>
    <w:p>
      <w:pPr>
        <w:spacing w:after="0" w:line="2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5"/>
    </w:lvl>
  </w:abstractNum>
  <w:abstractNum w:abstractNumId="9">
    <w:nsid w:val="431BD7B7"/>
    <w:multiLevelType w:val="hybridMultilevel"/>
    <w:lvl w:ilvl="0">
      <w:lvlJc w:val="left"/>
      <w:lvlText w:val="%1."/>
      <w:numFmt w:val="decimal"/>
      <w:start w:val="6"/>
    </w:lvl>
  </w:abstractNum>
  <w:abstractNum w:abstractNumId="10">
    <w:nsid w:val="3F2DBA31"/>
    <w:multiLevelType w:val="hybridMultilevel"/>
    <w:lvl w:ilvl="0">
      <w:lvlJc w:val="left"/>
      <w:lvlText w:val="%1."/>
      <w:numFmt w:val="decimal"/>
      <w:start w:val="7"/>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o"/>
      <w:numFmt w:val="bullet"/>
      <w:start w:val="1"/>
    </w:lvl>
  </w:abstractNum>
  <w:abstractNum w:abstractNumId="18">
    <w:nsid w:val="2443A858"/>
    <w:multiLevelType w:val="hybridMultilevel"/>
    <w:lvl w:ilvl="0">
      <w:lvlJc w:val="left"/>
      <w:lvlText w:val="o"/>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38" Type="http://schemas.openxmlformats.org/officeDocument/2006/relationships/hyperlink" Target="http://www.sec.gov/Archives/edgar/data/97476/000009747615000003/txn-12312014xexhibit3a.htm" TargetMode="External"/><Relationship Id="rId39" Type="http://schemas.openxmlformats.org/officeDocument/2006/relationships/hyperlink" Target="http://www.sec.gov/Archives/edgar/data/97476/000156459016030135/txn-ex3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2019-12-28T22:22:30Z</dcterms:created>
  <dcterms:modified xsi:type="dcterms:W3CDTF">2019-12-28T22:22:30Z</dcterms:modified>
</cp:coreProperties>
</file>