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Texas Instruments Incorporated (TXN)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Shareholder Alert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Voluntary submission by John Chevedden, POB 2673, Redondo Beach, CA 90278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Texas Instruments shareholder since 2020</w:t>
      </w: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Vote for Proposal 6 for a realistic right for shareholders to call for a special shareholder meeting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Management has 3 excuses in regard to Proposal 6: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1.The current ownership threshold appropriately balances the interests of all stockholders.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Counterpoint: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right="220"/>
        <w:spacing w:after="0" w:line="24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A so-called balance in favor of management because with the current 25% threshold special meetings are not called for.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both"/>
        <w:ind w:right="360"/>
        <w:spacing w:after="0" w:line="25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In hundreds of shareholder proposals calling for a reduction of the 25% threshold, there is not one example from a company that cited a successful calling of a special shareholder meeting by shareholders with a 25% threshold requirement.</w:t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ind w:right="4320" w:firstLine="8"/>
        <w:spacing w:after="0" w:line="259" w:lineRule="auto"/>
        <w:tabs>
          <w:tab w:leader="none" w:pos="252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5"/>
          <w:szCs w:val="25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Special meetings require substantial company resources and time. Counterpoint: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25"/>
          <w:szCs w:val="25"/>
          <w:color w:val="auto"/>
        </w:rPr>
      </w:pPr>
    </w:p>
    <w:p>
      <w:pPr>
        <w:spacing w:after="0" w:line="258" w:lineRule="auto"/>
        <w:rPr>
          <w:rFonts w:ascii="Times New Roman" w:cs="Times New Roman" w:eastAsia="Times New Roman" w:hAnsi="Times New Roman"/>
          <w:sz w:val="25"/>
          <w:szCs w:val="25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Moot since there is not one example of shareholders ever successfully calling for a special shareholder meeting with the 25% threshold.</w:t>
      </w:r>
    </w:p>
    <w:p>
      <w:pPr>
        <w:spacing w:after="0" w:line="244" w:lineRule="exact"/>
        <w:rPr>
          <w:rFonts w:ascii="Times New Roman" w:cs="Times New Roman" w:eastAsia="Times New Roman" w:hAnsi="Times New Roman"/>
          <w:sz w:val="25"/>
          <w:szCs w:val="25"/>
          <w:color w:val="auto"/>
        </w:rPr>
      </w:pPr>
    </w:p>
    <w:p>
      <w:pPr>
        <w:ind w:right="400" w:firstLine="8"/>
        <w:spacing w:after="0" w:line="259" w:lineRule="auto"/>
        <w:tabs>
          <w:tab w:leader="none" w:pos="252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5"/>
          <w:szCs w:val="25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Stockholders already have several methods through which they can influence company practices without lowering the special meeting threshold.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25"/>
          <w:szCs w:val="25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5"/>
          <w:szCs w:val="25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Counterpoint:</w:t>
      </w:r>
    </w:p>
    <w:p>
      <w:pPr>
        <w:spacing w:after="0" w:line="9" w:lineRule="exact"/>
        <w:rPr>
          <w:rFonts w:ascii="Times New Roman" w:cs="Times New Roman" w:eastAsia="Times New Roman" w:hAnsi="Times New Roman"/>
          <w:sz w:val="25"/>
          <w:szCs w:val="25"/>
          <w:color w:val="auto"/>
        </w:rPr>
      </w:pPr>
    </w:p>
    <w:p>
      <w:pPr>
        <w:ind w:right="160"/>
        <w:spacing w:after="0" w:line="247" w:lineRule="auto"/>
        <w:rPr>
          <w:rFonts w:ascii="Times New Roman" w:cs="Times New Roman" w:eastAsia="Times New Roman" w:hAnsi="Times New Roman"/>
          <w:sz w:val="25"/>
          <w:szCs w:val="25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Moot because companies almost never respond to proposals such as this by giving examples of these “several methods” ever having a real impact.</w:t>
      </w:r>
    </w:p>
    <w:p>
      <w:pPr>
        <w:spacing w:after="0" w:line="2" w:lineRule="exact"/>
        <w:rPr>
          <w:rFonts w:ascii="Times New Roman" w:cs="Times New Roman" w:eastAsia="Times New Roman" w:hAnsi="Times New Roman"/>
          <w:sz w:val="25"/>
          <w:szCs w:val="25"/>
          <w:color w:val="auto"/>
        </w:rPr>
      </w:pPr>
    </w:p>
    <w:p>
      <w:pPr>
        <w:ind w:right="140"/>
        <w:spacing w:after="0" w:line="258" w:lineRule="auto"/>
        <w:rPr>
          <w:rFonts w:ascii="Times New Roman" w:cs="Times New Roman" w:eastAsia="Times New Roman" w:hAnsi="Times New Roman"/>
          <w:sz w:val="25"/>
          <w:szCs w:val="25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And these “several methods” would have more impact if shareholders had the option of a realistic right to call for a special shareholder meeting if they end up with nothing after using the “several methods.”</w:t>
      </w: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right="140"/>
        <w:spacing w:after="0" w:line="2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A more realistic right for shareholders to call for a special shareholder meeting improves shareholder engagement with management because if management turns a tin-ear to shareholder engagement shareholders will have a more realistic option of calling for a special shareholder meeting.</w:t>
      </w: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Vote for Proposal 6 for a realistic right for shareholders to call for a special shareholder meeting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ind w:right="200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Written materials are submitted pursuant to Rule 14a-6(g)(1) promulgated under the Securities Exchange Act of 1934.*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right="240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*Submission is not required of this filer under the terms of the Rule, but is made voluntarily in the interest of public disclosure and consideration of these important issues.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right="780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This is not a solicitation of authority to vote your proxy. Please DO NOT send me your proxy card; the shareholder is not able to vote your proxies, nor does this communication contemplate such an event.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right="340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The shareholder asks all shareholders to vote by following the procedural instructions provided in the proxy materials.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459740</wp:posOffset>
            </wp:positionV>
            <wp:extent cx="71323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20"/>
          </w:cols>
          <w:pgMar w:left="320" w:top="954" w:right="359" w:bottom="847" w:gutter="0" w:footer="0" w:header="0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2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2023-03-15T17:00:03Z</dcterms:created>
  <dcterms:modified xsi:type="dcterms:W3CDTF">2023-03-15T17:00:03Z</dcterms:modified>
</cp:coreProperties>
</file>