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November 12, 2007</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Federal Express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Tim Buchmiller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Attorney, 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Re: Texas Instruments Incorporated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Annual Report for the Fiscal Year Ended December 31, 2006 on Form 10-K File No. 001-3761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Buchmiller:</w:t>
      </w:r>
    </w:p>
    <w:p>
      <w:pPr>
        <w:spacing w:after="0" w:line="252"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I am writing in response to your letter dated October 30, 2007 to Texas Instruments Incorporated containing comments on our Form 10-K for the year ended December 31, 2006. As you will note below, we have addressed your comments in our Form 10-Q for the quarter ended September 30, 2007, and will do so in our Form 10-K for the year ended December 31, 2007, as appropriate. We intend to include similar disclosures, revised as appropriate, in our filings for relevant subsequent periods.</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Financial Condition; and Liquidity and Capital Resources</w:t>
      </w:r>
    </w:p>
    <w:p>
      <w:pPr>
        <w:spacing w:after="0" w:line="252" w:lineRule="exact"/>
        <w:rPr>
          <w:sz w:val="24"/>
          <w:szCs w:val="24"/>
          <w:color w:val="auto"/>
        </w:rPr>
      </w:pPr>
    </w:p>
    <w:p>
      <w:pPr>
        <w:ind w:firstLine="648"/>
        <w:spacing w:after="0" w:line="272" w:lineRule="auto"/>
        <w:rPr>
          <w:sz w:val="20"/>
          <w:szCs w:val="20"/>
          <w:color w:val="auto"/>
        </w:rPr>
      </w:pPr>
      <w:r>
        <w:rPr>
          <w:rFonts w:ascii="Arial" w:cs="Arial" w:eastAsia="Arial" w:hAnsi="Arial"/>
          <w:sz w:val="17"/>
          <w:szCs w:val="17"/>
          <w:u w:val="single" w:color="auto"/>
          <w:color w:val="auto"/>
        </w:rPr>
        <w:t>COMMENT</w:t>
      </w:r>
      <w:r>
        <w:rPr>
          <w:rFonts w:ascii="Arial" w:cs="Arial" w:eastAsia="Arial" w:hAnsi="Arial"/>
          <w:sz w:val="17"/>
          <w:szCs w:val="17"/>
          <w:color w:val="auto"/>
        </w:rPr>
        <w:t>: It appears from footnote 3 to your financial statements for the fiscal year ended December 31, 2006 that a significant portion of your cash equivalents and short-term investments were held in “asset-backed fixed income securities.” In future filings, please clearly discuss the nature of the material components of those assets as necessary to provide your investors with information necessary for a clear understanding of your financial condition. Also, if these securities are reasonably likely to affect your financial condition in a material way, please expand your discussion and analysis in applicable future filings to provide your investors with information necessary for a clear understanding of the trend or uncertainty. Refer to Item 303(a) of Regulation S-K. For example, as appropriate, identify the percentage and nature of any mortgage-backed securities you hold, indicate what factors may affect the value of those securities and disclose any material risks. Also add any appropriate disclosure required by Item 305 of Regulation S-K.</w:t>
      </w:r>
    </w:p>
    <w:p>
      <w:pPr>
        <w:spacing w:after="0" w:line="205"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responded to this comment in our Quarterly Report on Form 10-Q for the quarter ended September 30, 2007, which we filed on November 1, 2007. Specifically in the Financial Condition section we disclosed:</w:t>
      </w:r>
    </w:p>
    <w:p>
      <w:pPr>
        <w:spacing w:after="0" w:line="197" w:lineRule="exact"/>
        <w:rPr>
          <w:sz w:val="24"/>
          <w:szCs w:val="24"/>
          <w:color w:val="auto"/>
        </w:rPr>
      </w:pPr>
    </w:p>
    <w:p>
      <w:pPr>
        <w:ind w:left="660"/>
        <w:spacing w:after="0" w:line="257" w:lineRule="auto"/>
        <w:rPr>
          <w:sz w:val="20"/>
          <w:szCs w:val="20"/>
          <w:color w:val="auto"/>
        </w:rPr>
      </w:pPr>
      <w:r>
        <w:rPr>
          <w:rFonts w:ascii="Arial" w:cs="Arial" w:eastAsia="Arial" w:hAnsi="Arial"/>
          <w:sz w:val="18"/>
          <w:szCs w:val="18"/>
          <w:color w:val="auto"/>
        </w:rPr>
        <w:t>Total cash (cash and cash equivalents plus short-term investments) decreased $48 million from year-end 2006 to $3.67 billion at the end of the third quarter. Total cash includes $926 million of asset-backed fixed income securities, divided about equally between mortgage-backed securities secured by non-subprime-mortgage pools and non-mortgage-related asset-backed commercial paper. These asset-backed fixed income securities continue to be rated either AAA, A-1 or P-1. To date, we have collected all principal and interest payable on these securities and expect to continue to do so as they mature.</w:t>
      </w:r>
    </w:p>
    <w:p>
      <w:pPr>
        <w:spacing w:after="0" w:line="21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We intend to revise our disclosures in the notes to our financial statements and in our Quantitative and Qualitative Disclosures about Market Risk (Regulation S-K Item 305) as requested in future filings.</w:t>
      </w:r>
    </w:p>
    <w:p>
      <w:pPr>
        <w:spacing w:after="0" w:line="197"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color w:val="auto"/>
        </w:rPr>
        <w:t>In addition, please note the effect of changes in interest rates on the fair value of our asset-backed fixed income securities has not been material since we filed our 2006 Form 10-K, and is not expected to be material for the foreseeable future, due to the quality and duration of our investments. In addition, our sensitivity analysis indicated that a 1% general change in the applicable interest rates associated with these investments as of the end of the third quarter of 2007 would not have resulted in a material change in the securities’ fair value, thus obviating the need to update the year end disclosure on Quantitative and Qualitative Disclosures about Market Risk.</w:t>
      </w:r>
    </w:p>
    <w:p>
      <w:pPr>
        <w:spacing w:after="0" w:line="215"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 xml:space="preserve">As we have previously disclosed in our notes to financial statements, we consider our investment in these securities to be held available for sale, therefore under Statement of Financial Accounting Standards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any changes in the fair value of these investments would be reflected as a component of other comprehensive income for the period and not as a direct entry to the income statement. Such changes have not been material and are not expected to be material in the foreseeable future.</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In connection with this response to your comment regarding our Form 10-K for the year ended December 31, 2006, we acknowledge that:</w:t>
      </w:r>
    </w:p>
    <w:p>
      <w:pPr>
        <w:spacing w:after="0" w:line="252" w:lineRule="exact"/>
        <w:rPr>
          <w:sz w:val="24"/>
          <w:szCs w:val="24"/>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responsible for the adequacy and accuracy of the disclosure in the filing;</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our disclosures in response to staff comments do not foreclose the Commission from taking any action with respect to the filing; and</w:t>
      </w:r>
    </w:p>
    <w:p>
      <w:pPr>
        <w:ind w:left="660" w:right="20" w:hanging="139"/>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not assert staff comments as a defense in any proceeding initiated by the Commission or any person under the federal securities laws of the United States.</w:t>
      </w:r>
    </w:p>
    <w:p>
      <w:pPr>
        <w:spacing w:after="0" w:line="211"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We trust that the above information will be sufficient for your purposes. If you have any questions, please call Charlie Miller of Texas Instruments at 214-480-6707.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962" w:right="239" w:bottom="0" w:gutter="0" w:footer="0" w:header="0"/>
        </w:sectPr>
      </w:pPr>
    </w:p>
    <w:bookmarkStart w:id="1" w:name="page2"/>
    <w:bookmarkEnd w:id="1"/>
    <w:p>
      <w:pPr>
        <w:ind w:left="27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-10160</wp:posOffset>
            </wp:positionV>
            <wp:extent cx="1422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2400" cy="8890"/>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Kevin P. March</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Senior Vice President and</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9019"/>
      </w:cols>
      <w:pgMar w:left="144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2019-12-13T07:36:02Z</dcterms:created>
  <dcterms:modified xsi:type="dcterms:W3CDTF">2019-12-13T07:36:02Z</dcterms:modified>
</cp:coreProperties>
</file>