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5266055</wp:posOffset>
            </wp:positionH>
            <wp:positionV relativeFrom="paragraph">
              <wp:posOffset>-626745</wp:posOffset>
            </wp:positionV>
            <wp:extent cx="58420" cy="640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3987165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6993255" cy="46488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4648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CLARK JANET F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TXN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28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03/19/2021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-3" w:right="640" w:firstLine="3"/>
        <w:spacing w:after="0" w:line="238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197"/>
        <w:spacing w:after="0"/>
        <w:tabs>
          <w:tab w:leader="none" w:pos="516" w:val="left"/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200" w:space="623"/>
            <w:col w:w="3357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8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3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8,370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jc w:val="right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03/19/2021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157.72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157.72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174.36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6,287.77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-1922145</wp:posOffset>
            </wp:positionV>
            <wp:extent cx="29210" cy="19272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1927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480" w:firstLine="2"/>
        <w:spacing w:after="0" w:line="290" w:lineRule="auto"/>
        <w:tabs>
          <w:tab w:leader="none" w:pos="169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Stock units credited under the Texas Instruments 2018 Director Compensation Plan, to be settled in common stock of the Issuer following the reporting person's termination of service as a director of the Issuer. End-of-period holdings include stock units acquired pursuant to the dividend reinvestment provision of the 2018 Plan and the predecessor director compensation plan.</w:t>
      </w:r>
    </w:p>
    <w:p>
      <w:pPr>
        <w:sectPr>
          <w:pgSz w:w="11900" w:h="16838" w:orient="portrait"/>
          <w:cols w:equalWidth="0" w:num="1">
            <w:col w:w="11080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Katharine Kane, Attorney In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2540</wp:posOffset>
            </wp:positionV>
            <wp:extent cx="134620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-15875</wp:posOffset>
            </wp:positionV>
            <wp:extent cx="1835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1220" w:firstLine="2"/>
        <w:spacing w:after="0" w:line="335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03/23/2021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-2540</wp:posOffset>
            </wp:positionH>
            <wp:positionV relativeFrom="paragraph">
              <wp:posOffset>2540</wp:posOffset>
            </wp:positionV>
            <wp:extent cx="48577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720" w:space="80"/>
            <w:col w:w="2280"/>
          </w:cols>
          <w:pgMar w:left="460" w:top="221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216484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2021-03-25T17:47:09Z</dcterms:created>
  <dcterms:modified xsi:type="dcterms:W3CDTF">2021-03-25T17:47:09Z</dcterms:modified>
</cp:coreProperties>
</file>